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18" w:type="dxa"/>
        <w:tblLook w:val="01E0" w:firstRow="1" w:lastRow="1" w:firstColumn="1" w:lastColumn="1" w:noHBand="0" w:noVBand="0"/>
      </w:tblPr>
      <w:tblGrid>
        <w:gridCol w:w="6858"/>
        <w:gridCol w:w="3060"/>
      </w:tblGrid>
      <w:tr w:rsidR="00FA6582" w:rsidRPr="00B84B88" w:rsidTr="000502AF">
        <w:tc>
          <w:tcPr>
            <w:tcW w:w="6858" w:type="dxa"/>
            <w:tcBorders>
              <w:top w:val="nil"/>
              <w:left w:val="nil"/>
              <w:bottom w:val="nil"/>
              <w:right w:val="nil"/>
            </w:tcBorders>
            <w:shd w:val="clear" w:color="auto" w:fill="auto"/>
          </w:tcPr>
          <w:p w:rsidR="00FA6582" w:rsidRPr="00B84B88" w:rsidRDefault="00FA6582" w:rsidP="000502AF">
            <w:pPr>
              <w:spacing w:after="0"/>
              <w:rPr>
                <w:rFonts w:cs="Arial"/>
              </w:rPr>
            </w:pPr>
          </w:p>
        </w:tc>
        <w:tc>
          <w:tcPr>
            <w:tcW w:w="3060" w:type="dxa"/>
            <w:tcBorders>
              <w:top w:val="nil"/>
              <w:left w:val="nil"/>
              <w:bottom w:val="nil"/>
              <w:right w:val="nil"/>
            </w:tcBorders>
            <w:shd w:val="clear" w:color="auto" w:fill="auto"/>
          </w:tcPr>
          <w:p w:rsidR="00FA6582" w:rsidRPr="00B84B88" w:rsidRDefault="00FA6582" w:rsidP="000502AF">
            <w:pPr>
              <w:spacing w:after="0"/>
              <w:rPr>
                <w:rFonts w:cs="Arial"/>
              </w:rPr>
            </w:pPr>
            <w:r w:rsidRPr="00B84B88">
              <w:rPr>
                <w:rFonts w:cs="Arial"/>
                <w:noProof/>
                <w:lang w:eastAsia="en-GB"/>
              </w:rPr>
              <w:drawing>
                <wp:inline distT="0" distB="0" distL="0" distR="0" wp14:anchorId="5C0628E6" wp14:editId="735BECDF">
                  <wp:extent cx="1733550" cy="942975"/>
                  <wp:effectExtent l="0" t="0" r="0" b="9525"/>
                  <wp:docPr id="3" name="Picture 3" descr="PWLOGO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WLOGO201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33550" cy="942975"/>
                          </a:xfrm>
                          <a:prstGeom prst="rect">
                            <a:avLst/>
                          </a:prstGeom>
                          <a:noFill/>
                          <a:ln>
                            <a:noFill/>
                          </a:ln>
                        </pic:spPr>
                      </pic:pic>
                    </a:graphicData>
                  </a:graphic>
                </wp:inline>
              </w:drawing>
            </w:r>
          </w:p>
        </w:tc>
      </w:tr>
      <w:tr w:rsidR="00FA6582" w:rsidRPr="00B84B88" w:rsidTr="000502AF">
        <w:tc>
          <w:tcPr>
            <w:tcW w:w="6858" w:type="dxa"/>
            <w:vMerge w:val="restart"/>
            <w:shd w:val="clear" w:color="auto" w:fill="auto"/>
          </w:tcPr>
          <w:p w:rsidR="00FA6582" w:rsidRPr="00017C24" w:rsidRDefault="00FA6582" w:rsidP="000502AF">
            <w:pPr>
              <w:spacing w:after="0"/>
              <w:rPr>
                <w:rFonts w:ascii="Arial" w:hAnsi="Arial" w:cs="Arial"/>
              </w:rPr>
            </w:pPr>
            <w:r w:rsidRPr="00017C24">
              <w:rPr>
                <w:rFonts w:ascii="Arial" w:hAnsi="Arial" w:cs="Arial"/>
              </w:rPr>
              <w:t>Cathr</w:t>
            </w:r>
            <w:r>
              <w:rPr>
                <w:rFonts w:ascii="Arial" w:hAnsi="Arial" w:cs="Arial"/>
              </w:rPr>
              <w:t>yn</w:t>
            </w:r>
            <w:r w:rsidRPr="00017C24">
              <w:rPr>
                <w:rFonts w:ascii="Arial" w:hAnsi="Arial" w:cs="Arial"/>
              </w:rPr>
              <w:t xml:space="preserve"> Ross</w:t>
            </w:r>
          </w:p>
          <w:p w:rsidR="00FA6582" w:rsidRPr="00017C24" w:rsidRDefault="00FA6582" w:rsidP="000502AF">
            <w:pPr>
              <w:spacing w:after="0"/>
              <w:rPr>
                <w:rFonts w:ascii="Arial" w:hAnsi="Arial" w:cs="Arial"/>
              </w:rPr>
            </w:pPr>
            <w:r w:rsidRPr="00017C24">
              <w:rPr>
                <w:rFonts w:ascii="Arial" w:hAnsi="Arial" w:cs="Arial"/>
              </w:rPr>
              <w:t>Chief Executive</w:t>
            </w:r>
          </w:p>
          <w:p w:rsidR="00FA6582" w:rsidRPr="00017C24" w:rsidRDefault="00FA6582" w:rsidP="000502AF">
            <w:pPr>
              <w:spacing w:after="0"/>
              <w:rPr>
                <w:rFonts w:ascii="Arial" w:hAnsi="Arial" w:cs="Arial"/>
              </w:rPr>
            </w:pPr>
            <w:r w:rsidRPr="00017C24">
              <w:rPr>
                <w:rFonts w:ascii="Arial" w:hAnsi="Arial" w:cs="Arial"/>
              </w:rPr>
              <w:t>OFWAT</w:t>
            </w:r>
          </w:p>
          <w:p w:rsidR="00FA6582" w:rsidRPr="00017C24" w:rsidRDefault="00FA6582" w:rsidP="000502AF">
            <w:pPr>
              <w:spacing w:after="0"/>
              <w:rPr>
                <w:rFonts w:ascii="Arial" w:hAnsi="Arial" w:cs="Arial"/>
              </w:rPr>
            </w:pPr>
            <w:r w:rsidRPr="00017C24">
              <w:rPr>
                <w:rFonts w:ascii="Arial" w:hAnsi="Arial" w:cs="Arial"/>
              </w:rPr>
              <w:t>Centre City Tower</w:t>
            </w:r>
          </w:p>
          <w:p w:rsidR="00FA6582" w:rsidRPr="00017C24" w:rsidRDefault="00FA6582" w:rsidP="000502AF">
            <w:pPr>
              <w:spacing w:after="0"/>
              <w:rPr>
                <w:rFonts w:ascii="Arial" w:hAnsi="Arial" w:cs="Arial"/>
              </w:rPr>
            </w:pPr>
            <w:r w:rsidRPr="00017C24">
              <w:rPr>
                <w:rFonts w:ascii="Arial" w:hAnsi="Arial" w:cs="Arial"/>
              </w:rPr>
              <w:t>7 Hill Street</w:t>
            </w:r>
          </w:p>
          <w:p w:rsidR="00FA6582" w:rsidRPr="00017C24" w:rsidRDefault="00FA6582" w:rsidP="000502AF">
            <w:pPr>
              <w:spacing w:after="0"/>
              <w:rPr>
                <w:rFonts w:ascii="Arial" w:hAnsi="Arial" w:cs="Arial"/>
              </w:rPr>
            </w:pPr>
            <w:r w:rsidRPr="00017C24">
              <w:rPr>
                <w:rFonts w:ascii="Arial" w:hAnsi="Arial" w:cs="Arial"/>
              </w:rPr>
              <w:t>Birmingham</w:t>
            </w:r>
          </w:p>
          <w:p w:rsidR="00FA6582" w:rsidRPr="00017C24" w:rsidRDefault="00FA6582" w:rsidP="000502AF">
            <w:pPr>
              <w:spacing w:after="0"/>
              <w:rPr>
                <w:rFonts w:ascii="Arial" w:hAnsi="Arial" w:cs="Arial"/>
              </w:rPr>
            </w:pPr>
            <w:r w:rsidRPr="00017C24">
              <w:rPr>
                <w:rFonts w:ascii="Arial" w:hAnsi="Arial" w:cs="Arial"/>
              </w:rPr>
              <w:t>B5 4UA</w:t>
            </w:r>
          </w:p>
          <w:p w:rsidR="00FA6582" w:rsidRPr="00B84B88" w:rsidRDefault="00FA6582" w:rsidP="000502AF">
            <w:pPr>
              <w:spacing w:after="0"/>
              <w:rPr>
                <w:rFonts w:cs="Arial"/>
              </w:rPr>
            </w:pPr>
          </w:p>
        </w:tc>
        <w:tc>
          <w:tcPr>
            <w:tcW w:w="3060" w:type="dxa"/>
            <w:shd w:val="clear" w:color="auto" w:fill="auto"/>
          </w:tcPr>
          <w:p w:rsidR="00FA6582" w:rsidRPr="00B84B88" w:rsidRDefault="00FA6582" w:rsidP="000502AF">
            <w:pPr>
              <w:spacing w:after="0"/>
              <w:rPr>
                <w:rFonts w:cs="Arial"/>
                <w:color w:val="3366FF"/>
                <w:sz w:val="18"/>
                <w:szCs w:val="18"/>
              </w:rPr>
            </w:pPr>
          </w:p>
          <w:p w:rsidR="00FA6582" w:rsidRPr="00B84B88" w:rsidRDefault="00FA6582" w:rsidP="000502AF">
            <w:pPr>
              <w:spacing w:after="0"/>
              <w:rPr>
                <w:rFonts w:cs="Arial"/>
                <w:color w:val="3366FF"/>
                <w:sz w:val="18"/>
                <w:szCs w:val="18"/>
              </w:rPr>
            </w:pPr>
            <w:r w:rsidRPr="00B84B88">
              <w:rPr>
                <w:rFonts w:cs="Arial"/>
                <w:b/>
                <w:color w:val="3366FF"/>
                <w:sz w:val="18"/>
                <w:szCs w:val="18"/>
              </w:rPr>
              <w:t>Registered Office</w:t>
            </w:r>
            <w:r w:rsidRPr="00B84B88">
              <w:rPr>
                <w:rFonts w:cs="Arial"/>
                <w:color w:val="3366FF"/>
                <w:sz w:val="18"/>
                <w:szCs w:val="18"/>
              </w:rPr>
              <w:t>:</w:t>
            </w:r>
          </w:p>
          <w:p w:rsidR="00FA6582" w:rsidRPr="00B84B88" w:rsidRDefault="00FA6582" w:rsidP="000502AF">
            <w:pPr>
              <w:spacing w:after="0"/>
              <w:rPr>
                <w:rFonts w:cs="Arial"/>
                <w:color w:val="3366FF"/>
                <w:sz w:val="18"/>
                <w:szCs w:val="18"/>
              </w:rPr>
            </w:pPr>
            <w:r w:rsidRPr="00B84B88">
              <w:rPr>
                <w:rFonts w:cs="Arial"/>
                <w:color w:val="3366FF"/>
                <w:sz w:val="18"/>
                <w:szCs w:val="18"/>
              </w:rPr>
              <w:t>Portsmouth Water Ltd</w:t>
            </w:r>
          </w:p>
          <w:p w:rsidR="00FA6582" w:rsidRPr="00B84B88" w:rsidRDefault="00FA6582" w:rsidP="000502AF">
            <w:pPr>
              <w:spacing w:after="0"/>
              <w:rPr>
                <w:rFonts w:cs="Arial"/>
                <w:color w:val="3366FF"/>
                <w:sz w:val="18"/>
                <w:szCs w:val="18"/>
              </w:rPr>
            </w:pPr>
            <w:smartTag w:uri="urn:schemas-microsoft-com:office:smarttags" w:element="address">
              <w:smartTag w:uri="urn:schemas-microsoft-com:office:smarttags" w:element="Street">
                <w:r w:rsidRPr="00B84B88">
                  <w:rPr>
                    <w:rFonts w:cs="Arial"/>
                    <w:color w:val="3366FF"/>
                    <w:sz w:val="18"/>
                    <w:szCs w:val="18"/>
                  </w:rPr>
                  <w:t>PO Box</w:t>
                </w:r>
              </w:smartTag>
              <w:r w:rsidRPr="00B84B88">
                <w:rPr>
                  <w:rFonts w:cs="Arial"/>
                  <w:color w:val="3366FF"/>
                  <w:sz w:val="18"/>
                  <w:szCs w:val="18"/>
                </w:rPr>
                <w:t xml:space="preserve"> 8</w:t>
              </w:r>
            </w:smartTag>
          </w:p>
          <w:p w:rsidR="00FA6582" w:rsidRPr="00B84B88" w:rsidRDefault="00FA6582" w:rsidP="000502AF">
            <w:pPr>
              <w:spacing w:after="0"/>
              <w:rPr>
                <w:rFonts w:cs="Arial"/>
                <w:color w:val="3366FF"/>
                <w:sz w:val="18"/>
                <w:szCs w:val="18"/>
              </w:rPr>
            </w:pPr>
            <w:r w:rsidRPr="00B84B88">
              <w:rPr>
                <w:rFonts w:cs="Arial"/>
                <w:color w:val="3366FF"/>
                <w:sz w:val="18"/>
                <w:szCs w:val="18"/>
              </w:rPr>
              <w:t xml:space="preserve">Havant </w:t>
            </w:r>
          </w:p>
          <w:p w:rsidR="00FA6582" w:rsidRPr="00B84B88" w:rsidRDefault="00FA6582" w:rsidP="000502AF">
            <w:pPr>
              <w:spacing w:after="0"/>
              <w:rPr>
                <w:rFonts w:cs="Arial"/>
                <w:color w:val="3366FF"/>
                <w:sz w:val="18"/>
                <w:szCs w:val="18"/>
              </w:rPr>
            </w:pPr>
            <w:r w:rsidRPr="00B84B88">
              <w:rPr>
                <w:rFonts w:cs="Arial"/>
                <w:color w:val="3366FF"/>
                <w:sz w:val="18"/>
                <w:szCs w:val="18"/>
              </w:rPr>
              <w:t>Hampshire  PO9 1LG</w:t>
            </w:r>
          </w:p>
          <w:p w:rsidR="00FA6582" w:rsidRPr="00B84B88" w:rsidRDefault="00FA6582" w:rsidP="000502AF">
            <w:pPr>
              <w:spacing w:after="0"/>
              <w:rPr>
                <w:rFonts w:cs="Arial"/>
                <w:color w:val="3366FF"/>
                <w:sz w:val="18"/>
                <w:szCs w:val="18"/>
              </w:rPr>
            </w:pPr>
          </w:p>
        </w:tc>
      </w:tr>
      <w:tr w:rsidR="00FA6582" w:rsidRPr="00B84B88" w:rsidTr="000502AF">
        <w:tc>
          <w:tcPr>
            <w:tcW w:w="6858" w:type="dxa"/>
            <w:vMerge/>
            <w:shd w:val="clear" w:color="auto" w:fill="auto"/>
          </w:tcPr>
          <w:p w:rsidR="00FA6582" w:rsidRPr="00B84B88" w:rsidRDefault="00FA6582" w:rsidP="000502AF">
            <w:pPr>
              <w:spacing w:after="0"/>
              <w:rPr>
                <w:rFonts w:cs="Arial"/>
              </w:rPr>
            </w:pPr>
          </w:p>
        </w:tc>
        <w:tc>
          <w:tcPr>
            <w:tcW w:w="3060" w:type="dxa"/>
            <w:shd w:val="clear" w:color="auto" w:fill="auto"/>
          </w:tcPr>
          <w:p w:rsidR="00FA6582" w:rsidRPr="00B84B88" w:rsidRDefault="00FA6582" w:rsidP="000502AF">
            <w:pPr>
              <w:spacing w:after="0"/>
              <w:rPr>
                <w:rFonts w:cs="Arial"/>
                <w:color w:val="3366FF"/>
                <w:sz w:val="18"/>
                <w:szCs w:val="18"/>
              </w:rPr>
            </w:pPr>
            <w:r w:rsidRPr="00B84B88">
              <w:rPr>
                <w:rFonts w:cs="Arial"/>
                <w:color w:val="3366FF"/>
                <w:sz w:val="18"/>
                <w:szCs w:val="18"/>
              </w:rPr>
              <w:t>Tel: 023 9249 9888</w:t>
            </w:r>
          </w:p>
        </w:tc>
      </w:tr>
      <w:tr w:rsidR="00FA6582" w:rsidRPr="00B84B88" w:rsidTr="000502AF">
        <w:tc>
          <w:tcPr>
            <w:tcW w:w="6858" w:type="dxa"/>
            <w:vMerge/>
            <w:shd w:val="clear" w:color="auto" w:fill="auto"/>
          </w:tcPr>
          <w:p w:rsidR="00FA6582" w:rsidRPr="00B84B88" w:rsidRDefault="00FA6582" w:rsidP="000502AF">
            <w:pPr>
              <w:spacing w:after="0"/>
              <w:rPr>
                <w:rFonts w:cs="Arial"/>
              </w:rPr>
            </w:pPr>
          </w:p>
        </w:tc>
        <w:tc>
          <w:tcPr>
            <w:tcW w:w="3060" w:type="dxa"/>
            <w:shd w:val="clear" w:color="auto" w:fill="auto"/>
          </w:tcPr>
          <w:p w:rsidR="00FA6582" w:rsidRPr="00B84B88" w:rsidRDefault="00FA6582" w:rsidP="000502AF">
            <w:pPr>
              <w:spacing w:after="0"/>
              <w:rPr>
                <w:rFonts w:cs="Arial"/>
                <w:color w:val="3366FF"/>
                <w:sz w:val="18"/>
                <w:szCs w:val="18"/>
              </w:rPr>
            </w:pPr>
            <w:r w:rsidRPr="00B84B88">
              <w:rPr>
                <w:rFonts w:cs="Arial"/>
                <w:color w:val="3366FF"/>
                <w:sz w:val="18"/>
                <w:szCs w:val="18"/>
              </w:rPr>
              <w:t>Fax: 023 9245 3632</w:t>
            </w:r>
          </w:p>
        </w:tc>
      </w:tr>
      <w:tr w:rsidR="00FA6582" w:rsidRPr="00B84B88" w:rsidTr="000502AF">
        <w:tc>
          <w:tcPr>
            <w:tcW w:w="6858" w:type="dxa"/>
            <w:vMerge/>
            <w:shd w:val="clear" w:color="auto" w:fill="auto"/>
          </w:tcPr>
          <w:p w:rsidR="00FA6582" w:rsidRPr="00B84B88" w:rsidRDefault="00FA6582" w:rsidP="000502AF">
            <w:pPr>
              <w:spacing w:after="0"/>
              <w:rPr>
                <w:rFonts w:cs="Arial"/>
              </w:rPr>
            </w:pPr>
          </w:p>
        </w:tc>
        <w:tc>
          <w:tcPr>
            <w:tcW w:w="3060" w:type="dxa"/>
            <w:shd w:val="clear" w:color="auto" w:fill="auto"/>
          </w:tcPr>
          <w:p w:rsidR="00FA6582" w:rsidRPr="00B84B88" w:rsidRDefault="00FA6582" w:rsidP="000502AF">
            <w:pPr>
              <w:spacing w:after="0"/>
              <w:rPr>
                <w:rFonts w:cs="Arial"/>
                <w:color w:val="3366FF"/>
                <w:sz w:val="18"/>
                <w:szCs w:val="18"/>
              </w:rPr>
            </w:pPr>
            <w:r w:rsidRPr="00B84B88">
              <w:rPr>
                <w:rFonts w:cs="Arial"/>
                <w:color w:val="3366FF"/>
                <w:sz w:val="18"/>
                <w:szCs w:val="18"/>
              </w:rPr>
              <w:t xml:space="preserve">Web: </w:t>
            </w:r>
            <w:hyperlink r:id="rId6" w:history="1">
              <w:r w:rsidRPr="00B84B88">
                <w:rPr>
                  <w:rStyle w:val="Hyperlink"/>
                  <w:rFonts w:cs="Arial"/>
                  <w:sz w:val="18"/>
                  <w:szCs w:val="18"/>
                </w:rPr>
                <w:t>www.portsmouthwater.co.uk</w:t>
              </w:r>
            </w:hyperlink>
          </w:p>
          <w:p w:rsidR="00FA6582" w:rsidRPr="00B84B88" w:rsidRDefault="00FA6582" w:rsidP="000502AF">
            <w:pPr>
              <w:spacing w:after="0"/>
              <w:rPr>
                <w:rFonts w:cs="Arial"/>
                <w:color w:val="3366FF"/>
                <w:sz w:val="18"/>
                <w:szCs w:val="18"/>
              </w:rPr>
            </w:pPr>
          </w:p>
        </w:tc>
      </w:tr>
    </w:tbl>
    <w:p w:rsidR="00FA6582" w:rsidRPr="002C4722" w:rsidRDefault="005F5D91" w:rsidP="00FA6582">
      <w:pPr>
        <w:spacing w:after="0"/>
        <w:jc w:val="both"/>
        <w:rPr>
          <w:rFonts w:ascii="Arial" w:hAnsi="Arial" w:cs="Arial"/>
        </w:rPr>
      </w:pPr>
      <w:r>
        <w:rPr>
          <w:rFonts w:ascii="Arial" w:hAnsi="Arial" w:cs="Arial"/>
        </w:rPr>
        <w:t>11</w:t>
      </w:r>
      <w:r w:rsidR="00FA6582" w:rsidRPr="002C4722">
        <w:rPr>
          <w:rFonts w:ascii="Arial" w:hAnsi="Arial" w:cs="Arial"/>
        </w:rPr>
        <w:t xml:space="preserve"> </w:t>
      </w:r>
      <w:r w:rsidR="00FA6582">
        <w:rPr>
          <w:rFonts w:ascii="Arial" w:hAnsi="Arial" w:cs="Arial"/>
        </w:rPr>
        <w:t>January 2016</w:t>
      </w:r>
    </w:p>
    <w:p w:rsidR="00FA6582" w:rsidRPr="008F3052" w:rsidRDefault="00FA6582" w:rsidP="00FA6582">
      <w:pPr>
        <w:spacing w:after="0"/>
        <w:jc w:val="both"/>
        <w:rPr>
          <w:rFonts w:ascii="Arial" w:hAnsi="Arial" w:cs="Arial"/>
        </w:rPr>
      </w:pPr>
    </w:p>
    <w:p w:rsidR="00FA6582" w:rsidRPr="008F3052" w:rsidRDefault="00FA6582" w:rsidP="00FA6582">
      <w:pPr>
        <w:spacing w:after="0"/>
        <w:jc w:val="both"/>
        <w:rPr>
          <w:rFonts w:ascii="Arial" w:hAnsi="Arial" w:cs="Arial"/>
        </w:rPr>
      </w:pPr>
    </w:p>
    <w:p w:rsidR="000502AF" w:rsidRDefault="000502AF" w:rsidP="00FA6582">
      <w:pPr>
        <w:spacing w:after="0"/>
        <w:jc w:val="both"/>
        <w:rPr>
          <w:rFonts w:ascii="Arial" w:hAnsi="Arial" w:cs="Arial"/>
        </w:rPr>
      </w:pPr>
    </w:p>
    <w:p w:rsidR="00FA6582" w:rsidRDefault="00FA6582" w:rsidP="001F7083">
      <w:pPr>
        <w:spacing w:after="0"/>
        <w:jc w:val="both"/>
        <w:rPr>
          <w:rFonts w:ascii="Arial" w:hAnsi="Arial" w:cs="Arial"/>
        </w:rPr>
      </w:pPr>
      <w:r w:rsidRPr="008F3052">
        <w:rPr>
          <w:rFonts w:ascii="Arial" w:hAnsi="Arial" w:cs="Arial"/>
        </w:rPr>
        <w:t>Dear Cathryn</w:t>
      </w:r>
    </w:p>
    <w:p w:rsidR="00FA6582" w:rsidRPr="008F3052" w:rsidRDefault="00FA6582">
      <w:pPr>
        <w:spacing w:after="0"/>
        <w:jc w:val="both"/>
        <w:rPr>
          <w:rFonts w:ascii="Arial" w:hAnsi="Arial" w:cs="Arial"/>
        </w:rPr>
      </w:pPr>
    </w:p>
    <w:p w:rsidR="007A1724" w:rsidRPr="00D70A4A" w:rsidRDefault="007A1724" w:rsidP="002E79D7">
      <w:pPr>
        <w:spacing w:after="0"/>
        <w:rPr>
          <w:rFonts w:ascii="Arial" w:hAnsi="Arial" w:cs="Arial"/>
          <w:b/>
        </w:rPr>
      </w:pPr>
      <w:r w:rsidRPr="00D70A4A">
        <w:rPr>
          <w:rFonts w:ascii="Arial" w:hAnsi="Arial" w:cs="Arial"/>
          <w:b/>
        </w:rPr>
        <w:t xml:space="preserve">Letter of Assurance </w:t>
      </w:r>
      <w:r w:rsidR="00FA6582">
        <w:rPr>
          <w:rFonts w:ascii="Arial" w:hAnsi="Arial" w:cs="Arial"/>
          <w:b/>
        </w:rPr>
        <w:t xml:space="preserve">re 2016/17 Charges Schemes </w:t>
      </w:r>
    </w:p>
    <w:p w:rsidR="00FC199D" w:rsidRDefault="00FC199D" w:rsidP="002E79D7">
      <w:pPr>
        <w:spacing w:after="0"/>
        <w:rPr>
          <w:rFonts w:ascii="Arial" w:hAnsi="Arial" w:cs="Arial"/>
        </w:rPr>
      </w:pPr>
    </w:p>
    <w:p w:rsidR="007A1724" w:rsidRPr="00977038" w:rsidRDefault="007A1724" w:rsidP="002E79D7">
      <w:pPr>
        <w:spacing w:after="0"/>
        <w:rPr>
          <w:rFonts w:ascii="Arial" w:hAnsi="Arial" w:cs="Arial"/>
        </w:rPr>
      </w:pPr>
      <w:r w:rsidRPr="00977038">
        <w:rPr>
          <w:rFonts w:ascii="Arial" w:hAnsi="Arial" w:cs="Arial"/>
        </w:rPr>
        <w:t xml:space="preserve">This letter is addressed to Ofwat and other interested parties.  </w:t>
      </w:r>
    </w:p>
    <w:p w:rsidR="00FC199D" w:rsidRDefault="00FC199D" w:rsidP="002E79D7">
      <w:pPr>
        <w:spacing w:after="0"/>
        <w:rPr>
          <w:rFonts w:ascii="Arial" w:hAnsi="Arial" w:cs="Arial"/>
        </w:rPr>
      </w:pPr>
    </w:p>
    <w:p w:rsidR="007A1724" w:rsidRPr="00977038" w:rsidRDefault="007A1724" w:rsidP="002E79D7">
      <w:pPr>
        <w:spacing w:after="0"/>
        <w:rPr>
          <w:rFonts w:ascii="Arial" w:hAnsi="Arial" w:cs="Arial"/>
        </w:rPr>
      </w:pPr>
      <w:r w:rsidRPr="00977038">
        <w:rPr>
          <w:rFonts w:ascii="Arial" w:hAnsi="Arial" w:cs="Arial"/>
        </w:rPr>
        <w:t xml:space="preserve">It confirms that the Board of Portsmouth Water believe that the tariffs and associated Charges Schemes </w:t>
      </w:r>
      <w:r>
        <w:rPr>
          <w:rFonts w:ascii="Arial" w:hAnsi="Arial" w:cs="Arial"/>
        </w:rPr>
        <w:t xml:space="preserve">which will be published by 1 February 2016 </w:t>
      </w:r>
      <w:r w:rsidRPr="00977038">
        <w:rPr>
          <w:rFonts w:ascii="Arial" w:hAnsi="Arial" w:cs="Arial"/>
        </w:rPr>
        <w:t xml:space="preserve">comply with </w:t>
      </w:r>
      <w:r>
        <w:rPr>
          <w:rFonts w:ascii="Arial" w:hAnsi="Arial" w:cs="Arial"/>
        </w:rPr>
        <w:t xml:space="preserve">its </w:t>
      </w:r>
      <w:r w:rsidRPr="00977038">
        <w:rPr>
          <w:rFonts w:ascii="Arial" w:hAnsi="Arial" w:cs="Arial"/>
        </w:rPr>
        <w:t>regulatory requirements.</w:t>
      </w:r>
    </w:p>
    <w:p w:rsidR="00FC199D" w:rsidRDefault="00FC199D" w:rsidP="002E79D7">
      <w:pPr>
        <w:spacing w:after="0"/>
        <w:rPr>
          <w:rFonts w:ascii="Arial" w:hAnsi="Arial" w:cs="Arial"/>
        </w:rPr>
      </w:pPr>
    </w:p>
    <w:p w:rsidR="007A1724" w:rsidRDefault="007A1724" w:rsidP="002E79D7">
      <w:pPr>
        <w:spacing w:after="0"/>
        <w:rPr>
          <w:rFonts w:ascii="Arial" w:hAnsi="Arial" w:cs="Arial"/>
        </w:rPr>
      </w:pPr>
      <w:r w:rsidRPr="00977038">
        <w:rPr>
          <w:rFonts w:ascii="Arial" w:hAnsi="Arial" w:cs="Arial"/>
        </w:rPr>
        <w:t xml:space="preserve">The Board have been actively involved </w:t>
      </w:r>
      <w:r>
        <w:rPr>
          <w:rFonts w:ascii="Arial" w:hAnsi="Arial" w:cs="Arial"/>
        </w:rPr>
        <w:t xml:space="preserve">throughout </w:t>
      </w:r>
      <w:r w:rsidRPr="00977038">
        <w:rPr>
          <w:rFonts w:ascii="Arial" w:hAnsi="Arial" w:cs="Arial"/>
        </w:rPr>
        <w:t xml:space="preserve">the progress of this submission.  There was detailed discussion on the issue at the </w:t>
      </w:r>
      <w:r>
        <w:rPr>
          <w:rFonts w:ascii="Arial" w:hAnsi="Arial" w:cs="Arial"/>
        </w:rPr>
        <w:t xml:space="preserve">October and December </w:t>
      </w:r>
      <w:r w:rsidRPr="00977038">
        <w:rPr>
          <w:rFonts w:ascii="Arial" w:hAnsi="Arial" w:cs="Arial"/>
        </w:rPr>
        <w:t>Board meeting</w:t>
      </w:r>
      <w:r>
        <w:rPr>
          <w:rFonts w:ascii="Arial" w:hAnsi="Arial" w:cs="Arial"/>
        </w:rPr>
        <w:t>s</w:t>
      </w:r>
      <w:r w:rsidRPr="00977038">
        <w:rPr>
          <w:rFonts w:ascii="Arial" w:hAnsi="Arial" w:cs="Arial"/>
        </w:rPr>
        <w:t xml:space="preserve"> with a </w:t>
      </w:r>
      <w:r>
        <w:rPr>
          <w:rFonts w:ascii="Arial" w:hAnsi="Arial" w:cs="Arial"/>
        </w:rPr>
        <w:t xml:space="preserve">meeting of the Audit Committee </w:t>
      </w:r>
      <w:r w:rsidRPr="00977038">
        <w:rPr>
          <w:rFonts w:ascii="Arial" w:hAnsi="Arial" w:cs="Arial"/>
        </w:rPr>
        <w:t xml:space="preserve">with management and external advisers of the Company on </w:t>
      </w:r>
      <w:r>
        <w:rPr>
          <w:rFonts w:ascii="Arial" w:hAnsi="Arial" w:cs="Arial"/>
        </w:rPr>
        <w:t xml:space="preserve">7 </w:t>
      </w:r>
      <w:r w:rsidRPr="00977038">
        <w:rPr>
          <w:rFonts w:ascii="Arial" w:hAnsi="Arial" w:cs="Arial"/>
        </w:rPr>
        <w:t>January 201</w:t>
      </w:r>
      <w:r>
        <w:rPr>
          <w:rFonts w:ascii="Arial" w:hAnsi="Arial" w:cs="Arial"/>
        </w:rPr>
        <w:t>6</w:t>
      </w:r>
      <w:r w:rsidRPr="00977038">
        <w:rPr>
          <w:rFonts w:ascii="Arial" w:hAnsi="Arial" w:cs="Arial"/>
        </w:rPr>
        <w:t xml:space="preserve">.  </w:t>
      </w:r>
    </w:p>
    <w:p w:rsidR="00FC199D" w:rsidRDefault="00FC199D" w:rsidP="002E79D7">
      <w:pPr>
        <w:spacing w:after="0"/>
        <w:rPr>
          <w:rFonts w:ascii="Arial" w:hAnsi="Arial" w:cs="Arial"/>
        </w:rPr>
      </w:pPr>
    </w:p>
    <w:p w:rsidR="007A1724" w:rsidRDefault="007A1724" w:rsidP="002E79D7">
      <w:pPr>
        <w:spacing w:after="0"/>
        <w:rPr>
          <w:rFonts w:ascii="Arial" w:hAnsi="Arial" w:cs="Arial"/>
        </w:rPr>
      </w:pPr>
      <w:r w:rsidRPr="00977038">
        <w:rPr>
          <w:rFonts w:ascii="Arial" w:hAnsi="Arial" w:cs="Arial"/>
        </w:rPr>
        <w:t xml:space="preserve">The Board therefore believes it is in a position to confirm the following:- </w:t>
      </w:r>
    </w:p>
    <w:p w:rsidR="00FC199D" w:rsidRPr="00977038" w:rsidRDefault="00FC199D" w:rsidP="002E79D7">
      <w:pPr>
        <w:spacing w:after="0"/>
        <w:rPr>
          <w:rFonts w:ascii="Arial" w:hAnsi="Arial" w:cs="Arial"/>
        </w:rPr>
      </w:pPr>
    </w:p>
    <w:p w:rsidR="007A1724" w:rsidRPr="00977038" w:rsidRDefault="007A1724" w:rsidP="002E79D7">
      <w:pPr>
        <w:pStyle w:val="ListParagraph"/>
        <w:numPr>
          <w:ilvl w:val="0"/>
          <w:numId w:val="3"/>
        </w:numPr>
        <w:spacing w:after="0"/>
        <w:ind w:left="360"/>
        <w:rPr>
          <w:rFonts w:ascii="Arial" w:hAnsi="Arial" w:cs="Arial"/>
        </w:rPr>
      </w:pPr>
      <w:r w:rsidRPr="00977038">
        <w:rPr>
          <w:rFonts w:ascii="Arial" w:hAnsi="Arial" w:cs="Arial"/>
        </w:rPr>
        <w:t xml:space="preserve">The </w:t>
      </w:r>
      <w:r>
        <w:rPr>
          <w:rFonts w:ascii="Arial" w:hAnsi="Arial" w:cs="Arial"/>
        </w:rPr>
        <w:t>C</w:t>
      </w:r>
      <w:r w:rsidRPr="00977038">
        <w:rPr>
          <w:rFonts w:ascii="Arial" w:hAnsi="Arial" w:cs="Arial"/>
        </w:rPr>
        <w:t xml:space="preserve">ompany complies with its legal obligations (including competition law) relating to the charges set out in its charges schemes. </w:t>
      </w:r>
    </w:p>
    <w:p w:rsidR="00FC199D" w:rsidRDefault="00FC199D" w:rsidP="002E79D7">
      <w:pPr>
        <w:spacing w:after="0"/>
        <w:ind w:left="360"/>
        <w:rPr>
          <w:rFonts w:ascii="Arial" w:hAnsi="Arial" w:cs="Arial"/>
          <w:i/>
        </w:rPr>
      </w:pPr>
    </w:p>
    <w:p w:rsidR="007A1724" w:rsidRDefault="007A1724" w:rsidP="002E79D7">
      <w:pPr>
        <w:spacing w:after="0"/>
        <w:ind w:left="360"/>
        <w:rPr>
          <w:rFonts w:ascii="Arial" w:hAnsi="Arial" w:cs="Arial"/>
          <w:i/>
        </w:rPr>
      </w:pPr>
      <w:r w:rsidRPr="00977038">
        <w:rPr>
          <w:rFonts w:ascii="Arial" w:hAnsi="Arial" w:cs="Arial"/>
          <w:i/>
        </w:rPr>
        <w:t xml:space="preserve">Specifically we confirm that the charges result in compliance with the three revenue caps of wholesale, household </w:t>
      </w:r>
      <w:r>
        <w:rPr>
          <w:rFonts w:ascii="Arial" w:hAnsi="Arial" w:cs="Arial"/>
          <w:i/>
        </w:rPr>
        <w:t>retail and non-household retail and that the costs associated with Open Water are appropriately recovered from our non-household customer base only.</w:t>
      </w:r>
    </w:p>
    <w:p w:rsidR="00FC199D" w:rsidRDefault="00FC199D" w:rsidP="002E79D7">
      <w:pPr>
        <w:spacing w:after="0"/>
        <w:ind w:left="360"/>
        <w:rPr>
          <w:rFonts w:ascii="Arial" w:hAnsi="Arial" w:cs="Arial"/>
          <w:i/>
        </w:rPr>
      </w:pPr>
    </w:p>
    <w:p w:rsidR="00FC199D" w:rsidRDefault="007A1724" w:rsidP="002E79D7">
      <w:pPr>
        <w:spacing w:after="0"/>
        <w:ind w:left="360"/>
        <w:rPr>
          <w:rFonts w:ascii="Arial" w:hAnsi="Arial" w:cs="Arial"/>
          <w:i/>
        </w:rPr>
      </w:pPr>
      <w:r w:rsidRPr="00532E29">
        <w:rPr>
          <w:rFonts w:ascii="Arial" w:hAnsi="Arial" w:cs="Arial"/>
          <w:i/>
        </w:rPr>
        <w:t>Further we are able to confirm that</w:t>
      </w:r>
      <w:r w:rsidR="00FC199D">
        <w:rPr>
          <w:rFonts w:ascii="Arial" w:hAnsi="Arial" w:cs="Arial"/>
          <w:i/>
        </w:rPr>
        <w:t>:-</w:t>
      </w:r>
    </w:p>
    <w:p w:rsidR="007A1724" w:rsidRPr="002E79D7" w:rsidRDefault="007A1724" w:rsidP="002E79D7">
      <w:pPr>
        <w:spacing w:after="0"/>
        <w:ind w:left="360"/>
        <w:rPr>
          <w:rFonts w:ascii="Arial" w:hAnsi="Arial" w:cs="Arial"/>
          <w:i/>
        </w:rPr>
      </w:pPr>
      <w:r w:rsidRPr="002E79D7">
        <w:rPr>
          <w:rFonts w:ascii="Arial" w:hAnsi="Arial" w:cs="Arial"/>
          <w:i/>
        </w:rPr>
        <w:t xml:space="preserve"> </w:t>
      </w:r>
    </w:p>
    <w:p w:rsidR="007A1724" w:rsidRPr="002E79D7" w:rsidRDefault="007A1724" w:rsidP="002E79D7">
      <w:pPr>
        <w:pStyle w:val="ListParagraph"/>
        <w:numPr>
          <w:ilvl w:val="0"/>
          <w:numId w:val="2"/>
        </w:numPr>
        <w:spacing w:after="0"/>
        <w:rPr>
          <w:rFonts w:ascii="Arial" w:hAnsi="Arial" w:cs="Arial"/>
          <w:i/>
        </w:rPr>
      </w:pPr>
      <w:r w:rsidRPr="002E79D7">
        <w:rPr>
          <w:rFonts w:ascii="Arial" w:hAnsi="Arial" w:cs="Arial"/>
          <w:i/>
        </w:rPr>
        <w:t xml:space="preserve">The </w:t>
      </w:r>
      <w:r w:rsidR="00E84E83" w:rsidRPr="002E79D7">
        <w:rPr>
          <w:rFonts w:ascii="Arial" w:hAnsi="Arial" w:cs="Arial"/>
          <w:i/>
        </w:rPr>
        <w:t xml:space="preserve">bill </w:t>
      </w:r>
      <w:r w:rsidR="002E79D7">
        <w:rPr>
          <w:rFonts w:ascii="Arial" w:hAnsi="Arial" w:cs="Arial"/>
          <w:i/>
        </w:rPr>
        <w:t>“</w:t>
      </w:r>
      <w:r w:rsidRPr="002E79D7">
        <w:rPr>
          <w:rFonts w:ascii="Arial" w:hAnsi="Arial" w:cs="Arial"/>
          <w:i/>
        </w:rPr>
        <w:t>differential</w:t>
      </w:r>
      <w:r w:rsidR="002E79D7">
        <w:rPr>
          <w:rFonts w:ascii="Arial" w:hAnsi="Arial" w:cs="Arial"/>
          <w:i/>
        </w:rPr>
        <w:t>”</w:t>
      </w:r>
      <w:r w:rsidRPr="002E79D7">
        <w:rPr>
          <w:rFonts w:ascii="Arial" w:hAnsi="Arial" w:cs="Arial"/>
          <w:i/>
        </w:rPr>
        <w:t xml:space="preserve"> </w:t>
      </w:r>
      <w:r w:rsidR="00E84E83" w:rsidRPr="002E79D7">
        <w:rPr>
          <w:rFonts w:ascii="Arial" w:hAnsi="Arial" w:cs="Arial"/>
          <w:i/>
        </w:rPr>
        <w:t xml:space="preserve">for </w:t>
      </w:r>
      <w:r w:rsidR="002E79D7">
        <w:rPr>
          <w:rFonts w:ascii="Arial" w:hAnsi="Arial" w:cs="Arial"/>
          <w:i/>
        </w:rPr>
        <w:t xml:space="preserve">household </w:t>
      </w:r>
      <w:r w:rsidR="00E84E83" w:rsidRPr="002E79D7">
        <w:rPr>
          <w:rFonts w:ascii="Arial" w:hAnsi="Arial" w:cs="Arial"/>
          <w:i/>
        </w:rPr>
        <w:t xml:space="preserve">customers using the same volume of water but charged on different basis, namely </w:t>
      </w:r>
      <w:r w:rsidRPr="002E79D7">
        <w:rPr>
          <w:rFonts w:ascii="Arial" w:hAnsi="Arial" w:cs="Arial"/>
          <w:i/>
        </w:rPr>
        <w:t>measured and unmeasured</w:t>
      </w:r>
      <w:r w:rsidR="00E84E83" w:rsidRPr="002E79D7">
        <w:rPr>
          <w:rFonts w:ascii="Arial" w:hAnsi="Arial" w:cs="Arial"/>
          <w:i/>
        </w:rPr>
        <w:t>,</w:t>
      </w:r>
      <w:r w:rsidRPr="002E79D7">
        <w:rPr>
          <w:rFonts w:ascii="Arial" w:hAnsi="Arial" w:cs="Arial"/>
          <w:i/>
        </w:rPr>
        <w:t xml:space="preserve"> is circa £3</w:t>
      </w:r>
      <w:r w:rsidR="009708FB">
        <w:rPr>
          <w:rFonts w:ascii="Arial" w:hAnsi="Arial" w:cs="Arial"/>
          <w:i/>
        </w:rPr>
        <w:t>5</w:t>
      </w:r>
      <w:r w:rsidRPr="002E79D7">
        <w:rPr>
          <w:rFonts w:ascii="Arial" w:hAnsi="Arial" w:cs="Arial"/>
          <w:i/>
        </w:rPr>
        <w:t xml:space="preserve"> </w:t>
      </w:r>
      <w:r w:rsidR="00FC199D" w:rsidRPr="002E79D7">
        <w:rPr>
          <w:rFonts w:ascii="Arial" w:hAnsi="Arial" w:cs="Arial"/>
          <w:i/>
        </w:rPr>
        <w:t xml:space="preserve">which </w:t>
      </w:r>
      <w:r w:rsidRPr="002E79D7">
        <w:rPr>
          <w:rFonts w:ascii="Arial" w:hAnsi="Arial" w:cs="Arial"/>
          <w:i/>
        </w:rPr>
        <w:t>reflect</w:t>
      </w:r>
      <w:r w:rsidR="00FC199D" w:rsidRPr="002E79D7">
        <w:rPr>
          <w:rFonts w:ascii="Arial" w:hAnsi="Arial" w:cs="Arial"/>
          <w:i/>
        </w:rPr>
        <w:t>s</w:t>
      </w:r>
      <w:r w:rsidRPr="002E79D7">
        <w:rPr>
          <w:rFonts w:ascii="Arial" w:hAnsi="Arial" w:cs="Arial"/>
          <w:i/>
        </w:rPr>
        <w:t xml:space="preserve"> the additional cost incurred in metering</w:t>
      </w:r>
      <w:r w:rsidR="009708FB">
        <w:rPr>
          <w:rFonts w:ascii="Arial" w:hAnsi="Arial" w:cs="Arial"/>
          <w:i/>
        </w:rPr>
        <w:t>.</w:t>
      </w:r>
    </w:p>
    <w:p w:rsidR="007A1724" w:rsidRPr="002E79D7" w:rsidRDefault="007A1724" w:rsidP="002E79D7">
      <w:pPr>
        <w:pStyle w:val="ListParagraph"/>
        <w:numPr>
          <w:ilvl w:val="0"/>
          <w:numId w:val="2"/>
        </w:numPr>
        <w:spacing w:after="0"/>
        <w:rPr>
          <w:rFonts w:ascii="Arial" w:hAnsi="Arial" w:cs="Arial"/>
          <w:i/>
        </w:rPr>
      </w:pPr>
      <w:r w:rsidRPr="002E79D7">
        <w:rPr>
          <w:rFonts w:ascii="Arial" w:hAnsi="Arial" w:cs="Arial"/>
          <w:i/>
        </w:rPr>
        <w:t>Assessed charges are consistent with volumes of similarly measured properties.</w:t>
      </w:r>
    </w:p>
    <w:p w:rsidR="007A1724" w:rsidRPr="002E79D7" w:rsidRDefault="007A1724" w:rsidP="002E79D7">
      <w:pPr>
        <w:pStyle w:val="ListParagraph"/>
        <w:numPr>
          <w:ilvl w:val="0"/>
          <w:numId w:val="2"/>
        </w:numPr>
        <w:spacing w:after="0"/>
        <w:rPr>
          <w:rFonts w:ascii="Arial" w:hAnsi="Arial" w:cs="Arial"/>
          <w:i/>
        </w:rPr>
      </w:pPr>
      <w:r w:rsidRPr="002E79D7">
        <w:rPr>
          <w:rFonts w:ascii="Arial" w:hAnsi="Arial" w:cs="Arial"/>
          <w:i/>
        </w:rPr>
        <w:t xml:space="preserve">The Watersure tariff is set equal to the average </w:t>
      </w:r>
      <w:r w:rsidR="002D34EC" w:rsidRPr="002E79D7">
        <w:rPr>
          <w:rFonts w:ascii="Arial" w:hAnsi="Arial" w:cs="Arial"/>
          <w:i/>
        </w:rPr>
        <w:t xml:space="preserve">measured </w:t>
      </w:r>
      <w:r w:rsidRPr="002E79D7">
        <w:rPr>
          <w:rFonts w:ascii="Arial" w:hAnsi="Arial" w:cs="Arial"/>
          <w:i/>
        </w:rPr>
        <w:t>household bill</w:t>
      </w:r>
    </w:p>
    <w:p w:rsidR="002E79D7" w:rsidRDefault="002E79D7" w:rsidP="002E79D7">
      <w:pPr>
        <w:spacing w:after="0"/>
        <w:ind w:left="360"/>
        <w:rPr>
          <w:rFonts w:ascii="Arial" w:hAnsi="Arial" w:cs="Arial"/>
          <w:i/>
        </w:rPr>
      </w:pPr>
    </w:p>
    <w:p w:rsidR="007A1724" w:rsidRDefault="007A1724" w:rsidP="002E79D7">
      <w:pPr>
        <w:spacing w:after="0"/>
        <w:ind w:left="360"/>
        <w:rPr>
          <w:rFonts w:ascii="Arial" w:hAnsi="Arial" w:cs="Arial"/>
          <w:i/>
          <w:szCs w:val="20"/>
        </w:rPr>
      </w:pPr>
      <w:r w:rsidRPr="00F71F5A">
        <w:rPr>
          <w:rFonts w:ascii="Arial" w:hAnsi="Arial" w:cs="Arial"/>
          <w:i/>
        </w:rPr>
        <w:t xml:space="preserve">As such we do not believe the tariffs </w:t>
      </w:r>
      <w:r w:rsidRPr="00F71F5A">
        <w:rPr>
          <w:rFonts w:ascii="Arial" w:hAnsi="Arial" w:cs="Arial"/>
          <w:i/>
          <w:szCs w:val="20"/>
        </w:rPr>
        <w:t xml:space="preserve">exhibit any undue discrimination between different </w:t>
      </w:r>
      <w:r>
        <w:rPr>
          <w:rFonts w:ascii="Arial" w:hAnsi="Arial" w:cs="Arial"/>
          <w:i/>
          <w:szCs w:val="20"/>
        </w:rPr>
        <w:t xml:space="preserve">classes </w:t>
      </w:r>
      <w:r w:rsidRPr="00F71F5A">
        <w:rPr>
          <w:rFonts w:ascii="Arial" w:hAnsi="Arial" w:cs="Arial"/>
          <w:i/>
          <w:szCs w:val="20"/>
        </w:rPr>
        <w:t>of customer.</w:t>
      </w:r>
    </w:p>
    <w:p w:rsidR="00FC199D" w:rsidRPr="00F71F5A" w:rsidRDefault="00FC199D" w:rsidP="002E79D7">
      <w:pPr>
        <w:spacing w:after="0"/>
        <w:ind w:left="360"/>
        <w:rPr>
          <w:rFonts w:ascii="Arial" w:hAnsi="Arial" w:cs="Arial"/>
          <w:i/>
        </w:rPr>
      </w:pPr>
    </w:p>
    <w:p w:rsidR="00FC199D" w:rsidRDefault="00B16FF2" w:rsidP="002E79D7">
      <w:pPr>
        <w:spacing w:after="0"/>
        <w:ind w:left="360"/>
        <w:rPr>
          <w:rFonts w:ascii="Arial" w:hAnsi="Arial" w:cs="Arial"/>
          <w:i/>
        </w:rPr>
      </w:pPr>
      <w:r>
        <w:rPr>
          <w:rFonts w:ascii="Arial" w:hAnsi="Arial" w:cs="Arial"/>
          <w:i/>
        </w:rPr>
        <w:t xml:space="preserve">Whilst the Company has rigorous processes in place to accurately develop its tariffs and associated </w:t>
      </w:r>
      <w:r w:rsidR="00A8059C">
        <w:rPr>
          <w:rFonts w:ascii="Arial" w:hAnsi="Arial" w:cs="Arial"/>
          <w:i/>
        </w:rPr>
        <w:t>c</w:t>
      </w:r>
      <w:r>
        <w:rPr>
          <w:rFonts w:ascii="Arial" w:hAnsi="Arial" w:cs="Arial"/>
          <w:i/>
        </w:rPr>
        <w:t xml:space="preserve">harges </w:t>
      </w:r>
      <w:r w:rsidR="00A8059C">
        <w:rPr>
          <w:rFonts w:ascii="Arial" w:hAnsi="Arial" w:cs="Arial"/>
          <w:i/>
        </w:rPr>
        <w:t>s</w:t>
      </w:r>
      <w:r>
        <w:rPr>
          <w:rFonts w:ascii="Arial" w:hAnsi="Arial" w:cs="Arial"/>
          <w:i/>
        </w:rPr>
        <w:t xml:space="preserve">chemes, it is of such importance to our customers that the Board believes external assurance should also be obtained.  </w:t>
      </w:r>
      <w:r w:rsidR="00052FF7">
        <w:rPr>
          <w:rFonts w:ascii="Arial" w:hAnsi="Arial" w:cs="Arial"/>
          <w:i/>
        </w:rPr>
        <w:t xml:space="preserve">Frontier Economics </w:t>
      </w:r>
      <w:r w:rsidR="007A1724" w:rsidRPr="00F71F5A">
        <w:rPr>
          <w:rFonts w:ascii="Arial" w:hAnsi="Arial" w:cs="Arial"/>
          <w:i/>
        </w:rPr>
        <w:t>ha</w:t>
      </w:r>
      <w:r w:rsidR="00052FF7">
        <w:rPr>
          <w:rFonts w:ascii="Arial" w:hAnsi="Arial" w:cs="Arial"/>
          <w:i/>
        </w:rPr>
        <w:t>s</w:t>
      </w:r>
      <w:r w:rsidR="007A1724" w:rsidRPr="00F71F5A">
        <w:rPr>
          <w:rFonts w:ascii="Arial" w:hAnsi="Arial" w:cs="Arial"/>
          <w:i/>
        </w:rPr>
        <w:t xml:space="preserve"> provided </w:t>
      </w:r>
      <w:r w:rsidR="007A1724" w:rsidRPr="00977038">
        <w:rPr>
          <w:rFonts w:ascii="Arial" w:hAnsi="Arial" w:cs="Arial"/>
          <w:i/>
        </w:rPr>
        <w:t xml:space="preserve">external assurance that the proposal is compliant.  </w:t>
      </w:r>
    </w:p>
    <w:p w:rsidR="00FC199D" w:rsidRDefault="00FC199D" w:rsidP="002E79D7">
      <w:pPr>
        <w:spacing w:after="0"/>
        <w:ind w:left="360"/>
        <w:rPr>
          <w:rFonts w:ascii="Arial" w:hAnsi="Arial" w:cs="Arial"/>
          <w:i/>
        </w:rPr>
      </w:pPr>
    </w:p>
    <w:p w:rsidR="007A1724" w:rsidRDefault="007A1724" w:rsidP="002E79D7">
      <w:pPr>
        <w:spacing w:after="0"/>
        <w:ind w:left="360"/>
        <w:rPr>
          <w:rFonts w:ascii="Arial" w:hAnsi="Arial" w:cs="Arial"/>
          <w:i/>
        </w:rPr>
      </w:pPr>
      <w:r w:rsidRPr="00977038">
        <w:rPr>
          <w:rFonts w:ascii="Arial" w:hAnsi="Arial" w:cs="Arial"/>
          <w:i/>
        </w:rPr>
        <w:t xml:space="preserve">The Board believe Frontier Economics are well placed to give this assurance given their knowledge of the water industry and experience in advising clients in Scotland </w:t>
      </w:r>
      <w:r>
        <w:rPr>
          <w:rFonts w:ascii="Arial" w:hAnsi="Arial" w:cs="Arial"/>
          <w:i/>
        </w:rPr>
        <w:t xml:space="preserve">on tariff issues </w:t>
      </w:r>
      <w:r w:rsidRPr="00977038">
        <w:rPr>
          <w:rFonts w:ascii="Arial" w:hAnsi="Arial" w:cs="Arial"/>
          <w:i/>
        </w:rPr>
        <w:t>in particular, given the similarities of approach</w:t>
      </w:r>
      <w:r>
        <w:rPr>
          <w:rFonts w:ascii="Arial" w:hAnsi="Arial" w:cs="Arial"/>
          <w:i/>
        </w:rPr>
        <w:t xml:space="preserve"> with England &amp; Wales</w:t>
      </w:r>
      <w:r w:rsidRPr="00977038">
        <w:rPr>
          <w:rFonts w:ascii="Arial" w:hAnsi="Arial" w:cs="Arial"/>
          <w:i/>
        </w:rPr>
        <w:t xml:space="preserve">.  </w:t>
      </w:r>
    </w:p>
    <w:p w:rsidR="00FC199D" w:rsidRPr="00977038" w:rsidRDefault="00FC199D" w:rsidP="002E79D7">
      <w:pPr>
        <w:spacing w:after="0"/>
        <w:ind w:left="360"/>
        <w:rPr>
          <w:rFonts w:ascii="Arial" w:hAnsi="Arial" w:cs="Arial"/>
          <w:i/>
        </w:rPr>
      </w:pPr>
    </w:p>
    <w:p w:rsidR="007A1724" w:rsidRDefault="007A1724" w:rsidP="002E79D7">
      <w:pPr>
        <w:pStyle w:val="Default"/>
        <w:numPr>
          <w:ilvl w:val="0"/>
          <w:numId w:val="3"/>
        </w:numPr>
        <w:ind w:left="360"/>
        <w:rPr>
          <w:color w:val="auto"/>
          <w:sz w:val="22"/>
          <w:szCs w:val="22"/>
        </w:rPr>
      </w:pPr>
      <w:r w:rsidRPr="00977038">
        <w:rPr>
          <w:color w:val="auto"/>
          <w:sz w:val="22"/>
          <w:szCs w:val="22"/>
        </w:rPr>
        <w:t>The Board has assessed the effects the new charges have on customers’ bills for a ran</w:t>
      </w:r>
      <w:r>
        <w:rPr>
          <w:color w:val="auto"/>
          <w:sz w:val="22"/>
          <w:szCs w:val="22"/>
        </w:rPr>
        <w:t>ge of different customer types.</w:t>
      </w:r>
    </w:p>
    <w:p w:rsidR="00FC199D" w:rsidRDefault="00FC199D" w:rsidP="002E79D7">
      <w:pPr>
        <w:pStyle w:val="Default"/>
        <w:ind w:left="360"/>
        <w:rPr>
          <w:color w:val="auto"/>
          <w:sz w:val="22"/>
          <w:szCs w:val="22"/>
        </w:rPr>
      </w:pPr>
    </w:p>
    <w:p w:rsidR="007A1724" w:rsidRDefault="007A1724" w:rsidP="002E79D7">
      <w:pPr>
        <w:pStyle w:val="Default"/>
        <w:ind w:left="360"/>
        <w:rPr>
          <w:i/>
          <w:color w:val="auto"/>
          <w:sz w:val="22"/>
          <w:szCs w:val="22"/>
        </w:rPr>
      </w:pPr>
      <w:r w:rsidRPr="00977038">
        <w:rPr>
          <w:i/>
          <w:color w:val="auto"/>
          <w:sz w:val="22"/>
          <w:szCs w:val="22"/>
        </w:rPr>
        <w:t xml:space="preserve">The Board can confirm that no group of customers will experience a change in bills greater than 5% as a result of </w:t>
      </w:r>
      <w:r>
        <w:rPr>
          <w:i/>
          <w:color w:val="auto"/>
          <w:sz w:val="22"/>
          <w:szCs w:val="22"/>
        </w:rPr>
        <w:t xml:space="preserve">the proposed </w:t>
      </w:r>
      <w:r w:rsidRPr="00977038">
        <w:rPr>
          <w:i/>
          <w:color w:val="auto"/>
          <w:sz w:val="22"/>
          <w:szCs w:val="22"/>
        </w:rPr>
        <w:t>price changes</w:t>
      </w:r>
      <w:r>
        <w:rPr>
          <w:i/>
          <w:color w:val="auto"/>
          <w:sz w:val="22"/>
          <w:szCs w:val="22"/>
        </w:rPr>
        <w:t xml:space="preserve">. Over 30 groups of customer have been reviewed, including the average in a class and an upper and lower customer in the class as required by Ofwat guidelines. </w:t>
      </w:r>
    </w:p>
    <w:p w:rsidR="00FC199D" w:rsidRPr="00977038" w:rsidRDefault="00FC199D" w:rsidP="002E79D7">
      <w:pPr>
        <w:pStyle w:val="Default"/>
        <w:ind w:left="360"/>
        <w:rPr>
          <w:i/>
          <w:color w:val="auto"/>
          <w:sz w:val="22"/>
          <w:szCs w:val="22"/>
        </w:rPr>
      </w:pPr>
    </w:p>
    <w:p w:rsidR="00FC199D" w:rsidRDefault="007A1724" w:rsidP="002E79D7">
      <w:pPr>
        <w:pStyle w:val="Default"/>
        <w:numPr>
          <w:ilvl w:val="0"/>
          <w:numId w:val="3"/>
        </w:numPr>
        <w:ind w:left="360"/>
        <w:rPr>
          <w:color w:val="auto"/>
          <w:sz w:val="22"/>
          <w:szCs w:val="22"/>
        </w:rPr>
      </w:pPr>
      <w:r w:rsidRPr="00977038">
        <w:rPr>
          <w:color w:val="auto"/>
          <w:sz w:val="22"/>
          <w:szCs w:val="22"/>
        </w:rPr>
        <w:t xml:space="preserve">The </w:t>
      </w:r>
      <w:r>
        <w:rPr>
          <w:color w:val="auto"/>
          <w:sz w:val="22"/>
          <w:szCs w:val="22"/>
        </w:rPr>
        <w:t>C</w:t>
      </w:r>
      <w:r w:rsidRPr="00977038">
        <w:rPr>
          <w:color w:val="auto"/>
          <w:sz w:val="22"/>
          <w:szCs w:val="22"/>
        </w:rPr>
        <w:t xml:space="preserve">ompany has appropriate systems and processes in place to make sure that the data and information contained in the charges scheme, and additional information is </w:t>
      </w:r>
      <w:r w:rsidR="00B16FF2">
        <w:rPr>
          <w:color w:val="auto"/>
          <w:sz w:val="22"/>
          <w:szCs w:val="22"/>
        </w:rPr>
        <w:t xml:space="preserve">appropriate. </w:t>
      </w:r>
    </w:p>
    <w:p w:rsidR="007A1724" w:rsidRDefault="007A1724" w:rsidP="002E79D7">
      <w:pPr>
        <w:pStyle w:val="Default"/>
        <w:ind w:left="360"/>
        <w:rPr>
          <w:color w:val="auto"/>
          <w:sz w:val="22"/>
          <w:szCs w:val="22"/>
        </w:rPr>
      </w:pPr>
    </w:p>
    <w:p w:rsidR="007A1724" w:rsidRPr="00977038" w:rsidRDefault="007A1724" w:rsidP="002E79D7">
      <w:pPr>
        <w:pStyle w:val="Default"/>
        <w:ind w:left="360"/>
        <w:rPr>
          <w:i/>
          <w:color w:val="auto"/>
          <w:sz w:val="22"/>
          <w:szCs w:val="22"/>
        </w:rPr>
      </w:pPr>
      <w:r>
        <w:rPr>
          <w:i/>
          <w:color w:val="auto"/>
          <w:sz w:val="22"/>
          <w:szCs w:val="22"/>
        </w:rPr>
        <w:t>T</w:t>
      </w:r>
      <w:r w:rsidRPr="00977038">
        <w:rPr>
          <w:i/>
          <w:color w:val="auto"/>
          <w:sz w:val="22"/>
          <w:szCs w:val="22"/>
        </w:rPr>
        <w:t>he Board acknowledge the importance of the projected denominators for the charging year 201</w:t>
      </w:r>
      <w:r>
        <w:rPr>
          <w:i/>
          <w:color w:val="auto"/>
          <w:sz w:val="22"/>
          <w:szCs w:val="22"/>
        </w:rPr>
        <w:t>6</w:t>
      </w:r>
      <w:r w:rsidRPr="00977038">
        <w:rPr>
          <w:i/>
          <w:color w:val="auto"/>
          <w:sz w:val="22"/>
          <w:szCs w:val="22"/>
        </w:rPr>
        <w:t>/1</w:t>
      </w:r>
      <w:r>
        <w:rPr>
          <w:i/>
          <w:color w:val="auto"/>
          <w:sz w:val="22"/>
          <w:szCs w:val="22"/>
        </w:rPr>
        <w:t>7</w:t>
      </w:r>
      <w:r w:rsidRPr="00977038">
        <w:rPr>
          <w:i/>
          <w:color w:val="auto"/>
          <w:sz w:val="22"/>
          <w:szCs w:val="22"/>
        </w:rPr>
        <w:t>.  These have been established with reference to the mid-year position for 201</w:t>
      </w:r>
      <w:r>
        <w:rPr>
          <w:i/>
          <w:color w:val="auto"/>
          <w:sz w:val="22"/>
          <w:szCs w:val="22"/>
        </w:rPr>
        <w:t>5</w:t>
      </w:r>
      <w:r w:rsidRPr="00977038">
        <w:rPr>
          <w:i/>
          <w:color w:val="auto"/>
          <w:sz w:val="22"/>
          <w:szCs w:val="22"/>
        </w:rPr>
        <w:t>/1</w:t>
      </w:r>
      <w:r>
        <w:rPr>
          <w:i/>
          <w:color w:val="auto"/>
          <w:sz w:val="22"/>
          <w:szCs w:val="22"/>
        </w:rPr>
        <w:t>6</w:t>
      </w:r>
      <w:r w:rsidRPr="00977038">
        <w:rPr>
          <w:i/>
          <w:color w:val="auto"/>
          <w:sz w:val="22"/>
          <w:szCs w:val="22"/>
        </w:rPr>
        <w:t xml:space="preserve"> with the growth forecasts as per our Business Plan.</w:t>
      </w:r>
    </w:p>
    <w:p w:rsidR="00FC199D" w:rsidRDefault="00FC199D" w:rsidP="002E79D7">
      <w:pPr>
        <w:pStyle w:val="Default"/>
        <w:ind w:left="360"/>
        <w:rPr>
          <w:i/>
          <w:color w:val="auto"/>
          <w:sz w:val="22"/>
          <w:szCs w:val="22"/>
        </w:rPr>
      </w:pPr>
    </w:p>
    <w:p w:rsidR="007A1724" w:rsidRDefault="007A1724" w:rsidP="002E79D7">
      <w:pPr>
        <w:pStyle w:val="Default"/>
        <w:ind w:left="360"/>
        <w:rPr>
          <w:i/>
          <w:color w:val="auto"/>
          <w:sz w:val="22"/>
          <w:szCs w:val="22"/>
        </w:rPr>
      </w:pPr>
      <w:r w:rsidRPr="00977038">
        <w:rPr>
          <w:i/>
          <w:color w:val="auto"/>
          <w:sz w:val="22"/>
          <w:szCs w:val="22"/>
        </w:rPr>
        <w:t xml:space="preserve">We have engaged our </w:t>
      </w:r>
      <w:r>
        <w:rPr>
          <w:i/>
          <w:color w:val="auto"/>
          <w:sz w:val="22"/>
          <w:szCs w:val="22"/>
        </w:rPr>
        <w:t xml:space="preserve">technical </w:t>
      </w:r>
      <w:r w:rsidRPr="00977038">
        <w:rPr>
          <w:i/>
          <w:color w:val="auto"/>
          <w:sz w:val="22"/>
          <w:szCs w:val="22"/>
        </w:rPr>
        <w:t xml:space="preserve">auditors, </w:t>
      </w:r>
      <w:r>
        <w:rPr>
          <w:i/>
          <w:color w:val="auto"/>
          <w:sz w:val="22"/>
          <w:szCs w:val="22"/>
        </w:rPr>
        <w:t xml:space="preserve">WS Atkins </w:t>
      </w:r>
      <w:r w:rsidRPr="00977038">
        <w:rPr>
          <w:i/>
          <w:color w:val="auto"/>
          <w:sz w:val="22"/>
          <w:szCs w:val="22"/>
        </w:rPr>
        <w:t xml:space="preserve">to audit the </w:t>
      </w:r>
      <w:r>
        <w:rPr>
          <w:i/>
          <w:color w:val="auto"/>
          <w:sz w:val="22"/>
          <w:szCs w:val="22"/>
        </w:rPr>
        <w:t xml:space="preserve">2015/16 </w:t>
      </w:r>
      <w:r w:rsidRPr="00977038">
        <w:rPr>
          <w:i/>
          <w:color w:val="auto"/>
          <w:sz w:val="22"/>
          <w:szCs w:val="22"/>
        </w:rPr>
        <w:t>base data.  They have confirmed that the historic data on which we have established our</w:t>
      </w:r>
      <w:r>
        <w:rPr>
          <w:i/>
          <w:color w:val="auto"/>
          <w:sz w:val="22"/>
          <w:szCs w:val="22"/>
        </w:rPr>
        <w:t xml:space="preserve"> 2016/17 </w:t>
      </w:r>
      <w:r w:rsidRPr="00977038">
        <w:rPr>
          <w:i/>
          <w:color w:val="auto"/>
          <w:sz w:val="22"/>
          <w:szCs w:val="22"/>
        </w:rPr>
        <w:t xml:space="preserve">denominators is </w:t>
      </w:r>
      <w:r w:rsidR="00052FF7">
        <w:rPr>
          <w:i/>
          <w:color w:val="auto"/>
          <w:sz w:val="22"/>
          <w:szCs w:val="22"/>
        </w:rPr>
        <w:t xml:space="preserve">appropriate. </w:t>
      </w:r>
    </w:p>
    <w:p w:rsidR="00FC199D" w:rsidRDefault="00FC199D" w:rsidP="002E79D7">
      <w:pPr>
        <w:spacing w:after="0"/>
        <w:ind w:left="360"/>
        <w:rPr>
          <w:rFonts w:ascii="Arial" w:hAnsi="Arial" w:cs="Arial"/>
          <w:i/>
        </w:rPr>
      </w:pPr>
    </w:p>
    <w:p w:rsidR="007A1724" w:rsidRDefault="007A1724" w:rsidP="002E79D7">
      <w:pPr>
        <w:spacing w:after="0"/>
        <w:ind w:left="360"/>
        <w:rPr>
          <w:rFonts w:ascii="Arial" w:hAnsi="Arial" w:cs="Arial"/>
          <w:i/>
        </w:rPr>
      </w:pPr>
      <w:r w:rsidRPr="00977038">
        <w:rPr>
          <w:rFonts w:ascii="Arial" w:hAnsi="Arial" w:cs="Arial"/>
          <w:i/>
        </w:rPr>
        <w:t xml:space="preserve">The Board believe </w:t>
      </w:r>
      <w:r>
        <w:rPr>
          <w:rFonts w:ascii="Arial" w:hAnsi="Arial" w:cs="Arial"/>
          <w:i/>
        </w:rPr>
        <w:t xml:space="preserve">WS Atkins </w:t>
      </w:r>
      <w:r w:rsidRPr="00977038">
        <w:rPr>
          <w:rFonts w:ascii="Arial" w:hAnsi="Arial" w:cs="Arial"/>
          <w:i/>
        </w:rPr>
        <w:t xml:space="preserve">are well placed to give this assurance given their knowledge of the </w:t>
      </w:r>
      <w:r>
        <w:rPr>
          <w:rFonts w:ascii="Arial" w:hAnsi="Arial" w:cs="Arial"/>
          <w:i/>
        </w:rPr>
        <w:t xml:space="preserve">Company systems as part of its annual audits, in particular our  billing system which was installed in October </w:t>
      </w:r>
      <w:r w:rsidRPr="00116A89">
        <w:rPr>
          <w:rFonts w:ascii="Arial" w:hAnsi="Arial" w:cs="Arial"/>
          <w:i/>
        </w:rPr>
        <w:t>2012.</w:t>
      </w:r>
    </w:p>
    <w:p w:rsidR="00FC199D" w:rsidRPr="00977038" w:rsidRDefault="00FC199D" w:rsidP="002E79D7">
      <w:pPr>
        <w:spacing w:after="0"/>
        <w:ind w:left="360"/>
        <w:rPr>
          <w:rFonts w:ascii="Arial" w:hAnsi="Arial" w:cs="Arial"/>
          <w:i/>
        </w:rPr>
      </w:pPr>
    </w:p>
    <w:p w:rsidR="007A1724" w:rsidRDefault="007A1724" w:rsidP="001F7083">
      <w:pPr>
        <w:pStyle w:val="Default"/>
        <w:numPr>
          <w:ilvl w:val="0"/>
          <w:numId w:val="3"/>
        </w:numPr>
        <w:ind w:left="360"/>
        <w:rPr>
          <w:color w:val="auto"/>
          <w:sz w:val="22"/>
          <w:szCs w:val="22"/>
        </w:rPr>
      </w:pPr>
      <w:r w:rsidRPr="00977038">
        <w:rPr>
          <w:color w:val="auto"/>
          <w:sz w:val="22"/>
          <w:szCs w:val="22"/>
        </w:rPr>
        <w:t xml:space="preserve">The </w:t>
      </w:r>
      <w:r>
        <w:rPr>
          <w:color w:val="auto"/>
          <w:sz w:val="22"/>
          <w:szCs w:val="22"/>
        </w:rPr>
        <w:t>C</w:t>
      </w:r>
      <w:r w:rsidRPr="00977038">
        <w:rPr>
          <w:color w:val="auto"/>
          <w:sz w:val="22"/>
          <w:szCs w:val="22"/>
        </w:rPr>
        <w:t xml:space="preserve">ompany has consulted the Consumer Council for Water (CCWater) in a timely and effective manner on their charges schemes. </w:t>
      </w:r>
    </w:p>
    <w:p w:rsidR="007A1724" w:rsidRDefault="007A1724">
      <w:pPr>
        <w:pStyle w:val="Default"/>
        <w:ind w:left="360"/>
        <w:rPr>
          <w:i/>
          <w:color w:val="auto"/>
          <w:sz w:val="22"/>
          <w:szCs w:val="22"/>
        </w:rPr>
      </w:pPr>
    </w:p>
    <w:p w:rsidR="00FC199D" w:rsidRDefault="00A8059C">
      <w:pPr>
        <w:pStyle w:val="Default"/>
        <w:ind w:left="360"/>
        <w:rPr>
          <w:i/>
          <w:color w:val="auto"/>
          <w:sz w:val="22"/>
          <w:szCs w:val="22"/>
        </w:rPr>
      </w:pPr>
      <w:r>
        <w:rPr>
          <w:i/>
          <w:color w:val="auto"/>
          <w:sz w:val="22"/>
          <w:szCs w:val="22"/>
        </w:rPr>
        <w:t xml:space="preserve">We have consulted CCWater on all aspects of our charges schemes and specifically the development of our social tariff proposals.  When we met with local CCWater representatives on 24 November 2015 they raised only a few issues with us.  </w:t>
      </w:r>
    </w:p>
    <w:p w:rsidR="00FC199D" w:rsidRDefault="00FC199D">
      <w:pPr>
        <w:pStyle w:val="Default"/>
        <w:ind w:left="360"/>
        <w:rPr>
          <w:i/>
          <w:color w:val="auto"/>
          <w:sz w:val="22"/>
          <w:szCs w:val="22"/>
        </w:rPr>
      </w:pPr>
    </w:p>
    <w:p w:rsidR="00A8059C" w:rsidRDefault="00A8059C">
      <w:pPr>
        <w:pStyle w:val="Default"/>
        <w:ind w:left="360"/>
        <w:rPr>
          <w:i/>
          <w:color w:val="auto"/>
          <w:sz w:val="22"/>
          <w:szCs w:val="22"/>
        </w:rPr>
      </w:pPr>
      <w:r>
        <w:rPr>
          <w:i/>
          <w:color w:val="auto"/>
          <w:sz w:val="22"/>
          <w:szCs w:val="22"/>
        </w:rPr>
        <w:t xml:space="preserve">The Company has now responded to each of these issues to the satisfaction of CCWater.  </w:t>
      </w:r>
    </w:p>
    <w:p w:rsidR="00A8059C" w:rsidRPr="00977038" w:rsidRDefault="00A8059C">
      <w:pPr>
        <w:pStyle w:val="Default"/>
        <w:ind w:left="360"/>
        <w:rPr>
          <w:i/>
          <w:color w:val="auto"/>
          <w:sz w:val="22"/>
          <w:szCs w:val="22"/>
        </w:rPr>
      </w:pPr>
    </w:p>
    <w:p w:rsidR="007A1724" w:rsidRDefault="007A1724">
      <w:pPr>
        <w:pStyle w:val="Default"/>
        <w:ind w:left="360"/>
        <w:rPr>
          <w:i/>
          <w:color w:val="auto"/>
          <w:sz w:val="22"/>
          <w:szCs w:val="22"/>
        </w:rPr>
      </w:pPr>
      <w:r w:rsidRPr="007A1724">
        <w:rPr>
          <w:i/>
          <w:color w:val="auto"/>
          <w:sz w:val="22"/>
          <w:szCs w:val="22"/>
        </w:rPr>
        <w:t>A</w:t>
      </w:r>
      <w:r w:rsidR="00A8059C">
        <w:rPr>
          <w:i/>
          <w:color w:val="auto"/>
          <w:sz w:val="22"/>
          <w:szCs w:val="22"/>
        </w:rPr>
        <w:t>n</w:t>
      </w:r>
      <w:r w:rsidRPr="007A1724">
        <w:rPr>
          <w:i/>
          <w:color w:val="auto"/>
          <w:sz w:val="22"/>
          <w:szCs w:val="22"/>
        </w:rPr>
        <w:t xml:space="preserve"> </w:t>
      </w:r>
      <w:r w:rsidR="00A8059C">
        <w:rPr>
          <w:i/>
          <w:color w:val="auto"/>
          <w:sz w:val="22"/>
          <w:szCs w:val="22"/>
        </w:rPr>
        <w:t xml:space="preserve">e-mail </w:t>
      </w:r>
      <w:r w:rsidRPr="007A1724">
        <w:rPr>
          <w:i/>
          <w:color w:val="auto"/>
          <w:sz w:val="22"/>
          <w:szCs w:val="22"/>
        </w:rPr>
        <w:t xml:space="preserve">to confirm the above has been received from CCWater dated </w:t>
      </w:r>
      <w:r w:rsidR="00A8059C">
        <w:rPr>
          <w:i/>
          <w:color w:val="auto"/>
          <w:sz w:val="22"/>
          <w:szCs w:val="22"/>
        </w:rPr>
        <w:t xml:space="preserve">8 </w:t>
      </w:r>
      <w:r w:rsidRPr="007A1724">
        <w:rPr>
          <w:i/>
          <w:color w:val="auto"/>
          <w:sz w:val="22"/>
          <w:szCs w:val="22"/>
        </w:rPr>
        <w:t>January 2016.</w:t>
      </w:r>
    </w:p>
    <w:p w:rsidR="007A1724" w:rsidRDefault="007A1724">
      <w:pPr>
        <w:pStyle w:val="Default"/>
        <w:ind w:left="360"/>
        <w:rPr>
          <w:i/>
          <w:color w:val="auto"/>
          <w:sz w:val="22"/>
          <w:szCs w:val="22"/>
        </w:rPr>
      </w:pPr>
    </w:p>
    <w:p w:rsidR="00FC199D" w:rsidRDefault="00FC199D" w:rsidP="002E79D7">
      <w:pPr>
        <w:spacing w:after="0"/>
        <w:rPr>
          <w:rFonts w:ascii="Arial" w:hAnsi="Arial" w:cs="Arial"/>
        </w:rPr>
      </w:pPr>
      <w:r>
        <w:rPr>
          <w:rFonts w:ascii="Arial" w:hAnsi="Arial" w:cs="Arial"/>
        </w:rPr>
        <w:br w:type="page"/>
      </w:r>
    </w:p>
    <w:p w:rsidR="007A1724" w:rsidRDefault="007A1724" w:rsidP="002E79D7">
      <w:pPr>
        <w:spacing w:after="0"/>
        <w:rPr>
          <w:rFonts w:ascii="Arial" w:hAnsi="Arial" w:cs="Arial"/>
        </w:rPr>
      </w:pPr>
      <w:r>
        <w:rPr>
          <w:rFonts w:ascii="Arial" w:hAnsi="Arial" w:cs="Arial"/>
        </w:rPr>
        <w:t xml:space="preserve">To conclude therefore we re-iterate </w:t>
      </w:r>
      <w:r w:rsidRPr="00977038">
        <w:rPr>
          <w:rFonts w:ascii="Arial" w:hAnsi="Arial" w:cs="Arial"/>
        </w:rPr>
        <w:t xml:space="preserve">that the Board of Portsmouth Water believe that the tariffs and associated Charges Schemes </w:t>
      </w:r>
      <w:r>
        <w:rPr>
          <w:rFonts w:ascii="Arial" w:hAnsi="Arial" w:cs="Arial"/>
        </w:rPr>
        <w:t xml:space="preserve">to be published before 1 February 2016 </w:t>
      </w:r>
      <w:r w:rsidRPr="00977038">
        <w:rPr>
          <w:rFonts w:ascii="Arial" w:hAnsi="Arial" w:cs="Arial"/>
        </w:rPr>
        <w:t xml:space="preserve">comply with </w:t>
      </w:r>
      <w:r>
        <w:rPr>
          <w:rFonts w:ascii="Arial" w:hAnsi="Arial" w:cs="Arial"/>
        </w:rPr>
        <w:t xml:space="preserve">its </w:t>
      </w:r>
      <w:r w:rsidRPr="00977038">
        <w:rPr>
          <w:rFonts w:ascii="Arial" w:hAnsi="Arial" w:cs="Arial"/>
        </w:rPr>
        <w:t>regulatory requirements.</w:t>
      </w:r>
    </w:p>
    <w:p w:rsidR="00FC199D" w:rsidRPr="00977038" w:rsidRDefault="00FC199D" w:rsidP="002E79D7">
      <w:pPr>
        <w:spacing w:after="0"/>
        <w:rPr>
          <w:rFonts w:ascii="Arial" w:hAnsi="Arial" w:cs="Arial"/>
        </w:rPr>
      </w:pPr>
    </w:p>
    <w:p w:rsidR="007A1724" w:rsidRPr="00977038" w:rsidRDefault="007A1724" w:rsidP="001F7083">
      <w:pPr>
        <w:pStyle w:val="Default"/>
        <w:rPr>
          <w:sz w:val="22"/>
          <w:szCs w:val="22"/>
        </w:rPr>
      </w:pPr>
      <w:r w:rsidRPr="00977038">
        <w:rPr>
          <w:color w:val="auto"/>
          <w:sz w:val="22"/>
          <w:szCs w:val="22"/>
        </w:rPr>
        <w:t xml:space="preserve">Finally we note the </w:t>
      </w:r>
      <w:r>
        <w:rPr>
          <w:color w:val="auto"/>
          <w:sz w:val="22"/>
          <w:szCs w:val="22"/>
        </w:rPr>
        <w:t xml:space="preserve">requirement </w:t>
      </w:r>
      <w:r w:rsidRPr="00977038">
        <w:rPr>
          <w:color w:val="auto"/>
          <w:sz w:val="22"/>
          <w:szCs w:val="22"/>
        </w:rPr>
        <w:t xml:space="preserve">that the Company should </w:t>
      </w:r>
      <w:r w:rsidRPr="00977038">
        <w:rPr>
          <w:sz w:val="22"/>
          <w:szCs w:val="22"/>
        </w:rPr>
        <w:t xml:space="preserve">publish its assurance statement. This statement will be </w:t>
      </w:r>
      <w:r>
        <w:rPr>
          <w:sz w:val="22"/>
          <w:szCs w:val="22"/>
        </w:rPr>
        <w:t xml:space="preserve">published </w:t>
      </w:r>
      <w:r w:rsidRPr="00977038">
        <w:rPr>
          <w:sz w:val="22"/>
          <w:szCs w:val="22"/>
        </w:rPr>
        <w:t xml:space="preserve">on our website on </w:t>
      </w:r>
      <w:r>
        <w:rPr>
          <w:sz w:val="22"/>
          <w:szCs w:val="22"/>
        </w:rPr>
        <w:t xml:space="preserve">11 </w:t>
      </w:r>
      <w:r w:rsidRPr="00977038">
        <w:rPr>
          <w:sz w:val="22"/>
          <w:szCs w:val="22"/>
        </w:rPr>
        <w:t>January 201</w:t>
      </w:r>
      <w:r>
        <w:rPr>
          <w:sz w:val="22"/>
          <w:szCs w:val="22"/>
        </w:rPr>
        <w:t>6 and sent to Ofwat with information on significant changes to tariffs and ave</w:t>
      </w:r>
      <w:r w:rsidR="00C67DDA">
        <w:rPr>
          <w:sz w:val="22"/>
          <w:szCs w:val="22"/>
        </w:rPr>
        <w:t>rage household bill information as attached.</w:t>
      </w:r>
    </w:p>
    <w:p w:rsidR="00FC199D" w:rsidRPr="00977038" w:rsidRDefault="00FC199D" w:rsidP="007A1724">
      <w:pPr>
        <w:rPr>
          <w:rFonts w:ascii="Arial" w:hAnsi="Arial" w:cs="Arial"/>
        </w:rPr>
      </w:pPr>
    </w:p>
    <w:p w:rsidR="00FC199D" w:rsidRDefault="00FC199D" w:rsidP="002E79D7">
      <w:pPr>
        <w:rPr>
          <w:rFonts w:ascii="Arial" w:hAnsi="Arial" w:cs="Arial"/>
          <w:b/>
        </w:rPr>
      </w:pPr>
    </w:p>
    <w:p w:rsidR="00FC199D" w:rsidRDefault="006713E2" w:rsidP="007A1724">
      <w:pPr>
        <w:rPr>
          <w:rFonts w:ascii="Arial" w:hAnsi="Arial" w:cs="Arial"/>
          <w:b/>
        </w:rPr>
      </w:pPr>
      <w:r w:rsidRPr="006713E2">
        <w:rPr>
          <w:rFonts w:ascii="Arial" w:hAnsi="Arial" w:cs="Arial"/>
          <w:b/>
          <w:noProof/>
          <w:lang w:eastAsia="en-GB"/>
        </w:rPr>
        <w:drawing>
          <wp:inline distT="0" distB="0" distL="0" distR="0" wp14:anchorId="289B27BE" wp14:editId="635059E5">
            <wp:extent cx="1562100" cy="447675"/>
            <wp:effectExtent l="0" t="0" r="0" b="9525"/>
            <wp:docPr id="1" name="Picture 1" descr="C:\Users\sm\AppData\Local\Microsoft\Windows\Temporary Internet Files\Content.Outlook\2VXRQ0IV\benjamin signature (00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AppData\Local\Microsoft\Windows\Temporary Internet Files\Content.Outlook\2VXRQ0IV\benjamin signature (003).t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2100" cy="447675"/>
                    </a:xfrm>
                    <a:prstGeom prst="rect">
                      <a:avLst/>
                    </a:prstGeom>
                    <a:noFill/>
                    <a:ln>
                      <a:noFill/>
                    </a:ln>
                  </pic:spPr>
                </pic:pic>
              </a:graphicData>
            </a:graphic>
          </wp:inline>
        </w:drawing>
      </w:r>
    </w:p>
    <w:p w:rsidR="000502AF" w:rsidRDefault="007A1724" w:rsidP="002E79D7">
      <w:pPr>
        <w:rPr>
          <w:rFonts w:ascii="Arial" w:hAnsi="Arial" w:cs="Arial"/>
          <w:b/>
        </w:rPr>
      </w:pPr>
      <w:r>
        <w:rPr>
          <w:rFonts w:ascii="Arial" w:hAnsi="Arial" w:cs="Arial"/>
          <w:b/>
        </w:rPr>
        <w:t>Heather Benjamin</w:t>
      </w:r>
    </w:p>
    <w:p w:rsidR="007A1724" w:rsidRPr="00870712" w:rsidRDefault="007A1724" w:rsidP="002E79D7">
      <w:pPr>
        <w:rPr>
          <w:rFonts w:ascii="Arial" w:hAnsi="Arial" w:cs="Arial"/>
          <w:b/>
        </w:rPr>
      </w:pPr>
      <w:r w:rsidRPr="00870712">
        <w:rPr>
          <w:rFonts w:ascii="Arial" w:hAnsi="Arial" w:cs="Arial"/>
          <w:b/>
        </w:rPr>
        <w:t>Non-Executive Director and chair of the Audit Committee</w:t>
      </w:r>
    </w:p>
    <w:p w:rsidR="007A1724" w:rsidRDefault="007A1724" w:rsidP="007A1724">
      <w:pPr>
        <w:rPr>
          <w:rFonts w:ascii="Arial" w:hAnsi="Arial" w:cs="Arial"/>
          <w:b/>
        </w:rPr>
      </w:pPr>
    </w:p>
    <w:p w:rsidR="007A1724" w:rsidRDefault="00D617EA" w:rsidP="007A1724">
      <w:pPr>
        <w:rPr>
          <w:rFonts w:ascii="Arial" w:hAnsi="Arial" w:cs="Arial"/>
          <w:b/>
        </w:rPr>
      </w:pPr>
      <w:r w:rsidRPr="00D617EA">
        <w:rPr>
          <w:rFonts w:ascii="Arial" w:hAnsi="Arial" w:cs="Arial"/>
          <w:b/>
          <w:noProof/>
          <w:lang w:eastAsia="en-GB"/>
        </w:rPr>
        <w:drawing>
          <wp:inline distT="0" distB="0" distL="0" distR="0" wp14:anchorId="1C959709" wp14:editId="31CFFCE0">
            <wp:extent cx="1800225" cy="247650"/>
            <wp:effectExtent l="0" t="0" r="9525" b="0"/>
            <wp:docPr id="2" name="Picture 2" descr="C:\Users\sm\AppData\Local\Microsoft\Windows\Temporary Internet Files\Content.Outlook\2VXRQ0IV\Orton Signature (00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m\AppData\Local\Microsoft\Windows\Temporary Internet Files\Content.Outlook\2VXRQ0IV\Orton Signature (002).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0225" cy="247650"/>
                    </a:xfrm>
                    <a:prstGeom prst="rect">
                      <a:avLst/>
                    </a:prstGeom>
                    <a:noFill/>
                    <a:ln>
                      <a:noFill/>
                    </a:ln>
                  </pic:spPr>
                </pic:pic>
              </a:graphicData>
            </a:graphic>
          </wp:inline>
        </w:drawing>
      </w:r>
    </w:p>
    <w:p w:rsidR="007A1724" w:rsidRPr="00870712" w:rsidRDefault="007A1724" w:rsidP="007A1724">
      <w:pPr>
        <w:rPr>
          <w:rFonts w:ascii="Arial" w:hAnsi="Arial" w:cs="Arial"/>
          <w:b/>
        </w:rPr>
      </w:pPr>
      <w:r>
        <w:rPr>
          <w:rFonts w:ascii="Arial" w:hAnsi="Arial" w:cs="Arial"/>
          <w:b/>
        </w:rPr>
        <w:t>Helen Orton</w:t>
      </w:r>
    </w:p>
    <w:p w:rsidR="007A1724" w:rsidRDefault="007A1724" w:rsidP="007A1724">
      <w:pPr>
        <w:rPr>
          <w:rFonts w:ascii="Arial" w:hAnsi="Arial" w:cs="Arial"/>
          <w:b/>
        </w:rPr>
      </w:pPr>
      <w:r>
        <w:rPr>
          <w:rFonts w:ascii="Arial" w:hAnsi="Arial" w:cs="Arial"/>
          <w:b/>
        </w:rPr>
        <w:t xml:space="preserve">Finance and Regulation </w:t>
      </w:r>
      <w:r w:rsidRPr="00870712">
        <w:rPr>
          <w:rFonts w:ascii="Arial" w:hAnsi="Arial" w:cs="Arial"/>
          <w:b/>
        </w:rPr>
        <w:t>Director</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
    <w:p w:rsidR="007A1724" w:rsidRDefault="007A1724" w:rsidP="007A1724">
      <w:pPr>
        <w:spacing w:after="0"/>
        <w:jc w:val="both"/>
        <w:rPr>
          <w:rFonts w:ascii="Arial" w:hAnsi="Arial" w:cs="Arial"/>
        </w:rPr>
      </w:pPr>
    </w:p>
    <w:p w:rsidR="007A1724" w:rsidRDefault="007A1724" w:rsidP="007A1724">
      <w:pPr>
        <w:spacing w:after="0"/>
        <w:jc w:val="both"/>
        <w:rPr>
          <w:rFonts w:ascii="Arial" w:hAnsi="Arial" w:cs="Arial"/>
        </w:rPr>
      </w:pPr>
    </w:p>
    <w:p w:rsidR="007A1724" w:rsidRDefault="007A1724" w:rsidP="007A1724">
      <w:pPr>
        <w:rPr>
          <w:rFonts w:ascii="Arial" w:hAnsi="Arial" w:cs="Arial"/>
        </w:rPr>
      </w:pPr>
      <w:r>
        <w:rPr>
          <w:rFonts w:ascii="Arial" w:hAnsi="Arial" w:cs="Arial"/>
        </w:rPr>
        <w:br w:type="page"/>
      </w:r>
    </w:p>
    <w:p w:rsidR="007A1724" w:rsidRDefault="007A1724" w:rsidP="007A1724">
      <w:pPr>
        <w:spacing w:after="0"/>
        <w:jc w:val="both"/>
        <w:rPr>
          <w:rFonts w:ascii="Arial" w:hAnsi="Arial" w:cs="Arial"/>
          <w:b/>
        </w:rPr>
      </w:pPr>
      <w:r>
        <w:rPr>
          <w:rFonts w:ascii="Arial" w:hAnsi="Arial" w:cs="Arial"/>
          <w:b/>
        </w:rPr>
        <w:t>S</w:t>
      </w:r>
      <w:r w:rsidRPr="00311628">
        <w:rPr>
          <w:rFonts w:ascii="Arial" w:hAnsi="Arial" w:cs="Arial"/>
          <w:b/>
        </w:rPr>
        <w:t>tatement of significant changes to bills</w:t>
      </w:r>
      <w:r w:rsidR="00FC199D">
        <w:rPr>
          <w:rFonts w:ascii="Arial" w:hAnsi="Arial" w:cs="Arial"/>
          <w:b/>
        </w:rPr>
        <w:t xml:space="preserve"> 2016/17</w:t>
      </w:r>
      <w:r w:rsidRPr="00311628">
        <w:rPr>
          <w:rFonts w:ascii="Arial" w:hAnsi="Arial" w:cs="Arial"/>
          <w:b/>
        </w:rPr>
        <w:t xml:space="preserve"> </w:t>
      </w:r>
    </w:p>
    <w:p w:rsidR="007A1724" w:rsidRDefault="007A1724" w:rsidP="007A1724">
      <w:pPr>
        <w:spacing w:after="0"/>
        <w:jc w:val="both"/>
        <w:rPr>
          <w:rFonts w:ascii="Arial" w:hAnsi="Arial" w:cs="Arial"/>
          <w:b/>
        </w:rPr>
      </w:pPr>
    </w:p>
    <w:p w:rsidR="007A1724" w:rsidRDefault="007A1724" w:rsidP="007A1724">
      <w:pPr>
        <w:pStyle w:val="Default"/>
        <w:rPr>
          <w:i/>
          <w:color w:val="auto"/>
          <w:sz w:val="22"/>
          <w:szCs w:val="22"/>
        </w:rPr>
      </w:pPr>
      <w:r w:rsidRPr="006A3D07">
        <w:rPr>
          <w:i/>
          <w:color w:val="auto"/>
          <w:sz w:val="22"/>
          <w:szCs w:val="22"/>
        </w:rPr>
        <w:t>The Board has assessed the effects the new charges have on customers’ bills for a range of different customer types.</w:t>
      </w:r>
    </w:p>
    <w:p w:rsidR="007A1724" w:rsidRPr="006A3D07" w:rsidRDefault="007A1724" w:rsidP="007A1724">
      <w:pPr>
        <w:pStyle w:val="Default"/>
        <w:rPr>
          <w:i/>
          <w:color w:val="auto"/>
          <w:sz w:val="22"/>
          <w:szCs w:val="22"/>
        </w:rPr>
      </w:pPr>
    </w:p>
    <w:p w:rsidR="007A1724" w:rsidRDefault="007A1724" w:rsidP="007A1724">
      <w:pPr>
        <w:pStyle w:val="Default"/>
        <w:rPr>
          <w:i/>
          <w:color w:val="auto"/>
          <w:sz w:val="22"/>
          <w:szCs w:val="22"/>
        </w:rPr>
      </w:pPr>
      <w:r w:rsidRPr="00311628">
        <w:rPr>
          <w:i/>
          <w:color w:val="auto"/>
          <w:sz w:val="22"/>
          <w:szCs w:val="22"/>
        </w:rPr>
        <w:t xml:space="preserve">The Board can confirm that no group of customers will experience a change in bills greater than 5% as a result of the proposed price changes. Over 30 groups of customer have been reviewed, including the average in a class and an upper and lower customer in the class as required by Ofwat guidelines. </w:t>
      </w:r>
    </w:p>
    <w:p w:rsidR="007A1724" w:rsidRPr="00311628" w:rsidRDefault="007A1724" w:rsidP="007A1724">
      <w:pPr>
        <w:pStyle w:val="Default"/>
        <w:rPr>
          <w:i/>
          <w:color w:val="auto"/>
          <w:sz w:val="22"/>
          <w:szCs w:val="22"/>
        </w:rPr>
      </w:pPr>
    </w:p>
    <w:p w:rsidR="007A1724" w:rsidRPr="007E4FBF" w:rsidRDefault="007A1724" w:rsidP="007A1724">
      <w:pPr>
        <w:pStyle w:val="Heading2"/>
        <w:numPr>
          <w:ilvl w:val="0"/>
          <w:numId w:val="0"/>
        </w:numPr>
        <w:jc w:val="both"/>
        <w:rPr>
          <w:rFonts w:cs="Arial"/>
          <w:i/>
          <w:sz w:val="22"/>
          <w:szCs w:val="22"/>
        </w:rPr>
      </w:pPr>
      <w:r w:rsidRPr="007E4FBF">
        <w:rPr>
          <w:i/>
          <w:sz w:val="22"/>
          <w:szCs w:val="22"/>
        </w:rPr>
        <w:t>Specifically with the November Retail Price Index in an inflation rate of 1.1% we confirm that t</w:t>
      </w:r>
      <w:r w:rsidRPr="007E4FBF">
        <w:rPr>
          <w:rFonts w:cs="Arial"/>
          <w:i/>
          <w:sz w:val="22"/>
          <w:szCs w:val="22"/>
        </w:rPr>
        <w:t>he resultant price increases for any class of customer are no greater than 2.5%</w:t>
      </w:r>
      <w:r w:rsidR="00FC199D">
        <w:rPr>
          <w:rFonts w:cs="Arial"/>
          <w:i/>
          <w:sz w:val="22"/>
          <w:szCs w:val="22"/>
        </w:rPr>
        <w:t>; these price changes will apply as of 1 July 2016</w:t>
      </w:r>
      <w:r w:rsidRPr="007E4FBF">
        <w:rPr>
          <w:rFonts w:cs="Arial"/>
          <w:i/>
          <w:sz w:val="22"/>
          <w:szCs w:val="22"/>
        </w:rPr>
        <w:t xml:space="preserve"> </w:t>
      </w:r>
    </w:p>
    <w:p w:rsidR="007A1724" w:rsidRPr="007E4FBF" w:rsidRDefault="007A1724" w:rsidP="007A1724">
      <w:pPr>
        <w:pStyle w:val="Heading2"/>
        <w:numPr>
          <w:ilvl w:val="0"/>
          <w:numId w:val="0"/>
        </w:numPr>
        <w:jc w:val="both"/>
        <w:rPr>
          <w:rFonts w:cs="Arial"/>
          <w:i/>
          <w:sz w:val="22"/>
          <w:szCs w:val="22"/>
        </w:rPr>
      </w:pPr>
    </w:p>
    <w:p w:rsidR="007A1724" w:rsidRPr="007E4FBF" w:rsidRDefault="007A1724" w:rsidP="007A1724">
      <w:pPr>
        <w:pStyle w:val="Heading2"/>
        <w:numPr>
          <w:ilvl w:val="0"/>
          <w:numId w:val="0"/>
        </w:numPr>
        <w:jc w:val="both"/>
        <w:rPr>
          <w:rFonts w:cs="Arial"/>
          <w:i/>
          <w:sz w:val="22"/>
          <w:szCs w:val="22"/>
        </w:rPr>
      </w:pPr>
      <w:r w:rsidRPr="007E4FBF">
        <w:rPr>
          <w:rFonts w:cs="Arial"/>
          <w:i/>
          <w:sz w:val="22"/>
          <w:szCs w:val="22"/>
        </w:rPr>
        <w:t xml:space="preserve">The table below shows the ranges for each of our 6 classes of customer.  </w:t>
      </w:r>
    </w:p>
    <w:p w:rsidR="007A1724" w:rsidRDefault="007A1724" w:rsidP="007A1724">
      <w:pPr>
        <w:spacing w:after="0"/>
        <w:jc w:val="both"/>
        <w:rPr>
          <w:rFonts w:ascii="Arial" w:hAnsi="Arial" w:cs="Arial"/>
        </w:rPr>
      </w:pPr>
    </w:p>
    <w:tbl>
      <w:tblPr>
        <w:tblStyle w:val="TableGrid"/>
        <w:tblW w:w="0" w:type="auto"/>
        <w:tblLook w:val="04A0" w:firstRow="1" w:lastRow="0" w:firstColumn="1" w:lastColumn="0" w:noHBand="0" w:noVBand="1"/>
      </w:tblPr>
      <w:tblGrid>
        <w:gridCol w:w="3964"/>
        <w:gridCol w:w="3005"/>
      </w:tblGrid>
      <w:tr w:rsidR="007A1724" w:rsidTr="00E84E83">
        <w:tc>
          <w:tcPr>
            <w:tcW w:w="3964" w:type="dxa"/>
          </w:tcPr>
          <w:p w:rsidR="007A1724" w:rsidRPr="00C95DA6" w:rsidRDefault="007A1724" w:rsidP="00E84E83">
            <w:pPr>
              <w:jc w:val="both"/>
              <w:rPr>
                <w:rFonts w:ascii="Arial" w:hAnsi="Arial" w:cs="Arial"/>
                <w:sz w:val="20"/>
                <w:szCs w:val="20"/>
              </w:rPr>
            </w:pPr>
          </w:p>
        </w:tc>
        <w:tc>
          <w:tcPr>
            <w:tcW w:w="3005" w:type="dxa"/>
          </w:tcPr>
          <w:p w:rsidR="007A1724" w:rsidRPr="00C95DA6" w:rsidRDefault="007A1724" w:rsidP="00E84E83">
            <w:pPr>
              <w:jc w:val="both"/>
              <w:rPr>
                <w:rFonts w:ascii="Arial" w:hAnsi="Arial" w:cs="Arial"/>
                <w:sz w:val="20"/>
                <w:szCs w:val="20"/>
              </w:rPr>
            </w:pPr>
            <w:r>
              <w:rPr>
                <w:rFonts w:ascii="Arial" w:hAnsi="Arial" w:cs="Arial"/>
                <w:sz w:val="20"/>
                <w:szCs w:val="20"/>
              </w:rPr>
              <w:t>Range of price movements (%)</w:t>
            </w:r>
          </w:p>
        </w:tc>
      </w:tr>
      <w:tr w:rsidR="007A1724" w:rsidTr="00E84E83">
        <w:tc>
          <w:tcPr>
            <w:tcW w:w="3964" w:type="dxa"/>
          </w:tcPr>
          <w:p w:rsidR="007A1724" w:rsidRPr="00C95DA6" w:rsidRDefault="007A1724" w:rsidP="00E84E83">
            <w:pPr>
              <w:jc w:val="both"/>
              <w:rPr>
                <w:rFonts w:ascii="Arial" w:hAnsi="Arial" w:cs="Arial"/>
                <w:sz w:val="20"/>
                <w:szCs w:val="20"/>
              </w:rPr>
            </w:pPr>
            <w:r w:rsidRPr="00C95DA6">
              <w:rPr>
                <w:rFonts w:ascii="Arial" w:hAnsi="Arial" w:cs="Arial"/>
                <w:sz w:val="20"/>
                <w:szCs w:val="20"/>
              </w:rPr>
              <w:t>Unmeasured household</w:t>
            </w:r>
          </w:p>
        </w:tc>
        <w:tc>
          <w:tcPr>
            <w:tcW w:w="3005" w:type="dxa"/>
          </w:tcPr>
          <w:p w:rsidR="007A1724" w:rsidRPr="00C95DA6" w:rsidRDefault="007A1724" w:rsidP="00352081">
            <w:pPr>
              <w:jc w:val="center"/>
              <w:rPr>
                <w:rFonts w:ascii="Arial" w:hAnsi="Arial" w:cs="Arial"/>
                <w:sz w:val="20"/>
                <w:szCs w:val="20"/>
              </w:rPr>
            </w:pPr>
            <w:r>
              <w:rPr>
                <w:rFonts w:ascii="Arial" w:hAnsi="Arial" w:cs="Arial"/>
                <w:sz w:val="20"/>
                <w:szCs w:val="20"/>
              </w:rPr>
              <w:t xml:space="preserve"> </w:t>
            </w:r>
            <w:r w:rsidR="00352081">
              <w:rPr>
                <w:rFonts w:ascii="Arial" w:hAnsi="Arial" w:cs="Arial"/>
                <w:sz w:val="20"/>
                <w:szCs w:val="20"/>
              </w:rPr>
              <w:t xml:space="preserve">(0.09) </w:t>
            </w:r>
            <w:r>
              <w:rPr>
                <w:rFonts w:ascii="Arial" w:hAnsi="Arial" w:cs="Arial"/>
                <w:sz w:val="20"/>
                <w:szCs w:val="20"/>
              </w:rPr>
              <w:t>– 1.74</w:t>
            </w:r>
          </w:p>
        </w:tc>
      </w:tr>
      <w:tr w:rsidR="007A1724" w:rsidTr="00E84E83">
        <w:tc>
          <w:tcPr>
            <w:tcW w:w="3964" w:type="dxa"/>
          </w:tcPr>
          <w:p w:rsidR="007A1724" w:rsidRPr="00C95DA6" w:rsidRDefault="007A1724" w:rsidP="00E84E83">
            <w:pPr>
              <w:jc w:val="both"/>
              <w:rPr>
                <w:rFonts w:ascii="Arial" w:hAnsi="Arial" w:cs="Arial"/>
                <w:sz w:val="20"/>
                <w:szCs w:val="20"/>
              </w:rPr>
            </w:pPr>
            <w:r w:rsidRPr="00C95DA6">
              <w:rPr>
                <w:rFonts w:ascii="Arial" w:hAnsi="Arial" w:cs="Arial"/>
                <w:sz w:val="20"/>
                <w:szCs w:val="20"/>
              </w:rPr>
              <w:t>Measured household</w:t>
            </w:r>
          </w:p>
        </w:tc>
        <w:tc>
          <w:tcPr>
            <w:tcW w:w="3005" w:type="dxa"/>
          </w:tcPr>
          <w:p w:rsidR="007A1724" w:rsidRPr="00C95DA6" w:rsidRDefault="00352081" w:rsidP="00E84E83">
            <w:pPr>
              <w:jc w:val="center"/>
              <w:rPr>
                <w:rFonts w:ascii="Arial" w:hAnsi="Arial" w:cs="Arial"/>
                <w:sz w:val="20"/>
                <w:szCs w:val="20"/>
              </w:rPr>
            </w:pPr>
            <w:r>
              <w:rPr>
                <w:rFonts w:ascii="Arial" w:hAnsi="Arial" w:cs="Arial"/>
                <w:sz w:val="20"/>
                <w:szCs w:val="20"/>
              </w:rPr>
              <w:t xml:space="preserve">0.75 </w:t>
            </w:r>
            <w:r w:rsidR="007A1724">
              <w:rPr>
                <w:rFonts w:ascii="Arial" w:hAnsi="Arial" w:cs="Arial"/>
                <w:sz w:val="20"/>
                <w:szCs w:val="20"/>
              </w:rPr>
              <w:t>– 1.99</w:t>
            </w:r>
          </w:p>
        </w:tc>
      </w:tr>
      <w:tr w:rsidR="007A1724" w:rsidTr="00E84E83">
        <w:tc>
          <w:tcPr>
            <w:tcW w:w="3964" w:type="dxa"/>
          </w:tcPr>
          <w:p w:rsidR="007A1724" w:rsidRPr="00C95DA6" w:rsidRDefault="007A1724" w:rsidP="00E84E83">
            <w:pPr>
              <w:jc w:val="both"/>
              <w:rPr>
                <w:rFonts w:ascii="Arial" w:hAnsi="Arial" w:cs="Arial"/>
                <w:sz w:val="20"/>
                <w:szCs w:val="20"/>
              </w:rPr>
            </w:pPr>
            <w:r w:rsidRPr="00C95DA6">
              <w:rPr>
                <w:rFonts w:ascii="Arial" w:hAnsi="Arial" w:cs="Arial"/>
                <w:sz w:val="20"/>
                <w:szCs w:val="20"/>
              </w:rPr>
              <w:t>Unmeasured non-household</w:t>
            </w:r>
          </w:p>
        </w:tc>
        <w:tc>
          <w:tcPr>
            <w:tcW w:w="3005" w:type="dxa"/>
          </w:tcPr>
          <w:p w:rsidR="007A1724" w:rsidRPr="00C95DA6" w:rsidRDefault="007A1724" w:rsidP="00E84E83">
            <w:pPr>
              <w:jc w:val="center"/>
              <w:rPr>
                <w:rFonts w:ascii="Arial" w:hAnsi="Arial" w:cs="Arial"/>
                <w:sz w:val="20"/>
                <w:szCs w:val="20"/>
              </w:rPr>
            </w:pPr>
            <w:r>
              <w:rPr>
                <w:rFonts w:ascii="Arial" w:hAnsi="Arial" w:cs="Arial"/>
                <w:sz w:val="20"/>
                <w:szCs w:val="20"/>
              </w:rPr>
              <w:t>1.65 – 1.86</w:t>
            </w:r>
          </w:p>
        </w:tc>
      </w:tr>
      <w:tr w:rsidR="007A1724" w:rsidTr="00E84E83">
        <w:tc>
          <w:tcPr>
            <w:tcW w:w="3964" w:type="dxa"/>
          </w:tcPr>
          <w:p w:rsidR="007A1724" w:rsidRPr="00C95DA6" w:rsidRDefault="007A1724" w:rsidP="00E84E83">
            <w:pPr>
              <w:jc w:val="both"/>
              <w:rPr>
                <w:rFonts w:ascii="Arial" w:hAnsi="Arial" w:cs="Arial"/>
                <w:sz w:val="20"/>
                <w:szCs w:val="20"/>
              </w:rPr>
            </w:pPr>
            <w:r w:rsidRPr="00C95DA6">
              <w:rPr>
                <w:rFonts w:ascii="Arial" w:hAnsi="Arial" w:cs="Arial"/>
                <w:sz w:val="20"/>
                <w:szCs w:val="20"/>
              </w:rPr>
              <w:t>Measure</w:t>
            </w:r>
            <w:r>
              <w:rPr>
                <w:rFonts w:ascii="Arial" w:hAnsi="Arial" w:cs="Arial"/>
                <w:sz w:val="20"/>
                <w:szCs w:val="20"/>
              </w:rPr>
              <w:t>d</w:t>
            </w:r>
            <w:r w:rsidRPr="00C95DA6">
              <w:rPr>
                <w:rFonts w:ascii="Arial" w:hAnsi="Arial" w:cs="Arial"/>
                <w:sz w:val="20"/>
                <w:szCs w:val="20"/>
              </w:rPr>
              <w:t xml:space="preserve"> non – household &lt; 10Ml</w:t>
            </w:r>
          </w:p>
        </w:tc>
        <w:tc>
          <w:tcPr>
            <w:tcW w:w="3005" w:type="dxa"/>
          </w:tcPr>
          <w:p w:rsidR="007A1724" w:rsidRPr="00C95DA6" w:rsidRDefault="007A1724" w:rsidP="00E84E83">
            <w:pPr>
              <w:jc w:val="center"/>
              <w:rPr>
                <w:rFonts w:ascii="Arial" w:hAnsi="Arial" w:cs="Arial"/>
                <w:sz w:val="20"/>
                <w:szCs w:val="20"/>
              </w:rPr>
            </w:pPr>
            <w:r>
              <w:rPr>
                <w:rFonts w:ascii="Arial" w:hAnsi="Arial" w:cs="Arial"/>
                <w:sz w:val="20"/>
                <w:szCs w:val="20"/>
              </w:rPr>
              <w:t>2.11 – 2.29</w:t>
            </w:r>
          </w:p>
        </w:tc>
      </w:tr>
      <w:tr w:rsidR="007A1724" w:rsidTr="00E84E83">
        <w:tc>
          <w:tcPr>
            <w:tcW w:w="3964" w:type="dxa"/>
          </w:tcPr>
          <w:p w:rsidR="007A1724" w:rsidRPr="00C95DA6" w:rsidRDefault="007A1724" w:rsidP="00E84E83">
            <w:pPr>
              <w:jc w:val="both"/>
              <w:rPr>
                <w:rFonts w:ascii="Arial" w:hAnsi="Arial" w:cs="Arial"/>
                <w:sz w:val="20"/>
                <w:szCs w:val="20"/>
              </w:rPr>
            </w:pPr>
            <w:r w:rsidRPr="00C95DA6">
              <w:rPr>
                <w:rFonts w:ascii="Arial" w:hAnsi="Arial" w:cs="Arial"/>
                <w:sz w:val="20"/>
                <w:szCs w:val="20"/>
              </w:rPr>
              <w:t>Measure</w:t>
            </w:r>
            <w:r>
              <w:rPr>
                <w:rFonts w:ascii="Arial" w:hAnsi="Arial" w:cs="Arial"/>
                <w:sz w:val="20"/>
                <w:szCs w:val="20"/>
              </w:rPr>
              <w:t>d</w:t>
            </w:r>
            <w:r w:rsidRPr="00C95DA6">
              <w:rPr>
                <w:rFonts w:ascii="Arial" w:hAnsi="Arial" w:cs="Arial"/>
                <w:sz w:val="20"/>
                <w:szCs w:val="20"/>
              </w:rPr>
              <w:t xml:space="preserve"> non – household  10Ml – 50 Ml</w:t>
            </w:r>
          </w:p>
        </w:tc>
        <w:tc>
          <w:tcPr>
            <w:tcW w:w="3005" w:type="dxa"/>
          </w:tcPr>
          <w:p w:rsidR="007A1724" w:rsidRPr="00C95DA6" w:rsidRDefault="007A1724" w:rsidP="00E84E83">
            <w:pPr>
              <w:jc w:val="center"/>
              <w:rPr>
                <w:rFonts w:ascii="Arial" w:hAnsi="Arial" w:cs="Arial"/>
                <w:sz w:val="20"/>
                <w:szCs w:val="20"/>
              </w:rPr>
            </w:pPr>
            <w:r>
              <w:rPr>
                <w:rFonts w:ascii="Arial" w:hAnsi="Arial" w:cs="Arial"/>
                <w:sz w:val="20"/>
                <w:szCs w:val="20"/>
              </w:rPr>
              <w:t>2.30 – 2.46</w:t>
            </w:r>
          </w:p>
        </w:tc>
      </w:tr>
      <w:tr w:rsidR="007A1724" w:rsidTr="00E84E83">
        <w:tc>
          <w:tcPr>
            <w:tcW w:w="3964" w:type="dxa"/>
          </w:tcPr>
          <w:p w:rsidR="007A1724" w:rsidRPr="00C95DA6" w:rsidRDefault="007A1724" w:rsidP="00E84E83">
            <w:pPr>
              <w:jc w:val="both"/>
              <w:rPr>
                <w:rFonts w:ascii="Arial" w:hAnsi="Arial" w:cs="Arial"/>
                <w:sz w:val="20"/>
                <w:szCs w:val="20"/>
              </w:rPr>
            </w:pPr>
            <w:r w:rsidRPr="00C95DA6">
              <w:rPr>
                <w:rFonts w:ascii="Arial" w:hAnsi="Arial" w:cs="Arial"/>
                <w:sz w:val="20"/>
                <w:szCs w:val="20"/>
              </w:rPr>
              <w:t>Measure</w:t>
            </w:r>
            <w:r>
              <w:rPr>
                <w:rFonts w:ascii="Arial" w:hAnsi="Arial" w:cs="Arial"/>
                <w:sz w:val="20"/>
                <w:szCs w:val="20"/>
              </w:rPr>
              <w:t>d</w:t>
            </w:r>
            <w:r w:rsidRPr="00C95DA6">
              <w:rPr>
                <w:rFonts w:ascii="Arial" w:hAnsi="Arial" w:cs="Arial"/>
                <w:sz w:val="20"/>
                <w:szCs w:val="20"/>
              </w:rPr>
              <w:t xml:space="preserve"> non – household &gt; 50Ml</w:t>
            </w:r>
          </w:p>
        </w:tc>
        <w:tc>
          <w:tcPr>
            <w:tcW w:w="3005" w:type="dxa"/>
          </w:tcPr>
          <w:p w:rsidR="007A1724" w:rsidRPr="007E543A" w:rsidRDefault="007A1724" w:rsidP="00E84E83">
            <w:pPr>
              <w:jc w:val="center"/>
              <w:rPr>
                <w:rFonts w:ascii="Arial" w:hAnsi="Arial" w:cs="Arial"/>
                <w:sz w:val="20"/>
                <w:szCs w:val="20"/>
              </w:rPr>
            </w:pPr>
            <w:r>
              <w:rPr>
                <w:rFonts w:ascii="Arial" w:hAnsi="Arial" w:cs="Arial"/>
                <w:sz w:val="20"/>
                <w:szCs w:val="20"/>
              </w:rPr>
              <w:t>1.99</w:t>
            </w:r>
            <w:r w:rsidRPr="007E543A">
              <w:rPr>
                <w:rFonts w:ascii="Arial" w:hAnsi="Arial" w:cs="Arial"/>
                <w:sz w:val="20"/>
                <w:szCs w:val="20"/>
              </w:rPr>
              <w:t xml:space="preserve"> – 2.</w:t>
            </w:r>
            <w:r>
              <w:rPr>
                <w:rFonts w:ascii="Arial" w:hAnsi="Arial" w:cs="Arial"/>
                <w:sz w:val="20"/>
                <w:szCs w:val="20"/>
              </w:rPr>
              <w:t>3</w:t>
            </w:r>
            <w:r w:rsidRPr="007E543A">
              <w:rPr>
                <w:rFonts w:ascii="Arial" w:hAnsi="Arial" w:cs="Arial"/>
                <w:sz w:val="20"/>
                <w:szCs w:val="20"/>
              </w:rPr>
              <w:t>8</w:t>
            </w:r>
          </w:p>
        </w:tc>
      </w:tr>
    </w:tbl>
    <w:p w:rsidR="007A1724" w:rsidRDefault="007A1724" w:rsidP="007A1724">
      <w:pPr>
        <w:spacing w:after="0"/>
        <w:jc w:val="both"/>
        <w:rPr>
          <w:rFonts w:ascii="Arial" w:hAnsi="Arial" w:cs="Arial"/>
        </w:rPr>
      </w:pPr>
    </w:p>
    <w:p w:rsidR="007A1724" w:rsidRDefault="007A1724" w:rsidP="007A1724">
      <w:pPr>
        <w:rPr>
          <w:rFonts w:ascii="Arial" w:hAnsi="Arial" w:cs="Arial"/>
          <w:b/>
        </w:rPr>
      </w:pPr>
      <w:r>
        <w:rPr>
          <w:rFonts w:ascii="Arial" w:hAnsi="Arial" w:cs="Arial"/>
          <w:b/>
        </w:rPr>
        <w:br w:type="page"/>
      </w:r>
    </w:p>
    <w:p w:rsidR="007A1724" w:rsidRPr="00311628" w:rsidRDefault="007A1724" w:rsidP="007A1724">
      <w:pPr>
        <w:spacing w:after="0"/>
        <w:jc w:val="both"/>
        <w:rPr>
          <w:rFonts w:ascii="Arial" w:hAnsi="Arial" w:cs="Arial"/>
          <w:b/>
        </w:rPr>
      </w:pPr>
      <w:r w:rsidRPr="00311628">
        <w:rPr>
          <w:rFonts w:ascii="Arial" w:hAnsi="Arial" w:cs="Arial"/>
          <w:b/>
        </w:rPr>
        <w:t xml:space="preserve">Average household bill information </w:t>
      </w:r>
    </w:p>
    <w:p w:rsidR="007A1724" w:rsidRDefault="007A1724" w:rsidP="007A1724">
      <w:pPr>
        <w:pStyle w:val="Default"/>
        <w:rPr>
          <w:i/>
          <w:color w:val="auto"/>
          <w:sz w:val="22"/>
          <w:szCs w:val="22"/>
        </w:rPr>
      </w:pPr>
    </w:p>
    <w:p w:rsidR="007A1724" w:rsidRPr="000557EB" w:rsidRDefault="007A1724" w:rsidP="007A1724">
      <w:pPr>
        <w:pStyle w:val="Default"/>
        <w:rPr>
          <w:i/>
          <w:color w:val="auto"/>
          <w:sz w:val="22"/>
          <w:szCs w:val="22"/>
        </w:rPr>
      </w:pPr>
      <w:r w:rsidRPr="000557EB">
        <w:rPr>
          <w:i/>
          <w:color w:val="auto"/>
          <w:sz w:val="22"/>
          <w:szCs w:val="22"/>
        </w:rPr>
        <w:t xml:space="preserve">The Board confirms that it quantifies the effects of </w:t>
      </w:r>
      <w:r w:rsidR="00FC199D">
        <w:rPr>
          <w:i/>
          <w:color w:val="auto"/>
          <w:sz w:val="22"/>
          <w:szCs w:val="22"/>
        </w:rPr>
        <w:t xml:space="preserve">our </w:t>
      </w:r>
      <w:r w:rsidRPr="000557EB">
        <w:rPr>
          <w:i/>
          <w:color w:val="auto"/>
          <w:sz w:val="22"/>
          <w:szCs w:val="22"/>
        </w:rPr>
        <w:t xml:space="preserve">charges on average household bills </w:t>
      </w:r>
      <w:r w:rsidR="00FC199D">
        <w:rPr>
          <w:i/>
          <w:color w:val="auto"/>
          <w:sz w:val="22"/>
          <w:szCs w:val="22"/>
        </w:rPr>
        <w:t xml:space="preserve">for the regulatory years </w:t>
      </w:r>
      <w:r w:rsidRPr="000557EB">
        <w:rPr>
          <w:i/>
          <w:color w:val="auto"/>
          <w:sz w:val="22"/>
          <w:szCs w:val="22"/>
        </w:rPr>
        <w:t>as follows:-</w:t>
      </w:r>
    </w:p>
    <w:p w:rsidR="007A1724" w:rsidRPr="00D24664" w:rsidRDefault="007A1724" w:rsidP="007A1724">
      <w:pPr>
        <w:spacing w:after="0"/>
        <w:jc w:val="both"/>
        <w:rPr>
          <w:rFonts w:ascii="Arial" w:hAnsi="Arial" w:cs="Arial"/>
          <w:b/>
          <w:sz w:val="20"/>
          <w:szCs w:val="20"/>
        </w:rPr>
      </w:pPr>
    </w:p>
    <w:tbl>
      <w:tblPr>
        <w:tblW w:w="9067" w:type="dxa"/>
        <w:tblLook w:val="04A0" w:firstRow="1" w:lastRow="0" w:firstColumn="1" w:lastColumn="0" w:noHBand="0" w:noVBand="1"/>
      </w:tblPr>
      <w:tblGrid>
        <w:gridCol w:w="628"/>
        <w:gridCol w:w="3336"/>
        <w:gridCol w:w="1560"/>
        <w:gridCol w:w="1701"/>
        <w:gridCol w:w="1842"/>
      </w:tblGrid>
      <w:tr w:rsidR="007A1724" w:rsidRPr="00D24664" w:rsidTr="00E84E83">
        <w:trPr>
          <w:trHeight w:val="390"/>
        </w:trPr>
        <w:tc>
          <w:tcPr>
            <w:tcW w:w="3964" w:type="dxa"/>
            <w:gridSpan w:val="2"/>
            <w:tcBorders>
              <w:top w:val="single" w:sz="4" w:space="0" w:color="auto"/>
              <w:left w:val="single" w:sz="4" w:space="0" w:color="auto"/>
              <w:bottom w:val="nil"/>
              <w:right w:val="nil"/>
            </w:tcBorders>
            <w:shd w:val="clear" w:color="000000" w:fill="003479"/>
            <w:noWrap/>
            <w:vAlign w:val="bottom"/>
            <w:hideMark/>
          </w:tcPr>
          <w:p w:rsidR="007A1724" w:rsidRPr="00D24664" w:rsidRDefault="007A1724" w:rsidP="00E84E83">
            <w:pPr>
              <w:spacing w:after="0" w:line="240" w:lineRule="auto"/>
              <w:rPr>
                <w:rFonts w:ascii="Arial" w:eastAsia="Times New Roman" w:hAnsi="Arial" w:cs="Arial"/>
                <w:b/>
                <w:bCs/>
                <w:color w:val="FFFFFF"/>
                <w:sz w:val="20"/>
                <w:szCs w:val="20"/>
                <w:lang w:eastAsia="en-GB"/>
              </w:rPr>
            </w:pPr>
            <w:r w:rsidRPr="00D24664">
              <w:rPr>
                <w:rFonts w:ascii="Arial" w:eastAsia="Times New Roman" w:hAnsi="Arial" w:cs="Arial"/>
                <w:b/>
                <w:bCs/>
                <w:color w:val="FFFFFF"/>
                <w:sz w:val="20"/>
                <w:szCs w:val="20"/>
                <w:lang w:eastAsia="en-GB"/>
              </w:rPr>
              <w:t>COMPANY NAME: Portsmouth Water</w:t>
            </w:r>
          </w:p>
        </w:tc>
        <w:tc>
          <w:tcPr>
            <w:tcW w:w="1560" w:type="dxa"/>
            <w:tcBorders>
              <w:top w:val="single" w:sz="4" w:space="0" w:color="auto"/>
              <w:left w:val="nil"/>
              <w:bottom w:val="nil"/>
              <w:right w:val="nil"/>
            </w:tcBorders>
            <w:shd w:val="clear" w:color="000000" w:fill="003479"/>
            <w:noWrap/>
            <w:vAlign w:val="bottom"/>
            <w:hideMark/>
          </w:tcPr>
          <w:p w:rsidR="007A1724" w:rsidRPr="00D24664" w:rsidRDefault="007A1724" w:rsidP="00E84E83">
            <w:pPr>
              <w:spacing w:after="0" w:line="240" w:lineRule="auto"/>
              <w:rPr>
                <w:rFonts w:ascii="Arial" w:eastAsia="Times New Roman" w:hAnsi="Arial" w:cs="Arial"/>
                <w:color w:val="FFFFFF"/>
                <w:sz w:val="20"/>
                <w:szCs w:val="20"/>
                <w:lang w:eastAsia="en-GB"/>
              </w:rPr>
            </w:pPr>
            <w:r w:rsidRPr="00D24664">
              <w:rPr>
                <w:rFonts w:ascii="Arial" w:eastAsia="Times New Roman" w:hAnsi="Arial" w:cs="Arial"/>
                <w:color w:val="FFFFFF"/>
                <w:sz w:val="20"/>
                <w:szCs w:val="20"/>
                <w:lang w:eastAsia="en-GB"/>
              </w:rPr>
              <w:t> </w:t>
            </w:r>
          </w:p>
        </w:tc>
        <w:tc>
          <w:tcPr>
            <w:tcW w:w="1701" w:type="dxa"/>
            <w:tcBorders>
              <w:top w:val="single" w:sz="4" w:space="0" w:color="auto"/>
              <w:left w:val="nil"/>
              <w:bottom w:val="nil"/>
              <w:right w:val="nil"/>
            </w:tcBorders>
            <w:shd w:val="clear" w:color="000000" w:fill="003479"/>
            <w:noWrap/>
            <w:vAlign w:val="bottom"/>
            <w:hideMark/>
          </w:tcPr>
          <w:p w:rsidR="007A1724" w:rsidRPr="00D24664" w:rsidRDefault="007A1724" w:rsidP="00E84E83">
            <w:pPr>
              <w:spacing w:after="0" w:line="240" w:lineRule="auto"/>
              <w:rPr>
                <w:rFonts w:ascii="Arial" w:eastAsia="Times New Roman" w:hAnsi="Arial" w:cs="Arial"/>
                <w:color w:val="FFFFFF"/>
                <w:sz w:val="20"/>
                <w:szCs w:val="20"/>
                <w:lang w:eastAsia="en-GB"/>
              </w:rPr>
            </w:pPr>
            <w:r w:rsidRPr="00D24664">
              <w:rPr>
                <w:rFonts w:ascii="Arial" w:eastAsia="Times New Roman" w:hAnsi="Arial" w:cs="Arial"/>
                <w:color w:val="FFFFFF"/>
                <w:sz w:val="20"/>
                <w:szCs w:val="20"/>
                <w:lang w:eastAsia="en-GB"/>
              </w:rPr>
              <w:t> </w:t>
            </w:r>
          </w:p>
        </w:tc>
        <w:tc>
          <w:tcPr>
            <w:tcW w:w="1842" w:type="dxa"/>
            <w:tcBorders>
              <w:top w:val="single" w:sz="4" w:space="0" w:color="auto"/>
              <w:left w:val="nil"/>
              <w:bottom w:val="nil"/>
              <w:right w:val="single" w:sz="4" w:space="0" w:color="auto"/>
            </w:tcBorders>
            <w:shd w:val="clear" w:color="000000" w:fill="003479"/>
            <w:noWrap/>
            <w:vAlign w:val="bottom"/>
            <w:hideMark/>
          </w:tcPr>
          <w:p w:rsidR="007A1724" w:rsidRPr="00D24664" w:rsidRDefault="007A1724" w:rsidP="00E84E83">
            <w:pPr>
              <w:spacing w:after="0" w:line="240" w:lineRule="auto"/>
              <w:rPr>
                <w:rFonts w:ascii="Arial" w:eastAsia="Times New Roman" w:hAnsi="Arial" w:cs="Arial"/>
                <w:color w:val="FFFFFF"/>
                <w:sz w:val="20"/>
                <w:szCs w:val="20"/>
                <w:lang w:eastAsia="en-GB"/>
              </w:rPr>
            </w:pPr>
            <w:r w:rsidRPr="00D24664">
              <w:rPr>
                <w:rFonts w:ascii="Arial" w:eastAsia="Times New Roman" w:hAnsi="Arial" w:cs="Arial"/>
                <w:color w:val="FFFFFF"/>
                <w:sz w:val="20"/>
                <w:szCs w:val="20"/>
                <w:lang w:eastAsia="en-GB"/>
              </w:rPr>
              <w:t> </w:t>
            </w:r>
          </w:p>
        </w:tc>
      </w:tr>
      <w:tr w:rsidR="007A1724" w:rsidRPr="00D24664" w:rsidTr="00E84E83">
        <w:trPr>
          <w:trHeight w:val="390"/>
        </w:trPr>
        <w:tc>
          <w:tcPr>
            <w:tcW w:w="7225" w:type="dxa"/>
            <w:gridSpan w:val="4"/>
            <w:tcBorders>
              <w:top w:val="nil"/>
              <w:left w:val="single" w:sz="4" w:space="0" w:color="auto"/>
              <w:bottom w:val="nil"/>
              <w:right w:val="nil"/>
            </w:tcBorders>
            <w:shd w:val="clear" w:color="000000" w:fill="003479"/>
            <w:noWrap/>
            <w:vAlign w:val="bottom"/>
            <w:hideMark/>
          </w:tcPr>
          <w:p w:rsidR="007A1724" w:rsidRPr="00D24664" w:rsidRDefault="007A1724" w:rsidP="00E84E83">
            <w:pPr>
              <w:spacing w:after="0" w:line="240" w:lineRule="auto"/>
              <w:rPr>
                <w:rFonts w:ascii="Arial" w:eastAsia="Times New Roman" w:hAnsi="Arial" w:cs="Arial"/>
                <w:b/>
                <w:bCs/>
                <w:color w:val="FFFFFF"/>
                <w:sz w:val="20"/>
                <w:szCs w:val="20"/>
                <w:lang w:eastAsia="en-GB"/>
              </w:rPr>
            </w:pPr>
            <w:r w:rsidRPr="00D24664">
              <w:rPr>
                <w:rFonts w:ascii="Arial" w:eastAsia="Times New Roman" w:hAnsi="Arial" w:cs="Arial"/>
                <w:b/>
                <w:bCs/>
                <w:color w:val="FFFFFF"/>
                <w:sz w:val="20"/>
                <w:szCs w:val="20"/>
                <w:lang w:eastAsia="en-GB"/>
              </w:rPr>
              <w:t>HOUSEHOLD AVERAGE BILLS INFORMATION FOR 2016-17</w:t>
            </w:r>
          </w:p>
        </w:tc>
        <w:tc>
          <w:tcPr>
            <w:tcW w:w="1842" w:type="dxa"/>
            <w:tcBorders>
              <w:top w:val="nil"/>
              <w:left w:val="nil"/>
              <w:bottom w:val="nil"/>
              <w:right w:val="single" w:sz="4" w:space="0" w:color="auto"/>
            </w:tcBorders>
            <w:shd w:val="clear" w:color="000000" w:fill="003479"/>
            <w:noWrap/>
            <w:vAlign w:val="bottom"/>
            <w:hideMark/>
          </w:tcPr>
          <w:p w:rsidR="007A1724" w:rsidRPr="00D24664" w:rsidRDefault="007A1724" w:rsidP="00E84E83">
            <w:pPr>
              <w:spacing w:after="0" w:line="240" w:lineRule="auto"/>
              <w:rPr>
                <w:rFonts w:ascii="Arial" w:eastAsia="Times New Roman" w:hAnsi="Arial" w:cs="Arial"/>
                <w:color w:val="FFFFFF"/>
                <w:sz w:val="20"/>
                <w:szCs w:val="20"/>
                <w:lang w:eastAsia="en-GB"/>
              </w:rPr>
            </w:pPr>
            <w:r w:rsidRPr="00D24664">
              <w:rPr>
                <w:rFonts w:ascii="Arial" w:eastAsia="Times New Roman" w:hAnsi="Arial" w:cs="Arial"/>
                <w:color w:val="FFFFFF"/>
                <w:sz w:val="20"/>
                <w:szCs w:val="20"/>
                <w:lang w:eastAsia="en-GB"/>
              </w:rPr>
              <w:t> </w:t>
            </w:r>
          </w:p>
        </w:tc>
      </w:tr>
      <w:tr w:rsidR="007A1724" w:rsidRPr="00D24664" w:rsidTr="00E84E83">
        <w:trPr>
          <w:trHeight w:val="390"/>
        </w:trPr>
        <w:tc>
          <w:tcPr>
            <w:tcW w:w="3964" w:type="dxa"/>
            <w:gridSpan w:val="2"/>
            <w:tcBorders>
              <w:top w:val="nil"/>
              <w:left w:val="single" w:sz="4" w:space="0" w:color="auto"/>
              <w:bottom w:val="nil"/>
              <w:right w:val="nil"/>
            </w:tcBorders>
            <w:shd w:val="clear" w:color="000000" w:fill="FFFFFF"/>
            <w:noWrap/>
            <w:vAlign w:val="bottom"/>
            <w:hideMark/>
          </w:tcPr>
          <w:p w:rsidR="007A1724" w:rsidRPr="00D24664" w:rsidRDefault="007A1724" w:rsidP="00E84E83">
            <w:pPr>
              <w:spacing w:after="0" w:line="240" w:lineRule="auto"/>
              <w:rPr>
                <w:rFonts w:ascii="Arial" w:eastAsia="Times New Roman" w:hAnsi="Arial" w:cs="Arial"/>
                <w:b/>
                <w:bCs/>
                <w:color w:val="44546A"/>
                <w:sz w:val="20"/>
                <w:szCs w:val="20"/>
                <w:lang w:eastAsia="en-GB"/>
              </w:rPr>
            </w:pPr>
            <w:r w:rsidRPr="00D24664">
              <w:rPr>
                <w:rFonts w:ascii="Arial" w:eastAsia="Times New Roman" w:hAnsi="Arial" w:cs="Arial"/>
                <w:b/>
                <w:bCs/>
                <w:color w:val="44546A"/>
                <w:sz w:val="20"/>
                <w:szCs w:val="20"/>
                <w:lang w:eastAsia="en-GB"/>
              </w:rPr>
              <w:t>Table 1: Water supply services</w:t>
            </w:r>
          </w:p>
        </w:tc>
        <w:tc>
          <w:tcPr>
            <w:tcW w:w="1560" w:type="dxa"/>
            <w:tcBorders>
              <w:top w:val="nil"/>
              <w:left w:val="nil"/>
              <w:bottom w:val="nil"/>
              <w:right w:val="nil"/>
            </w:tcBorders>
            <w:shd w:val="clear" w:color="auto" w:fill="auto"/>
            <w:noWrap/>
            <w:vAlign w:val="bottom"/>
            <w:hideMark/>
          </w:tcPr>
          <w:p w:rsidR="007A1724" w:rsidRPr="00D24664" w:rsidRDefault="007A1724" w:rsidP="00E84E83">
            <w:pPr>
              <w:spacing w:after="0" w:line="240" w:lineRule="auto"/>
              <w:rPr>
                <w:rFonts w:ascii="Arial" w:eastAsia="Times New Roman" w:hAnsi="Arial" w:cs="Arial"/>
                <w:b/>
                <w:bCs/>
                <w:color w:val="44546A"/>
                <w:sz w:val="20"/>
                <w:szCs w:val="20"/>
                <w:lang w:eastAsia="en-GB"/>
              </w:rPr>
            </w:pPr>
          </w:p>
        </w:tc>
        <w:tc>
          <w:tcPr>
            <w:tcW w:w="1701" w:type="dxa"/>
            <w:tcBorders>
              <w:top w:val="nil"/>
              <w:left w:val="nil"/>
              <w:bottom w:val="nil"/>
              <w:right w:val="nil"/>
            </w:tcBorders>
            <w:shd w:val="clear" w:color="auto" w:fill="auto"/>
            <w:noWrap/>
            <w:vAlign w:val="bottom"/>
            <w:hideMark/>
          </w:tcPr>
          <w:p w:rsidR="007A1724" w:rsidRPr="00D24664" w:rsidRDefault="007A1724" w:rsidP="00E84E83">
            <w:pPr>
              <w:spacing w:after="0" w:line="240" w:lineRule="auto"/>
              <w:rPr>
                <w:rFonts w:ascii="Arial" w:eastAsia="Times New Roman" w:hAnsi="Arial" w:cs="Arial"/>
                <w:sz w:val="20"/>
                <w:szCs w:val="20"/>
                <w:lang w:eastAsia="en-GB"/>
              </w:rPr>
            </w:pPr>
          </w:p>
        </w:tc>
        <w:tc>
          <w:tcPr>
            <w:tcW w:w="1842" w:type="dxa"/>
            <w:tcBorders>
              <w:top w:val="nil"/>
              <w:left w:val="nil"/>
              <w:bottom w:val="nil"/>
              <w:right w:val="single" w:sz="4" w:space="0" w:color="auto"/>
            </w:tcBorders>
            <w:shd w:val="clear" w:color="auto" w:fill="auto"/>
            <w:noWrap/>
            <w:vAlign w:val="bottom"/>
            <w:hideMark/>
          </w:tcPr>
          <w:p w:rsidR="007A1724" w:rsidRPr="00D24664" w:rsidRDefault="007A1724" w:rsidP="00E84E83">
            <w:pPr>
              <w:spacing w:after="0" w:line="240" w:lineRule="auto"/>
              <w:rPr>
                <w:rFonts w:ascii="Arial" w:eastAsia="Times New Roman" w:hAnsi="Arial" w:cs="Arial"/>
                <w:sz w:val="20"/>
                <w:szCs w:val="20"/>
                <w:lang w:eastAsia="en-GB"/>
              </w:rPr>
            </w:pPr>
            <w:r w:rsidRPr="00D24664">
              <w:rPr>
                <w:rFonts w:ascii="Arial" w:eastAsia="Times New Roman" w:hAnsi="Arial" w:cs="Arial"/>
                <w:sz w:val="20"/>
                <w:szCs w:val="20"/>
                <w:lang w:eastAsia="en-GB"/>
              </w:rPr>
              <w:t> </w:t>
            </w:r>
          </w:p>
        </w:tc>
      </w:tr>
      <w:tr w:rsidR="007A1724" w:rsidRPr="00D24664" w:rsidTr="00E84E83">
        <w:trPr>
          <w:trHeight w:val="255"/>
        </w:trPr>
        <w:tc>
          <w:tcPr>
            <w:tcW w:w="628" w:type="dxa"/>
            <w:tcBorders>
              <w:top w:val="nil"/>
              <w:left w:val="single" w:sz="4" w:space="0" w:color="auto"/>
              <w:bottom w:val="nil"/>
              <w:right w:val="nil"/>
            </w:tcBorders>
            <w:shd w:val="clear" w:color="auto" w:fill="auto"/>
            <w:noWrap/>
            <w:vAlign w:val="bottom"/>
            <w:hideMark/>
          </w:tcPr>
          <w:p w:rsidR="007A1724" w:rsidRPr="00D24664" w:rsidRDefault="007A1724" w:rsidP="00E84E83">
            <w:pPr>
              <w:spacing w:after="0" w:line="240" w:lineRule="auto"/>
              <w:rPr>
                <w:rFonts w:ascii="Arial" w:eastAsia="Times New Roman" w:hAnsi="Arial" w:cs="Arial"/>
                <w:sz w:val="20"/>
                <w:szCs w:val="20"/>
                <w:lang w:eastAsia="en-GB"/>
              </w:rPr>
            </w:pPr>
            <w:r w:rsidRPr="00D24664">
              <w:rPr>
                <w:rFonts w:ascii="Arial" w:eastAsia="Times New Roman" w:hAnsi="Arial" w:cs="Arial"/>
                <w:sz w:val="20"/>
                <w:szCs w:val="20"/>
                <w:lang w:eastAsia="en-GB"/>
              </w:rPr>
              <w:t> </w:t>
            </w:r>
          </w:p>
        </w:tc>
        <w:tc>
          <w:tcPr>
            <w:tcW w:w="3336" w:type="dxa"/>
            <w:tcBorders>
              <w:top w:val="nil"/>
              <w:left w:val="nil"/>
              <w:bottom w:val="nil"/>
              <w:right w:val="nil"/>
            </w:tcBorders>
            <w:shd w:val="clear" w:color="auto" w:fill="auto"/>
            <w:noWrap/>
            <w:vAlign w:val="bottom"/>
            <w:hideMark/>
          </w:tcPr>
          <w:p w:rsidR="007A1724" w:rsidRPr="00D24664" w:rsidRDefault="007A1724" w:rsidP="00E84E83">
            <w:pPr>
              <w:spacing w:after="0" w:line="240" w:lineRule="auto"/>
              <w:rPr>
                <w:rFonts w:ascii="Arial" w:eastAsia="Times New Roman" w:hAnsi="Arial" w:cs="Arial"/>
                <w:sz w:val="20"/>
                <w:szCs w:val="20"/>
                <w:lang w:eastAsia="en-GB"/>
              </w:rPr>
            </w:pPr>
          </w:p>
        </w:tc>
        <w:tc>
          <w:tcPr>
            <w:tcW w:w="1560" w:type="dxa"/>
            <w:tcBorders>
              <w:top w:val="nil"/>
              <w:left w:val="nil"/>
              <w:bottom w:val="nil"/>
              <w:right w:val="nil"/>
            </w:tcBorders>
            <w:shd w:val="clear" w:color="auto" w:fill="auto"/>
            <w:noWrap/>
            <w:vAlign w:val="bottom"/>
            <w:hideMark/>
          </w:tcPr>
          <w:p w:rsidR="007A1724" w:rsidRPr="00D24664" w:rsidRDefault="007A1724" w:rsidP="00E84E83">
            <w:pPr>
              <w:spacing w:after="0" w:line="240" w:lineRule="auto"/>
              <w:rPr>
                <w:rFonts w:ascii="Arial" w:eastAsia="Times New Roman" w:hAnsi="Arial" w:cs="Arial"/>
                <w:sz w:val="20"/>
                <w:szCs w:val="20"/>
                <w:lang w:eastAsia="en-GB"/>
              </w:rPr>
            </w:pPr>
          </w:p>
        </w:tc>
        <w:tc>
          <w:tcPr>
            <w:tcW w:w="1701" w:type="dxa"/>
            <w:tcBorders>
              <w:top w:val="nil"/>
              <w:left w:val="nil"/>
              <w:bottom w:val="nil"/>
              <w:right w:val="nil"/>
            </w:tcBorders>
            <w:shd w:val="clear" w:color="auto" w:fill="auto"/>
            <w:noWrap/>
            <w:vAlign w:val="bottom"/>
            <w:hideMark/>
          </w:tcPr>
          <w:p w:rsidR="007A1724" w:rsidRPr="00D24664" w:rsidRDefault="007A1724" w:rsidP="00E84E83">
            <w:pPr>
              <w:spacing w:after="0" w:line="240" w:lineRule="auto"/>
              <w:rPr>
                <w:rFonts w:ascii="Arial" w:eastAsia="Times New Roman" w:hAnsi="Arial" w:cs="Arial"/>
                <w:sz w:val="20"/>
                <w:szCs w:val="20"/>
                <w:lang w:eastAsia="en-GB"/>
              </w:rPr>
            </w:pPr>
          </w:p>
        </w:tc>
        <w:tc>
          <w:tcPr>
            <w:tcW w:w="1842" w:type="dxa"/>
            <w:tcBorders>
              <w:top w:val="nil"/>
              <w:left w:val="nil"/>
              <w:bottom w:val="nil"/>
              <w:right w:val="single" w:sz="4" w:space="0" w:color="auto"/>
            </w:tcBorders>
            <w:shd w:val="clear" w:color="auto" w:fill="auto"/>
            <w:noWrap/>
            <w:vAlign w:val="bottom"/>
            <w:hideMark/>
          </w:tcPr>
          <w:p w:rsidR="007A1724" w:rsidRPr="00D24664" w:rsidRDefault="007A1724" w:rsidP="00E84E83">
            <w:pPr>
              <w:spacing w:after="0" w:line="240" w:lineRule="auto"/>
              <w:rPr>
                <w:rFonts w:ascii="Arial" w:eastAsia="Times New Roman" w:hAnsi="Arial" w:cs="Arial"/>
                <w:sz w:val="20"/>
                <w:szCs w:val="20"/>
                <w:lang w:eastAsia="en-GB"/>
              </w:rPr>
            </w:pPr>
            <w:r w:rsidRPr="00D24664">
              <w:rPr>
                <w:rFonts w:ascii="Arial" w:eastAsia="Times New Roman" w:hAnsi="Arial" w:cs="Arial"/>
                <w:sz w:val="20"/>
                <w:szCs w:val="20"/>
                <w:lang w:eastAsia="en-GB"/>
              </w:rPr>
              <w:t> </w:t>
            </w:r>
          </w:p>
        </w:tc>
      </w:tr>
      <w:tr w:rsidR="007A1724" w:rsidRPr="00D24664" w:rsidTr="00E84E83">
        <w:trPr>
          <w:trHeight w:val="660"/>
        </w:trPr>
        <w:tc>
          <w:tcPr>
            <w:tcW w:w="628" w:type="dxa"/>
            <w:tcBorders>
              <w:top w:val="single" w:sz="4" w:space="0" w:color="auto"/>
              <w:left w:val="single" w:sz="4" w:space="0" w:color="auto"/>
              <w:bottom w:val="nil"/>
              <w:right w:val="nil"/>
            </w:tcBorders>
            <w:shd w:val="clear" w:color="000000" w:fill="E0DCD8"/>
            <w:vAlign w:val="center"/>
            <w:hideMark/>
          </w:tcPr>
          <w:p w:rsidR="007A1724" w:rsidRPr="00D24664" w:rsidRDefault="007A1724" w:rsidP="00E84E83">
            <w:pPr>
              <w:spacing w:after="0" w:line="240" w:lineRule="auto"/>
              <w:jc w:val="center"/>
              <w:rPr>
                <w:rFonts w:ascii="Arial" w:eastAsia="Times New Roman" w:hAnsi="Arial" w:cs="Arial"/>
                <w:sz w:val="20"/>
                <w:szCs w:val="20"/>
                <w:lang w:eastAsia="en-GB"/>
              </w:rPr>
            </w:pPr>
            <w:r w:rsidRPr="00D24664">
              <w:rPr>
                <w:rFonts w:ascii="Arial" w:eastAsia="Times New Roman" w:hAnsi="Arial" w:cs="Arial"/>
                <w:sz w:val="20"/>
                <w:szCs w:val="20"/>
                <w:lang w:eastAsia="en-GB"/>
              </w:rPr>
              <w:t> </w:t>
            </w:r>
          </w:p>
        </w:tc>
        <w:tc>
          <w:tcPr>
            <w:tcW w:w="3336" w:type="dxa"/>
            <w:tcBorders>
              <w:top w:val="single" w:sz="4" w:space="0" w:color="auto"/>
              <w:left w:val="nil"/>
              <w:bottom w:val="nil"/>
              <w:right w:val="nil"/>
            </w:tcBorders>
            <w:shd w:val="clear" w:color="000000" w:fill="E0DCD8"/>
            <w:vAlign w:val="center"/>
            <w:hideMark/>
          </w:tcPr>
          <w:p w:rsidR="007A1724" w:rsidRPr="00D24664" w:rsidRDefault="007A1724" w:rsidP="00E84E83">
            <w:pPr>
              <w:spacing w:after="0" w:line="240" w:lineRule="auto"/>
              <w:jc w:val="center"/>
              <w:rPr>
                <w:rFonts w:ascii="Arial" w:eastAsia="Times New Roman" w:hAnsi="Arial" w:cs="Arial"/>
                <w:sz w:val="20"/>
                <w:szCs w:val="20"/>
                <w:lang w:eastAsia="en-GB"/>
              </w:rPr>
            </w:pPr>
            <w:r w:rsidRPr="00D24664">
              <w:rPr>
                <w:rFonts w:ascii="Arial" w:eastAsia="Times New Roman" w:hAnsi="Arial" w:cs="Arial"/>
                <w:sz w:val="20"/>
                <w:szCs w:val="20"/>
                <w:lang w:eastAsia="en-GB"/>
              </w:rPr>
              <w:t> </w:t>
            </w:r>
          </w:p>
        </w:tc>
        <w:tc>
          <w:tcPr>
            <w:tcW w:w="1560" w:type="dxa"/>
            <w:tcBorders>
              <w:top w:val="single" w:sz="4" w:space="0" w:color="auto"/>
              <w:left w:val="nil"/>
              <w:bottom w:val="nil"/>
              <w:right w:val="nil"/>
            </w:tcBorders>
            <w:shd w:val="clear" w:color="000000" w:fill="E0DCD8"/>
            <w:vAlign w:val="center"/>
            <w:hideMark/>
          </w:tcPr>
          <w:p w:rsidR="007A1724" w:rsidRPr="00D24664" w:rsidRDefault="007A1724" w:rsidP="00E84E83">
            <w:pPr>
              <w:spacing w:after="0" w:line="240" w:lineRule="auto"/>
              <w:jc w:val="center"/>
              <w:rPr>
                <w:rFonts w:ascii="Arial" w:eastAsia="Times New Roman" w:hAnsi="Arial" w:cs="Arial"/>
                <w:b/>
                <w:bCs/>
                <w:color w:val="0078C9"/>
                <w:sz w:val="20"/>
                <w:szCs w:val="20"/>
                <w:lang w:eastAsia="en-GB"/>
              </w:rPr>
            </w:pPr>
            <w:r w:rsidRPr="00D24664">
              <w:rPr>
                <w:rFonts w:ascii="Arial" w:eastAsia="Times New Roman" w:hAnsi="Arial" w:cs="Arial"/>
                <w:b/>
                <w:bCs/>
                <w:color w:val="0078C9"/>
                <w:sz w:val="20"/>
                <w:szCs w:val="20"/>
                <w:lang w:eastAsia="en-GB"/>
              </w:rPr>
              <w:t>Revenue for 2014-15 (£m)</w:t>
            </w:r>
          </w:p>
        </w:tc>
        <w:tc>
          <w:tcPr>
            <w:tcW w:w="1701" w:type="dxa"/>
            <w:tcBorders>
              <w:top w:val="single" w:sz="4" w:space="0" w:color="auto"/>
              <w:left w:val="nil"/>
              <w:bottom w:val="nil"/>
              <w:right w:val="nil"/>
            </w:tcBorders>
            <w:shd w:val="clear" w:color="000000" w:fill="E0DCD8"/>
            <w:vAlign w:val="center"/>
            <w:hideMark/>
          </w:tcPr>
          <w:p w:rsidR="007A1724" w:rsidRPr="00D24664" w:rsidRDefault="007A1724" w:rsidP="00E84E83">
            <w:pPr>
              <w:spacing w:after="0" w:line="240" w:lineRule="auto"/>
              <w:jc w:val="center"/>
              <w:rPr>
                <w:rFonts w:ascii="Arial" w:eastAsia="Times New Roman" w:hAnsi="Arial" w:cs="Arial"/>
                <w:b/>
                <w:bCs/>
                <w:color w:val="0078C9"/>
                <w:sz w:val="20"/>
                <w:szCs w:val="20"/>
                <w:lang w:eastAsia="en-GB"/>
              </w:rPr>
            </w:pPr>
            <w:r w:rsidRPr="00D24664">
              <w:rPr>
                <w:rFonts w:ascii="Arial" w:eastAsia="Times New Roman" w:hAnsi="Arial" w:cs="Arial"/>
                <w:b/>
                <w:bCs/>
                <w:color w:val="0078C9"/>
                <w:sz w:val="20"/>
                <w:szCs w:val="20"/>
                <w:lang w:eastAsia="en-GB"/>
              </w:rPr>
              <w:t>Properties, 2014-15 ('000)</w:t>
            </w:r>
          </w:p>
        </w:tc>
        <w:tc>
          <w:tcPr>
            <w:tcW w:w="1842" w:type="dxa"/>
            <w:tcBorders>
              <w:top w:val="single" w:sz="4" w:space="0" w:color="auto"/>
              <w:left w:val="nil"/>
              <w:bottom w:val="nil"/>
              <w:right w:val="single" w:sz="4" w:space="0" w:color="auto"/>
            </w:tcBorders>
            <w:shd w:val="clear" w:color="000000" w:fill="E0DCD8"/>
            <w:vAlign w:val="center"/>
            <w:hideMark/>
          </w:tcPr>
          <w:p w:rsidR="007A1724" w:rsidRPr="00D24664" w:rsidRDefault="007A1724" w:rsidP="00E84E83">
            <w:pPr>
              <w:spacing w:after="0" w:line="240" w:lineRule="auto"/>
              <w:jc w:val="center"/>
              <w:rPr>
                <w:rFonts w:ascii="Arial" w:eastAsia="Times New Roman" w:hAnsi="Arial" w:cs="Arial"/>
                <w:b/>
                <w:bCs/>
                <w:color w:val="0078C9"/>
                <w:sz w:val="20"/>
                <w:szCs w:val="20"/>
                <w:lang w:eastAsia="en-GB"/>
              </w:rPr>
            </w:pPr>
            <w:r w:rsidRPr="00D24664">
              <w:rPr>
                <w:rFonts w:ascii="Arial" w:eastAsia="Times New Roman" w:hAnsi="Arial" w:cs="Arial"/>
                <w:b/>
                <w:bCs/>
                <w:color w:val="0078C9"/>
                <w:sz w:val="20"/>
                <w:szCs w:val="20"/>
                <w:lang w:eastAsia="en-GB"/>
              </w:rPr>
              <w:t>Final average bill for 2014-15 (£)</w:t>
            </w:r>
          </w:p>
        </w:tc>
      </w:tr>
      <w:tr w:rsidR="007A1724" w:rsidRPr="00D24664" w:rsidTr="00E84E83">
        <w:trPr>
          <w:trHeight w:val="360"/>
        </w:trPr>
        <w:tc>
          <w:tcPr>
            <w:tcW w:w="628" w:type="dxa"/>
            <w:tcBorders>
              <w:top w:val="nil"/>
              <w:left w:val="single" w:sz="4" w:space="0" w:color="auto"/>
              <w:bottom w:val="nil"/>
              <w:right w:val="nil"/>
            </w:tcBorders>
            <w:shd w:val="clear" w:color="auto" w:fill="auto"/>
            <w:noWrap/>
            <w:vAlign w:val="bottom"/>
            <w:hideMark/>
          </w:tcPr>
          <w:p w:rsidR="007A1724" w:rsidRPr="00D24664" w:rsidRDefault="007A1724" w:rsidP="00E84E83">
            <w:pPr>
              <w:spacing w:after="0" w:line="240" w:lineRule="auto"/>
              <w:rPr>
                <w:rFonts w:ascii="Arial" w:eastAsia="Times New Roman" w:hAnsi="Arial" w:cs="Arial"/>
                <w:sz w:val="20"/>
                <w:szCs w:val="20"/>
                <w:lang w:eastAsia="en-GB"/>
              </w:rPr>
            </w:pPr>
            <w:r w:rsidRPr="00D24664">
              <w:rPr>
                <w:rFonts w:ascii="Arial" w:eastAsia="Times New Roman" w:hAnsi="Arial" w:cs="Arial"/>
                <w:sz w:val="20"/>
                <w:szCs w:val="20"/>
                <w:lang w:eastAsia="en-GB"/>
              </w:rPr>
              <w:t>1</w:t>
            </w:r>
          </w:p>
        </w:tc>
        <w:tc>
          <w:tcPr>
            <w:tcW w:w="3336" w:type="dxa"/>
            <w:tcBorders>
              <w:top w:val="nil"/>
              <w:left w:val="nil"/>
              <w:bottom w:val="nil"/>
              <w:right w:val="nil"/>
            </w:tcBorders>
            <w:shd w:val="clear" w:color="auto" w:fill="auto"/>
            <w:noWrap/>
            <w:vAlign w:val="bottom"/>
            <w:hideMark/>
          </w:tcPr>
          <w:p w:rsidR="007A1724" w:rsidRPr="00D24664" w:rsidRDefault="007A1724" w:rsidP="00E84E83">
            <w:pPr>
              <w:spacing w:after="0" w:line="240" w:lineRule="auto"/>
              <w:rPr>
                <w:rFonts w:ascii="Arial" w:eastAsia="Times New Roman" w:hAnsi="Arial" w:cs="Arial"/>
                <w:sz w:val="20"/>
                <w:szCs w:val="20"/>
                <w:lang w:eastAsia="en-GB"/>
              </w:rPr>
            </w:pPr>
            <w:r w:rsidRPr="00D24664">
              <w:rPr>
                <w:rFonts w:ascii="Arial" w:eastAsia="Times New Roman" w:hAnsi="Arial" w:cs="Arial"/>
                <w:sz w:val="20"/>
                <w:szCs w:val="20"/>
                <w:lang w:eastAsia="en-GB"/>
              </w:rPr>
              <w:t>Unmeasured supplies - household</w:t>
            </w:r>
          </w:p>
        </w:tc>
        <w:tc>
          <w:tcPr>
            <w:tcW w:w="1560" w:type="dxa"/>
            <w:tcBorders>
              <w:top w:val="nil"/>
              <w:left w:val="nil"/>
              <w:bottom w:val="nil"/>
              <w:right w:val="nil"/>
            </w:tcBorders>
            <w:shd w:val="clear" w:color="000000" w:fill="FCEABF"/>
            <w:noWrap/>
            <w:vAlign w:val="bottom"/>
            <w:hideMark/>
          </w:tcPr>
          <w:p w:rsidR="007A1724" w:rsidRPr="00D24664" w:rsidRDefault="007A1724" w:rsidP="00E84E83">
            <w:pPr>
              <w:spacing w:after="0" w:line="240" w:lineRule="auto"/>
              <w:jc w:val="right"/>
              <w:rPr>
                <w:rFonts w:ascii="Arial" w:eastAsia="Times New Roman" w:hAnsi="Arial" w:cs="Arial"/>
                <w:sz w:val="20"/>
                <w:szCs w:val="20"/>
                <w:lang w:eastAsia="en-GB"/>
              </w:rPr>
            </w:pPr>
            <w:r w:rsidRPr="00D24664">
              <w:rPr>
                <w:rFonts w:ascii="Arial" w:eastAsia="Times New Roman" w:hAnsi="Arial" w:cs="Arial"/>
                <w:sz w:val="20"/>
                <w:szCs w:val="20"/>
                <w:lang w:eastAsia="en-GB"/>
              </w:rPr>
              <w:t>21.018</w:t>
            </w:r>
          </w:p>
        </w:tc>
        <w:tc>
          <w:tcPr>
            <w:tcW w:w="1701" w:type="dxa"/>
            <w:tcBorders>
              <w:top w:val="nil"/>
              <w:left w:val="nil"/>
              <w:bottom w:val="nil"/>
              <w:right w:val="nil"/>
            </w:tcBorders>
            <w:shd w:val="clear" w:color="000000" w:fill="FCEABF"/>
            <w:noWrap/>
            <w:vAlign w:val="bottom"/>
            <w:hideMark/>
          </w:tcPr>
          <w:p w:rsidR="007A1724" w:rsidRPr="00D24664" w:rsidRDefault="007A1724" w:rsidP="00E84E83">
            <w:pPr>
              <w:spacing w:after="0" w:line="240" w:lineRule="auto"/>
              <w:jc w:val="right"/>
              <w:rPr>
                <w:rFonts w:ascii="Arial" w:eastAsia="Times New Roman" w:hAnsi="Arial" w:cs="Arial"/>
                <w:sz w:val="20"/>
                <w:szCs w:val="20"/>
                <w:lang w:eastAsia="en-GB"/>
              </w:rPr>
            </w:pPr>
            <w:r w:rsidRPr="00D24664">
              <w:rPr>
                <w:rFonts w:ascii="Arial" w:eastAsia="Times New Roman" w:hAnsi="Arial" w:cs="Arial"/>
                <w:sz w:val="20"/>
                <w:szCs w:val="20"/>
                <w:lang w:eastAsia="en-GB"/>
              </w:rPr>
              <w:t>213.419</w:t>
            </w:r>
          </w:p>
        </w:tc>
        <w:tc>
          <w:tcPr>
            <w:tcW w:w="1842" w:type="dxa"/>
            <w:tcBorders>
              <w:top w:val="nil"/>
              <w:left w:val="nil"/>
              <w:bottom w:val="nil"/>
              <w:right w:val="single" w:sz="4" w:space="0" w:color="auto"/>
            </w:tcBorders>
            <w:shd w:val="clear" w:color="000000" w:fill="BFDDF1"/>
            <w:noWrap/>
            <w:vAlign w:val="bottom"/>
            <w:hideMark/>
          </w:tcPr>
          <w:p w:rsidR="007A1724" w:rsidRPr="00D24664" w:rsidRDefault="007A1724" w:rsidP="00E84E83">
            <w:pPr>
              <w:spacing w:after="0" w:line="240" w:lineRule="auto"/>
              <w:jc w:val="right"/>
              <w:rPr>
                <w:rFonts w:ascii="Arial" w:eastAsia="Times New Roman" w:hAnsi="Arial" w:cs="Arial"/>
                <w:sz w:val="20"/>
                <w:szCs w:val="20"/>
                <w:lang w:eastAsia="en-GB"/>
              </w:rPr>
            </w:pPr>
            <w:r w:rsidRPr="00D24664">
              <w:rPr>
                <w:rFonts w:ascii="Arial" w:eastAsia="Times New Roman" w:hAnsi="Arial" w:cs="Arial"/>
                <w:sz w:val="20"/>
                <w:szCs w:val="20"/>
                <w:lang w:eastAsia="en-GB"/>
              </w:rPr>
              <w:t>£98.48</w:t>
            </w:r>
          </w:p>
        </w:tc>
      </w:tr>
      <w:tr w:rsidR="007A1724" w:rsidRPr="00D24664" w:rsidTr="00E84E83">
        <w:trPr>
          <w:trHeight w:val="360"/>
        </w:trPr>
        <w:tc>
          <w:tcPr>
            <w:tcW w:w="628" w:type="dxa"/>
            <w:tcBorders>
              <w:top w:val="nil"/>
              <w:left w:val="single" w:sz="4" w:space="0" w:color="auto"/>
              <w:bottom w:val="nil"/>
              <w:right w:val="nil"/>
            </w:tcBorders>
            <w:shd w:val="clear" w:color="auto" w:fill="auto"/>
            <w:noWrap/>
            <w:vAlign w:val="bottom"/>
            <w:hideMark/>
          </w:tcPr>
          <w:p w:rsidR="007A1724" w:rsidRPr="00D24664" w:rsidRDefault="007A1724" w:rsidP="00E84E83">
            <w:pPr>
              <w:spacing w:after="0" w:line="240" w:lineRule="auto"/>
              <w:rPr>
                <w:rFonts w:ascii="Arial" w:eastAsia="Times New Roman" w:hAnsi="Arial" w:cs="Arial"/>
                <w:sz w:val="20"/>
                <w:szCs w:val="20"/>
                <w:lang w:eastAsia="en-GB"/>
              </w:rPr>
            </w:pPr>
            <w:r w:rsidRPr="00D24664">
              <w:rPr>
                <w:rFonts w:ascii="Arial" w:eastAsia="Times New Roman" w:hAnsi="Arial" w:cs="Arial"/>
                <w:sz w:val="20"/>
                <w:szCs w:val="20"/>
                <w:lang w:eastAsia="en-GB"/>
              </w:rPr>
              <w:t>2</w:t>
            </w:r>
          </w:p>
        </w:tc>
        <w:tc>
          <w:tcPr>
            <w:tcW w:w="3336" w:type="dxa"/>
            <w:tcBorders>
              <w:top w:val="nil"/>
              <w:left w:val="nil"/>
              <w:bottom w:val="nil"/>
              <w:right w:val="nil"/>
            </w:tcBorders>
            <w:shd w:val="clear" w:color="auto" w:fill="auto"/>
            <w:noWrap/>
            <w:vAlign w:val="bottom"/>
            <w:hideMark/>
          </w:tcPr>
          <w:p w:rsidR="007A1724" w:rsidRPr="00D24664" w:rsidRDefault="007A1724" w:rsidP="00E84E83">
            <w:pPr>
              <w:spacing w:after="0" w:line="240" w:lineRule="auto"/>
              <w:rPr>
                <w:rFonts w:ascii="Arial" w:eastAsia="Times New Roman" w:hAnsi="Arial" w:cs="Arial"/>
                <w:sz w:val="20"/>
                <w:szCs w:val="20"/>
                <w:lang w:eastAsia="en-GB"/>
              </w:rPr>
            </w:pPr>
            <w:r w:rsidRPr="00D24664">
              <w:rPr>
                <w:rFonts w:ascii="Arial" w:eastAsia="Times New Roman" w:hAnsi="Arial" w:cs="Arial"/>
                <w:sz w:val="20"/>
                <w:szCs w:val="20"/>
                <w:lang w:eastAsia="en-GB"/>
              </w:rPr>
              <w:t>Measured supplies - household</w:t>
            </w:r>
          </w:p>
        </w:tc>
        <w:tc>
          <w:tcPr>
            <w:tcW w:w="1560" w:type="dxa"/>
            <w:tcBorders>
              <w:top w:val="nil"/>
              <w:left w:val="nil"/>
              <w:bottom w:val="nil"/>
              <w:right w:val="nil"/>
            </w:tcBorders>
            <w:shd w:val="clear" w:color="000000" w:fill="FCEABF"/>
            <w:noWrap/>
            <w:vAlign w:val="bottom"/>
            <w:hideMark/>
          </w:tcPr>
          <w:p w:rsidR="007A1724" w:rsidRPr="00D24664" w:rsidRDefault="007A1724" w:rsidP="00E84E83">
            <w:pPr>
              <w:spacing w:after="0" w:line="240" w:lineRule="auto"/>
              <w:jc w:val="right"/>
              <w:rPr>
                <w:rFonts w:ascii="Arial" w:eastAsia="Times New Roman" w:hAnsi="Arial" w:cs="Arial"/>
                <w:sz w:val="20"/>
                <w:szCs w:val="20"/>
                <w:lang w:eastAsia="en-GB"/>
              </w:rPr>
            </w:pPr>
            <w:r w:rsidRPr="00D24664">
              <w:rPr>
                <w:rFonts w:ascii="Arial" w:eastAsia="Times New Roman" w:hAnsi="Arial" w:cs="Arial"/>
                <w:sz w:val="20"/>
                <w:szCs w:val="20"/>
                <w:lang w:eastAsia="en-GB"/>
              </w:rPr>
              <w:t>6.331</w:t>
            </w:r>
          </w:p>
        </w:tc>
        <w:tc>
          <w:tcPr>
            <w:tcW w:w="1701" w:type="dxa"/>
            <w:tcBorders>
              <w:top w:val="nil"/>
              <w:left w:val="nil"/>
              <w:bottom w:val="nil"/>
              <w:right w:val="nil"/>
            </w:tcBorders>
            <w:shd w:val="clear" w:color="000000" w:fill="FCEABF"/>
            <w:noWrap/>
            <w:vAlign w:val="bottom"/>
            <w:hideMark/>
          </w:tcPr>
          <w:p w:rsidR="007A1724" w:rsidRPr="00D24664" w:rsidRDefault="007A1724" w:rsidP="00E84E83">
            <w:pPr>
              <w:spacing w:after="0" w:line="240" w:lineRule="auto"/>
              <w:jc w:val="right"/>
              <w:rPr>
                <w:rFonts w:ascii="Arial" w:eastAsia="Times New Roman" w:hAnsi="Arial" w:cs="Arial"/>
                <w:sz w:val="20"/>
                <w:szCs w:val="20"/>
                <w:lang w:eastAsia="en-GB"/>
              </w:rPr>
            </w:pPr>
            <w:r w:rsidRPr="00D24664">
              <w:rPr>
                <w:rFonts w:ascii="Arial" w:eastAsia="Times New Roman" w:hAnsi="Arial" w:cs="Arial"/>
                <w:sz w:val="20"/>
                <w:szCs w:val="20"/>
                <w:lang w:eastAsia="en-GB"/>
              </w:rPr>
              <w:t>72.358</w:t>
            </w:r>
          </w:p>
        </w:tc>
        <w:tc>
          <w:tcPr>
            <w:tcW w:w="1842" w:type="dxa"/>
            <w:tcBorders>
              <w:top w:val="nil"/>
              <w:left w:val="nil"/>
              <w:bottom w:val="nil"/>
              <w:right w:val="single" w:sz="4" w:space="0" w:color="auto"/>
            </w:tcBorders>
            <w:shd w:val="clear" w:color="000000" w:fill="BFDDF1"/>
            <w:noWrap/>
            <w:vAlign w:val="bottom"/>
            <w:hideMark/>
          </w:tcPr>
          <w:p w:rsidR="007A1724" w:rsidRPr="00D24664" w:rsidRDefault="007A1724" w:rsidP="00E84E83">
            <w:pPr>
              <w:spacing w:after="0" w:line="240" w:lineRule="auto"/>
              <w:jc w:val="right"/>
              <w:rPr>
                <w:rFonts w:ascii="Arial" w:eastAsia="Times New Roman" w:hAnsi="Arial" w:cs="Arial"/>
                <w:sz w:val="20"/>
                <w:szCs w:val="20"/>
                <w:lang w:eastAsia="en-GB"/>
              </w:rPr>
            </w:pPr>
            <w:r w:rsidRPr="00D24664">
              <w:rPr>
                <w:rFonts w:ascii="Arial" w:eastAsia="Times New Roman" w:hAnsi="Arial" w:cs="Arial"/>
                <w:sz w:val="20"/>
                <w:szCs w:val="20"/>
                <w:lang w:eastAsia="en-GB"/>
              </w:rPr>
              <w:t>£87.50</w:t>
            </w:r>
          </w:p>
        </w:tc>
      </w:tr>
      <w:tr w:rsidR="007A1724" w:rsidRPr="00D24664" w:rsidTr="00E84E83">
        <w:trPr>
          <w:trHeight w:val="360"/>
        </w:trPr>
        <w:tc>
          <w:tcPr>
            <w:tcW w:w="628" w:type="dxa"/>
            <w:tcBorders>
              <w:top w:val="nil"/>
              <w:left w:val="single" w:sz="4" w:space="0" w:color="auto"/>
              <w:bottom w:val="nil"/>
              <w:right w:val="nil"/>
            </w:tcBorders>
            <w:shd w:val="clear" w:color="auto" w:fill="auto"/>
            <w:noWrap/>
            <w:vAlign w:val="bottom"/>
            <w:hideMark/>
          </w:tcPr>
          <w:p w:rsidR="007A1724" w:rsidRPr="00D24664" w:rsidRDefault="007A1724" w:rsidP="00E84E83">
            <w:pPr>
              <w:spacing w:after="0" w:line="240" w:lineRule="auto"/>
              <w:rPr>
                <w:rFonts w:ascii="Arial" w:eastAsia="Times New Roman" w:hAnsi="Arial" w:cs="Arial"/>
                <w:sz w:val="20"/>
                <w:szCs w:val="20"/>
                <w:lang w:eastAsia="en-GB"/>
              </w:rPr>
            </w:pPr>
            <w:r w:rsidRPr="00D24664">
              <w:rPr>
                <w:rFonts w:ascii="Arial" w:eastAsia="Times New Roman" w:hAnsi="Arial" w:cs="Arial"/>
                <w:sz w:val="20"/>
                <w:szCs w:val="20"/>
                <w:lang w:eastAsia="en-GB"/>
              </w:rPr>
              <w:t>3</w:t>
            </w:r>
          </w:p>
        </w:tc>
        <w:tc>
          <w:tcPr>
            <w:tcW w:w="3336" w:type="dxa"/>
            <w:tcBorders>
              <w:top w:val="nil"/>
              <w:left w:val="nil"/>
              <w:bottom w:val="single" w:sz="4" w:space="0" w:color="auto"/>
              <w:right w:val="nil"/>
            </w:tcBorders>
            <w:shd w:val="clear" w:color="auto" w:fill="auto"/>
            <w:noWrap/>
            <w:vAlign w:val="bottom"/>
            <w:hideMark/>
          </w:tcPr>
          <w:p w:rsidR="007A1724" w:rsidRPr="00D24664" w:rsidRDefault="007A1724" w:rsidP="00E84E83">
            <w:pPr>
              <w:spacing w:after="0" w:line="240" w:lineRule="auto"/>
              <w:rPr>
                <w:rFonts w:ascii="Arial" w:eastAsia="Times New Roman" w:hAnsi="Arial" w:cs="Arial"/>
                <w:sz w:val="20"/>
                <w:szCs w:val="20"/>
                <w:lang w:eastAsia="en-GB"/>
              </w:rPr>
            </w:pPr>
            <w:r w:rsidRPr="00D24664">
              <w:rPr>
                <w:rFonts w:ascii="Arial" w:eastAsia="Times New Roman" w:hAnsi="Arial" w:cs="Arial"/>
                <w:sz w:val="20"/>
                <w:szCs w:val="20"/>
                <w:lang w:eastAsia="en-GB"/>
              </w:rPr>
              <w:t>T</w:t>
            </w:r>
            <w:r>
              <w:rPr>
                <w:rFonts w:ascii="Arial" w:eastAsia="Times New Roman" w:hAnsi="Arial" w:cs="Arial"/>
                <w:sz w:val="20"/>
                <w:szCs w:val="20"/>
                <w:lang w:eastAsia="en-GB"/>
              </w:rPr>
              <w:t xml:space="preserve">otal </w:t>
            </w:r>
          </w:p>
        </w:tc>
        <w:tc>
          <w:tcPr>
            <w:tcW w:w="1560" w:type="dxa"/>
            <w:tcBorders>
              <w:top w:val="nil"/>
              <w:left w:val="nil"/>
              <w:bottom w:val="single" w:sz="4" w:space="0" w:color="auto"/>
              <w:right w:val="nil"/>
            </w:tcBorders>
            <w:shd w:val="clear" w:color="000000" w:fill="BFDDF1"/>
            <w:noWrap/>
            <w:vAlign w:val="bottom"/>
            <w:hideMark/>
          </w:tcPr>
          <w:p w:rsidR="007A1724" w:rsidRPr="00D24664" w:rsidRDefault="007A1724" w:rsidP="00E84E83">
            <w:pPr>
              <w:spacing w:after="0" w:line="240" w:lineRule="auto"/>
              <w:jc w:val="right"/>
              <w:rPr>
                <w:rFonts w:ascii="Arial" w:eastAsia="Times New Roman" w:hAnsi="Arial" w:cs="Arial"/>
                <w:sz w:val="20"/>
                <w:szCs w:val="20"/>
                <w:lang w:eastAsia="en-GB"/>
              </w:rPr>
            </w:pPr>
            <w:r w:rsidRPr="00D24664">
              <w:rPr>
                <w:rFonts w:ascii="Arial" w:eastAsia="Times New Roman" w:hAnsi="Arial" w:cs="Arial"/>
                <w:sz w:val="20"/>
                <w:szCs w:val="20"/>
                <w:lang w:eastAsia="en-GB"/>
              </w:rPr>
              <w:t>27.349</w:t>
            </w:r>
          </w:p>
        </w:tc>
        <w:tc>
          <w:tcPr>
            <w:tcW w:w="1701" w:type="dxa"/>
            <w:tcBorders>
              <w:top w:val="nil"/>
              <w:left w:val="nil"/>
              <w:bottom w:val="single" w:sz="4" w:space="0" w:color="auto"/>
              <w:right w:val="nil"/>
            </w:tcBorders>
            <w:shd w:val="clear" w:color="000000" w:fill="BFDDF1"/>
            <w:noWrap/>
            <w:vAlign w:val="bottom"/>
            <w:hideMark/>
          </w:tcPr>
          <w:p w:rsidR="007A1724" w:rsidRPr="00D24664" w:rsidRDefault="007A1724" w:rsidP="00E84E83">
            <w:pPr>
              <w:spacing w:after="0" w:line="240" w:lineRule="auto"/>
              <w:jc w:val="right"/>
              <w:rPr>
                <w:rFonts w:ascii="Arial" w:eastAsia="Times New Roman" w:hAnsi="Arial" w:cs="Arial"/>
                <w:sz w:val="20"/>
                <w:szCs w:val="20"/>
                <w:lang w:eastAsia="en-GB"/>
              </w:rPr>
            </w:pPr>
            <w:r w:rsidRPr="00D24664">
              <w:rPr>
                <w:rFonts w:ascii="Arial" w:eastAsia="Times New Roman" w:hAnsi="Arial" w:cs="Arial"/>
                <w:sz w:val="20"/>
                <w:szCs w:val="20"/>
                <w:lang w:eastAsia="en-GB"/>
              </w:rPr>
              <w:t>285.777</w:t>
            </w:r>
          </w:p>
        </w:tc>
        <w:tc>
          <w:tcPr>
            <w:tcW w:w="1842" w:type="dxa"/>
            <w:tcBorders>
              <w:top w:val="nil"/>
              <w:left w:val="nil"/>
              <w:bottom w:val="nil"/>
              <w:right w:val="single" w:sz="4" w:space="0" w:color="auto"/>
            </w:tcBorders>
            <w:shd w:val="clear" w:color="000000" w:fill="BFDDF1"/>
            <w:noWrap/>
            <w:vAlign w:val="bottom"/>
            <w:hideMark/>
          </w:tcPr>
          <w:p w:rsidR="007A1724" w:rsidRPr="00D24664" w:rsidRDefault="007A1724" w:rsidP="00E84E83">
            <w:pPr>
              <w:spacing w:after="0" w:line="240" w:lineRule="auto"/>
              <w:jc w:val="right"/>
              <w:rPr>
                <w:rFonts w:ascii="Arial" w:eastAsia="Times New Roman" w:hAnsi="Arial" w:cs="Arial"/>
                <w:sz w:val="20"/>
                <w:szCs w:val="20"/>
                <w:lang w:eastAsia="en-GB"/>
              </w:rPr>
            </w:pPr>
            <w:r w:rsidRPr="00D24664">
              <w:rPr>
                <w:rFonts w:ascii="Arial" w:eastAsia="Times New Roman" w:hAnsi="Arial" w:cs="Arial"/>
                <w:sz w:val="20"/>
                <w:szCs w:val="20"/>
                <w:lang w:eastAsia="en-GB"/>
              </w:rPr>
              <w:t>£95.70</w:t>
            </w:r>
          </w:p>
        </w:tc>
      </w:tr>
      <w:tr w:rsidR="007A1724" w:rsidRPr="00D24664" w:rsidTr="00E84E83">
        <w:trPr>
          <w:trHeight w:val="990"/>
        </w:trPr>
        <w:tc>
          <w:tcPr>
            <w:tcW w:w="628" w:type="dxa"/>
            <w:tcBorders>
              <w:top w:val="single" w:sz="4" w:space="0" w:color="auto"/>
              <w:left w:val="single" w:sz="4" w:space="0" w:color="auto"/>
              <w:bottom w:val="nil"/>
              <w:right w:val="nil"/>
            </w:tcBorders>
            <w:shd w:val="clear" w:color="000000" w:fill="E0DCD8"/>
            <w:vAlign w:val="center"/>
            <w:hideMark/>
          </w:tcPr>
          <w:p w:rsidR="007A1724" w:rsidRPr="00D24664" w:rsidRDefault="007A1724" w:rsidP="00E84E83">
            <w:pPr>
              <w:spacing w:after="0" w:line="240" w:lineRule="auto"/>
              <w:jc w:val="center"/>
              <w:rPr>
                <w:rFonts w:ascii="Arial" w:eastAsia="Times New Roman" w:hAnsi="Arial" w:cs="Arial"/>
                <w:sz w:val="20"/>
                <w:szCs w:val="20"/>
                <w:lang w:eastAsia="en-GB"/>
              </w:rPr>
            </w:pPr>
            <w:r w:rsidRPr="00D24664">
              <w:rPr>
                <w:rFonts w:ascii="Arial" w:eastAsia="Times New Roman" w:hAnsi="Arial" w:cs="Arial"/>
                <w:sz w:val="20"/>
                <w:szCs w:val="20"/>
                <w:lang w:eastAsia="en-GB"/>
              </w:rPr>
              <w:t> </w:t>
            </w:r>
          </w:p>
        </w:tc>
        <w:tc>
          <w:tcPr>
            <w:tcW w:w="3336" w:type="dxa"/>
            <w:tcBorders>
              <w:top w:val="nil"/>
              <w:left w:val="nil"/>
              <w:bottom w:val="nil"/>
              <w:right w:val="nil"/>
            </w:tcBorders>
            <w:shd w:val="clear" w:color="000000" w:fill="E0DCD8"/>
            <w:vAlign w:val="center"/>
            <w:hideMark/>
          </w:tcPr>
          <w:p w:rsidR="007A1724" w:rsidRPr="00D24664" w:rsidRDefault="007A1724" w:rsidP="00E84E83">
            <w:pPr>
              <w:spacing w:after="0" w:line="240" w:lineRule="auto"/>
              <w:jc w:val="center"/>
              <w:rPr>
                <w:rFonts w:ascii="Arial" w:eastAsia="Times New Roman" w:hAnsi="Arial" w:cs="Arial"/>
                <w:sz w:val="20"/>
                <w:szCs w:val="20"/>
                <w:lang w:eastAsia="en-GB"/>
              </w:rPr>
            </w:pPr>
            <w:r w:rsidRPr="00D24664">
              <w:rPr>
                <w:rFonts w:ascii="Arial" w:eastAsia="Times New Roman" w:hAnsi="Arial" w:cs="Arial"/>
                <w:sz w:val="20"/>
                <w:szCs w:val="20"/>
                <w:lang w:eastAsia="en-GB"/>
              </w:rPr>
              <w:t> </w:t>
            </w:r>
          </w:p>
        </w:tc>
        <w:tc>
          <w:tcPr>
            <w:tcW w:w="1560" w:type="dxa"/>
            <w:tcBorders>
              <w:top w:val="nil"/>
              <w:left w:val="nil"/>
              <w:bottom w:val="nil"/>
              <w:right w:val="nil"/>
            </w:tcBorders>
            <w:shd w:val="clear" w:color="000000" w:fill="E0DCD8"/>
            <w:vAlign w:val="center"/>
            <w:hideMark/>
          </w:tcPr>
          <w:p w:rsidR="007A1724" w:rsidRPr="00D24664" w:rsidRDefault="007A1724" w:rsidP="00E84E83">
            <w:pPr>
              <w:spacing w:after="0" w:line="240" w:lineRule="auto"/>
              <w:jc w:val="center"/>
              <w:rPr>
                <w:rFonts w:ascii="Arial" w:eastAsia="Times New Roman" w:hAnsi="Arial" w:cs="Arial"/>
                <w:b/>
                <w:bCs/>
                <w:color w:val="0078C9"/>
                <w:sz w:val="20"/>
                <w:szCs w:val="20"/>
                <w:lang w:eastAsia="en-GB"/>
              </w:rPr>
            </w:pPr>
            <w:r w:rsidRPr="00D24664">
              <w:rPr>
                <w:rFonts w:ascii="Arial" w:eastAsia="Times New Roman" w:hAnsi="Arial" w:cs="Arial"/>
                <w:b/>
                <w:bCs/>
                <w:color w:val="0078C9"/>
                <w:sz w:val="20"/>
                <w:szCs w:val="20"/>
                <w:lang w:eastAsia="en-GB"/>
              </w:rPr>
              <w:t>Revenue for 2015-16 (£m)</w:t>
            </w:r>
          </w:p>
        </w:tc>
        <w:tc>
          <w:tcPr>
            <w:tcW w:w="1701" w:type="dxa"/>
            <w:tcBorders>
              <w:top w:val="nil"/>
              <w:left w:val="nil"/>
              <w:bottom w:val="nil"/>
              <w:right w:val="nil"/>
            </w:tcBorders>
            <w:shd w:val="clear" w:color="000000" w:fill="E0DCD8"/>
            <w:vAlign w:val="center"/>
            <w:hideMark/>
          </w:tcPr>
          <w:p w:rsidR="007A1724" w:rsidRPr="00D24664" w:rsidRDefault="007A1724" w:rsidP="00E84E83">
            <w:pPr>
              <w:spacing w:after="0" w:line="240" w:lineRule="auto"/>
              <w:jc w:val="center"/>
              <w:rPr>
                <w:rFonts w:ascii="Arial" w:eastAsia="Times New Roman" w:hAnsi="Arial" w:cs="Arial"/>
                <w:b/>
                <w:bCs/>
                <w:color w:val="0078C9"/>
                <w:sz w:val="20"/>
                <w:szCs w:val="20"/>
                <w:lang w:eastAsia="en-GB"/>
              </w:rPr>
            </w:pPr>
            <w:r w:rsidRPr="00D24664">
              <w:rPr>
                <w:rFonts w:ascii="Arial" w:eastAsia="Times New Roman" w:hAnsi="Arial" w:cs="Arial"/>
                <w:b/>
                <w:bCs/>
                <w:color w:val="0078C9"/>
                <w:sz w:val="20"/>
                <w:szCs w:val="20"/>
                <w:lang w:eastAsia="en-GB"/>
              </w:rPr>
              <w:t>Properties, 2015-16 ('000)</w:t>
            </w:r>
          </w:p>
        </w:tc>
        <w:tc>
          <w:tcPr>
            <w:tcW w:w="1842" w:type="dxa"/>
            <w:tcBorders>
              <w:top w:val="single" w:sz="4" w:space="0" w:color="auto"/>
              <w:left w:val="nil"/>
              <w:bottom w:val="nil"/>
              <w:right w:val="single" w:sz="4" w:space="0" w:color="auto"/>
            </w:tcBorders>
            <w:shd w:val="clear" w:color="000000" w:fill="E0DCD8"/>
            <w:vAlign w:val="center"/>
            <w:hideMark/>
          </w:tcPr>
          <w:p w:rsidR="007A1724" w:rsidRPr="00D24664" w:rsidRDefault="007A1724" w:rsidP="00E84E83">
            <w:pPr>
              <w:spacing w:after="0" w:line="240" w:lineRule="auto"/>
              <w:jc w:val="center"/>
              <w:rPr>
                <w:rFonts w:ascii="Arial" w:eastAsia="Times New Roman" w:hAnsi="Arial" w:cs="Arial"/>
                <w:b/>
                <w:bCs/>
                <w:color w:val="0078C9"/>
                <w:sz w:val="20"/>
                <w:szCs w:val="20"/>
                <w:lang w:eastAsia="en-GB"/>
              </w:rPr>
            </w:pPr>
            <w:r w:rsidRPr="00D24664">
              <w:rPr>
                <w:rFonts w:ascii="Arial" w:eastAsia="Times New Roman" w:hAnsi="Arial" w:cs="Arial"/>
                <w:b/>
                <w:bCs/>
                <w:color w:val="0078C9"/>
                <w:sz w:val="20"/>
                <w:szCs w:val="20"/>
                <w:lang w:eastAsia="en-GB"/>
              </w:rPr>
              <w:t>Provisional average bill for 2015-16 (£)</w:t>
            </w:r>
          </w:p>
        </w:tc>
      </w:tr>
      <w:tr w:rsidR="007A1724" w:rsidRPr="00D24664" w:rsidTr="00E84E83">
        <w:trPr>
          <w:trHeight w:val="360"/>
        </w:trPr>
        <w:tc>
          <w:tcPr>
            <w:tcW w:w="628" w:type="dxa"/>
            <w:tcBorders>
              <w:top w:val="nil"/>
              <w:left w:val="single" w:sz="4" w:space="0" w:color="auto"/>
              <w:bottom w:val="nil"/>
              <w:right w:val="nil"/>
            </w:tcBorders>
            <w:shd w:val="clear" w:color="auto" w:fill="auto"/>
            <w:noWrap/>
            <w:vAlign w:val="bottom"/>
            <w:hideMark/>
          </w:tcPr>
          <w:p w:rsidR="007A1724" w:rsidRPr="00D24664" w:rsidRDefault="007A1724" w:rsidP="00E84E83">
            <w:pPr>
              <w:spacing w:after="0" w:line="240" w:lineRule="auto"/>
              <w:rPr>
                <w:rFonts w:ascii="Arial" w:eastAsia="Times New Roman" w:hAnsi="Arial" w:cs="Arial"/>
                <w:sz w:val="20"/>
                <w:szCs w:val="20"/>
                <w:lang w:eastAsia="en-GB"/>
              </w:rPr>
            </w:pPr>
            <w:r w:rsidRPr="00D24664">
              <w:rPr>
                <w:rFonts w:ascii="Arial" w:eastAsia="Times New Roman" w:hAnsi="Arial" w:cs="Arial"/>
                <w:sz w:val="20"/>
                <w:szCs w:val="20"/>
                <w:lang w:eastAsia="en-GB"/>
              </w:rPr>
              <w:t>4</w:t>
            </w:r>
          </w:p>
        </w:tc>
        <w:tc>
          <w:tcPr>
            <w:tcW w:w="3336" w:type="dxa"/>
            <w:tcBorders>
              <w:top w:val="nil"/>
              <w:left w:val="nil"/>
              <w:bottom w:val="nil"/>
              <w:right w:val="nil"/>
            </w:tcBorders>
            <w:shd w:val="clear" w:color="auto" w:fill="auto"/>
            <w:noWrap/>
            <w:vAlign w:val="bottom"/>
            <w:hideMark/>
          </w:tcPr>
          <w:p w:rsidR="007A1724" w:rsidRPr="00D24664" w:rsidRDefault="007A1724" w:rsidP="00E84E83">
            <w:pPr>
              <w:spacing w:after="0" w:line="240" w:lineRule="auto"/>
              <w:rPr>
                <w:rFonts w:ascii="Arial" w:eastAsia="Times New Roman" w:hAnsi="Arial" w:cs="Arial"/>
                <w:sz w:val="20"/>
                <w:szCs w:val="20"/>
                <w:lang w:eastAsia="en-GB"/>
              </w:rPr>
            </w:pPr>
            <w:r w:rsidRPr="00D24664">
              <w:rPr>
                <w:rFonts w:ascii="Arial" w:eastAsia="Times New Roman" w:hAnsi="Arial" w:cs="Arial"/>
                <w:sz w:val="20"/>
                <w:szCs w:val="20"/>
                <w:lang w:eastAsia="en-GB"/>
              </w:rPr>
              <w:t>Unmeasured supplies - household</w:t>
            </w:r>
          </w:p>
        </w:tc>
        <w:tc>
          <w:tcPr>
            <w:tcW w:w="1560" w:type="dxa"/>
            <w:tcBorders>
              <w:top w:val="nil"/>
              <w:left w:val="nil"/>
              <w:bottom w:val="nil"/>
              <w:right w:val="nil"/>
            </w:tcBorders>
            <w:shd w:val="clear" w:color="000000" w:fill="FCEABF"/>
            <w:noWrap/>
            <w:vAlign w:val="bottom"/>
            <w:hideMark/>
          </w:tcPr>
          <w:p w:rsidR="007A1724" w:rsidRPr="00D24664" w:rsidRDefault="007A1724" w:rsidP="00E84E83">
            <w:pPr>
              <w:spacing w:after="0" w:line="240" w:lineRule="auto"/>
              <w:jc w:val="right"/>
              <w:rPr>
                <w:rFonts w:ascii="Arial" w:eastAsia="Times New Roman" w:hAnsi="Arial" w:cs="Arial"/>
                <w:sz w:val="20"/>
                <w:szCs w:val="20"/>
                <w:lang w:eastAsia="en-GB"/>
              </w:rPr>
            </w:pPr>
            <w:r w:rsidRPr="00D24664">
              <w:rPr>
                <w:rFonts w:ascii="Arial" w:eastAsia="Times New Roman" w:hAnsi="Arial" w:cs="Arial"/>
                <w:sz w:val="20"/>
                <w:szCs w:val="20"/>
                <w:lang w:eastAsia="en-GB"/>
              </w:rPr>
              <w:t>20.816</w:t>
            </w:r>
          </w:p>
        </w:tc>
        <w:tc>
          <w:tcPr>
            <w:tcW w:w="1701" w:type="dxa"/>
            <w:tcBorders>
              <w:top w:val="nil"/>
              <w:left w:val="nil"/>
              <w:bottom w:val="nil"/>
              <w:right w:val="nil"/>
            </w:tcBorders>
            <w:shd w:val="clear" w:color="000000" w:fill="FCEABF"/>
            <w:noWrap/>
            <w:vAlign w:val="bottom"/>
            <w:hideMark/>
          </w:tcPr>
          <w:p w:rsidR="007A1724" w:rsidRPr="00D24664" w:rsidRDefault="007A1724" w:rsidP="00E84E83">
            <w:pPr>
              <w:spacing w:after="0" w:line="240" w:lineRule="auto"/>
              <w:jc w:val="right"/>
              <w:rPr>
                <w:rFonts w:ascii="Arial" w:eastAsia="Times New Roman" w:hAnsi="Arial" w:cs="Arial"/>
                <w:sz w:val="20"/>
                <w:szCs w:val="20"/>
                <w:lang w:eastAsia="en-GB"/>
              </w:rPr>
            </w:pPr>
            <w:r w:rsidRPr="00D24664">
              <w:rPr>
                <w:rFonts w:ascii="Arial" w:eastAsia="Times New Roman" w:hAnsi="Arial" w:cs="Arial"/>
                <w:sz w:val="20"/>
                <w:szCs w:val="20"/>
                <w:lang w:eastAsia="en-GB"/>
              </w:rPr>
              <w:t>208.274</w:t>
            </w:r>
          </w:p>
        </w:tc>
        <w:tc>
          <w:tcPr>
            <w:tcW w:w="1842" w:type="dxa"/>
            <w:tcBorders>
              <w:top w:val="nil"/>
              <w:left w:val="nil"/>
              <w:bottom w:val="nil"/>
              <w:right w:val="single" w:sz="4" w:space="0" w:color="auto"/>
            </w:tcBorders>
            <w:shd w:val="clear" w:color="000000" w:fill="BFDDF1"/>
            <w:noWrap/>
            <w:vAlign w:val="bottom"/>
            <w:hideMark/>
          </w:tcPr>
          <w:p w:rsidR="007A1724" w:rsidRPr="00D24664" w:rsidRDefault="007A1724" w:rsidP="00E84E83">
            <w:pPr>
              <w:spacing w:after="0" w:line="240" w:lineRule="auto"/>
              <w:jc w:val="right"/>
              <w:rPr>
                <w:rFonts w:ascii="Arial" w:eastAsia="Times New Roman" w:hAnsi="Arial" w:cs="Arial"/>
                <w:sz w:val="20"/>
                <w:szCs w:val="20"/>
                <w:lang w:eastAsia="en-GB"/>
              </w:rPr>
            </w:pPr>
            <w:r w:rsidRPr="00D24664">
              <w:rPr>
                <w:rFonts w:ascii="Arial" w:eastAsia="Times New Roman" w:hAnsi="Arial" w:cs="Arial"/>
                <w:sz w:val="20"/>
                <w:szCs w:val="20"/>
                <w:lang w:eastAsia="en-GB"/>
              </w:rPr>
              <w:t>£99.95</w:t>
            </w:r>
          </w:p>
        </w:tc>
      </w:tr>
      <w:tr w:rsidR="007A1724" w:rsidRPr="00D24664" w:rsidTr="00E84E83">
        <w:trPr>
          <w:trHeight w:val="360"/>
        </w:trPr>
        <w:tc>
          <w:tcPr>
            <w:tcW w:w="628" w:type="dxa"/>
            <w:tcBorders>
              <w:top w:val="nil"/>
              <w:left w:val="single" w:sz="4" w:space="0" w:color="auto"/>
              <w:bottom w:val="nil"/>
              <w:right w:val="nil"/>
            </w:tcBorders>
            <w:shd w:val="clear" w:color="auto" w:fill="auto"/>
            <w:noWrap/>
            <w:vAlign w:val="bottom"/>
            <w:hideMark/>
          </w:tcPr>
          <w:p w:rsidR="007A1724" w:rsidRPr="00D24664" w:rsidRDefault="007A1724" w:rsidP="00E84E83">
            <w:pPr>
              <w:spacing w:after="0" w:line="240" w:lineRule="auto"/>
              <w:rPr>
                <w:rFonts w:ascii="Arial" w:eastAsia="Times New Roman" w:hAnsi="Arial" w:cs="Arial"/>
                <w:sz w:val="20"/>
                <w:szCs w:val="20"/>
                <w:lang w:eastAsia="en-GB"/>
              </w:rPr>
            </w:pPr>
            <w:r w:rsidRPr="00D24664">
              <w:rPr>
                <w:rFonts w:ascii="Arial" w:eastAsia="Times New Roman" w:hAnsi="Arial" w:cs="Arial"/>
                <w:sz w:val="20"/>
                <w:szCs w:val="20"/>
                <w:lang w:eastAsia="en-GB"/>
              </w:rPr>
              <w:t>5</w:t>
            </w:r>
          </w:p>
        </w:tc>
        <w:tc>
          <w:tcPr>
            <w:tcW w:w="3336" w:type="dxa"/>
            <w:tcBorders>
              <w:top w:val="nil"/>
              <w:left w:val="nil"/>
              <w:bottom w:val="nil"/>
              <w:right w:val="nil"/>
            </w:tcBorders>
            <w:shd w:val="clear" w:color="auto" w:fill="auto"/>
            <w:noWrap/>
            <w:vAlign w:val="bottom"/>
            <w:hideMark/>
          </w:tcPr>
          <w:p w:rsidR="007A1724" w:rsidRPr="00D24664" w:rsidRDefault="007A1724" w:rsidP="00E84E83">
            <w:pPr>
              <w:spacing w:after="0" w:line="240" w:lineRule="auto"/>
              <w:rPr>
                <w:rFonts w:ascii="Arial" w:eastAsia="Times New Roman" w:hAnsi="Arial" w:cs="Arial"/>
                <w:sz w:val="20"/>
                <w:szCs w:val="20"/>
                <w:lang w:eastAsia="en-GB"/>
              </w:rPr>
            </w:pPr>
            <w:r w:rsidRPr="00D24664">
              <w:rPr>
                <w:rFonts w:ascii="Arial" w:eastAsia="Times New Roman" w:hAnsi="Arial" w:cs="Arial"/>
                <w:sz w:val="20"/>
                <w:szCs w:val="20"/>
                <w:lang w:eastAsia="en-GB"/>
              </w:rPr>
              <w:t>Measured supplies - household</w:t>
            </w:r>
          </w:p>
        </w:tc>
        <w:tc>
          <w:tcPr>
            <w:tcW w:w="1560" w:type="dxa"/>
            <w:tcBorders>
              <w:top w:val="nil"/>
              <w:left w:val="nil"/>
              <w:bottom w:val="nil"/>
              <w:right w:val="nil"/>
            </w:tcBorders>
            <w:shd w:val="clear" w:color="000000" w:fill="FCEABF"/>
            <w:noWrap/>
            <w:vAlign w:val="bottom"/>
            <w:hideMark/>
          </w:tcPr>
          <w:p w:rsidR="007A1724" w:rsidRPr="00D24664" w:rsidRDefault="007A1724" w:rsidP="00E84E83">
            <w:pPr>
              <w:spacing w:after="0" w:line="240" w:lineRule="auto"/>
              <w:jc w:val="right"/>
              <w:rPr>
                <w:rFonts w:ascii="Arial" w:eastAsia="Times New Roman" w:hAnsi="Arial" w:cs="Arial"/>
                <w:sz w:val="20"/>
                <w:szCs w:val="20"/>
                <w:lang w:eastAsia="en-GB"/>
              </w:rPr>
            </w:pPr>
            <w:r w:rsidRPr="00D24664">
              <w:rPr>
                <w:rFonts w:ascii="Arial" w:eastAsia="Times New Roman" w:hAnsi="Arial" w:cs="Arial"/>
                <w:sz w:val="20"/>
                <w:szCs w:val="20"/>
                <w:lang w:eastAsia="en-GB"/>
              </w:rPr>
              <w:t>7.157</w:t>
            </w:r>
          </w:p>
        </w:tc>
        <w:tc>
          <w:tcPr>
            <w:tcW w:w="1701" w:type="dxa"/>
            <w:tcBorders>
              <w:top w:val="nil"/>
              <w:left w:val="nil"/>
              <w:bottom w:val="nil"/>
              <w:right w:val="nil"/>
            </w:tcBorders>
            <w:shd w:val="clear" w:color="000000" w:fill="FCEABF"/>
            <w:noWrap/>
            <w:vAlign w:val="bottom"/>
            <w:hideMark/>
          </w:tcPr>
          <w:p w:rsidR="007A1724" w:rsidRPr="00D24664" w:rsidRDefault="007A1724" w:rsidP="00E84E83">
            <w:pPr>
              <w:spacing w:after="0" w:line="240" w:lineRule="auto"/>
              <w:jc w:val="right"/>
              <w:rPr>
                <w:rFonts w:ascii="Arial" w:eastAsia="Times New Roman" w:hAnsi="Arial" w:cs="Arial"/>
                <w:sz w:val="20"/>
                <w:szCs w:val="20"/>
                <w:lang w:eastAsia="en-GB"/>
              </w:rPr>
            </w:pPr>
            <w:r w:rsidRPr="00D24664">
              <w:rPr>
                <w:rFonts w:ascii="Arial" w:eastAsia="Times New Roman" w:hAnsi="Arial" w:cs="Arial"/>
                <w:sz w:val="20"/>
                <w:szCs w:val="20"/>
                <w:lang w:eastAsia="en-GB"/>
              </w:rPr>
              <w:t>78.285</w:t>
            </w:r>
          </w:p>
        </w:tc>
        <w:tc>
          <w:tcPr>
            <w:tcW w:w="1842" w:type="dxa"/>
            <w:tcBorders>
              <w:top w:val="nil"/>
              <w:left w:val="nil"/>
              <w:bottom w:val="nil"/>
              <w:right w:val="single" w:sz="4" w:space="0" w:color="auto"/>
            </w:tcBorders>
            <w:shd w:val="clear" w:color="000000" w:fill="BFDDF1"/>
            <w:noWrap/>
            <w:vAlign w:val="bottom"/>
            <w:hideMark/>
          </w:tcPr>
          <w:p w:rsidR="007A1724" w:rsidRPr="00D24664" w:rsidRDefault="007A1724" w:rsidP="00E84E83">
            <w:pPr>
              <w:spacing w:after="0" w:line="240" w:lineRule="auto"/>
              <w:jc w:val="right"/>
              <w:rPr>
                <w:rFonts w:ascii="Arial" w:eastAsia="Times New Roman" w:hAnsi="Arial" w:cs="Arial"/>
                <w:sz w:val="20"/>
                <w:szCs w:val="20"/>
                <w:lang w:eastAsia="en-GB"/>
              </w:rPr>
            </w:pPr>
            <w:r w:rsidRPr="00D24664">
              <w:rPr>
                <w:rFonts w:ascii="Arial" w:eastAsia="Times New Roman" w:hAnsi="Arial" w:cs="Arial"/>
                <w:sz w:val="20"/>
                <w:szCs w:val="20"/>
                <w:lang w:eastAsia="en-GB"/>
              </w:rPr>
              <w:t>£91.42</w:t>
            </w:r>
          </w:p>
        </w:tc>
      </w:tr>
      <w:tr w:rsidR="007A1724" w:rsidRPr="00D24664" w:rsidTr="00E84E83">
        <w:trPr>
          <w:trHeight w:val="360"/>
        </w:trPr>
        <w:tc>
          <w:tcPr>
            <w:tcW w:w="628" w:type="dxa"/>
            <w:tcBorders>
              <w:top w:val="nil"/>
              <w:left w:val="single" w:sz="4" w:space="0" w:color="auto"/>
              <w:bottom w:val="nil"/>
              <w:right w:val="nil"/>
            </w:tcBorders>
            <w:shd w:val="clear" w:color="auto" w:fill="auto"/>
            <w:noWrap/>
            <w:vAlign w:val="bottom"/>
            <w:hideMark/>
          </w:tcPr>
          <w:p w:rsidR="007A1724" w:rsidRPr="00D24664" w:rsidRDefault="007A1724" w:rsidP="00E84E83">
            <w:pPr>
              <w:spacing w:after="0" w:line="240" w:lineRule="auto"/>
              <w:rPr>
                <w:rFonts w:ascii="Arial" w:eastAsia="Times New Roman" w:hAnsi="Arial" w:cs="Arial"/>
                <w:sz w:val="20"/>
                <w:szCs w:val="20"/>
                <w:lang w:eastAsia="en-GB"/>
              </w:rPr>
            </w:pPr>
            <w:r w:rsidRPr="00D24664">
              <w:rPr>
                <w:rFonts w:ascii="Arial" w:eastAsia="Times New Roman" w:hAnsi="Arial" w:cs="Arial"/>
                <w:sz w:val="20"/>
                <w:szCs w:val="20"/>
                <w:lang w:eastAsia="en-GB"/>
              </w:rPr>
              <w:t>6</w:t>
            </w:r>
          </w:p>
        </w:tc>
        <w:tc>
          <w:tcPr>
            <w:tcW w:w="3336" w:type="dxa"/>
            <w:tcBorders>
              <w:top w:val="nil"/>
              <w:left w:val="nil"/>
              <w:bottom w:val="single" w:sz="4" w:space="0" w:color="auto"/>
              <w:right w:val="nil"/>
            </w:tcBorders>
            <w:shd w:val="clear" w:color="auto" w:fill="auto"/>
            <w:noWrap/>
            <w:vAlign w:val="bottom"/>
            <w:hideMark/>
          </w:tcPr>
          <w:p w:rsidR="007A1724" w:rsidRPr="00D24664" w:rsidRDefault="007A1724" w:rsidP="00E84E83">
            <w:pPr>
              <w:spacing w:after="0" w:line="240" w:lineRule="auto"/>
              <w:rPr>
                <w:rFonts w:ascii="Arial" w:eastAsia="Times New Roman" w:hAnsi="Arial" w:cs="Arial"/>
                <w:sz w:val="20"/>
                <w:szCs w:val="20"/>
                <w:lang w:eastAsia="en-GB"/>
              </w:rPr>
            </w:pPr>
            <w:r w:rsidRPr="00D24664">
              <w:rPr>
                <w:rFonts w:ascii="Arial" w:eastAsia="Times New Roman" w:hAnsi="Arial" w:cs="Arial"/>
                <w:sz w:val="20"/>
                <w:szCs w:val="20"/>
                <w:lang w:eastAsia="en-GB"/>
              </w:rPr>
              <w:t>T</w:t>
            </w:r>
            <w:r>
              <w:rPr>
                <w:rFonts w:ascii="Arial" w:eastAsia="Times New Roman" w:hAnsi="Arial" w:cs="Arial"/>
                <w:sz w:val="20"/>
                <w:szCs w:val="20"/>
                <w:lang w:eastAsia="en-GB"/>
              </w:rPr>
              <w:t>otal</w:t>
            </w:r>
          </w:p>
        </w:tc>
        <w:tc>
          <w:tcPr>
            <w:tcW w:w="1560" w:type="dxa"/>
            <w:tcBorders>
              <w:top w:val="nil"/>
              <w:left w:val="nil"/>
              <w:bottom w:val="single" w:sz="4" w:space="0" w:color="auto"/>
              <w:right w:val="nil"/>
            </w:tcBorders>
            <w:shd w:val="clear" w:color="000000" w:fill="BFDDF1"/>
            <w:noWrap/>
            <w:vAlign w:val="bottom"/>
            <w:hideMark/>
          </w:tcPr>
          <w:p w:rsidR="007A1724" w:rsidRPr="00D24664" w:rsidRDefault="007A1724" w:rsidP="00E84E83">
            <w:pPr>
              <w:spacing w:after="0" w:line="240" w:lineRule="auto"/>
              <w:jc w:val="right"/>
              <w:rPr>
                <w:rFonts w:ascii="Arial" w:eastAsia="Times New Roman" w:hAnsi="Arial" w:cs="Arial"/>
                <w:sz w:val="20"/>
                <w:szCs w:val="20"/>
                <w:lang w:eastAsia="en-GB"/>
              </w:rPr>
            </w:pPr>
            <w:r w:rsidRPr="00D24664">
              <w:rPr>
                <w:rFonts w:ascii="Arial" w:eastAsia="Times New Roman" w:hAnsi="Arial" w:cs="Arial"/>
                <w:sz w:val="20"/>
                <w:szCs w:val="20"/>
                <w:lang w:eastAsia="en-GB"/>
              </w:rPr>
              <w:t>27.973</w:t>
            </w:r>
          </w:p>
        </w:tc>
        <w:tc>
          <w:tcPr>
            <w:tcW w:w="1701" w:type="dxa"/>
            <w:tcBorders>
              <w:top w:val="nil"/>
              <w:left w:val="nil"/>
              <w:bottom w:val="single" w:sz="4" w:space="0" w:color="auto"/>
              <w:right w:val="nil"/>
            </w:tcBorders>
            <w:shd w:val="clear" w:color="000000" w:fill="BFDDF1"/>
            <w:noWrap/>
            <w:vAlign w:val="bottom"/>
            <w:hideMark/>
          </w:tcPr>
          <w:p w:rsidR="007A1724" w:rsidRPr="00D24664" w:rsidRDefault="007A1724" w:rsidP="00E84E83">
            <w:pPr>
              <w:spacing w:after="0" w:line="240" w:lineRule="auto"/>
              <w:jc w:val="right"/>
              <w:rPr>
                <w:rFonts w:ascii="Arial" w:eastAsia="Times New Roman" w:hAnsi="Arial" w:cs="Arial"/>
                <w:sz w:val="20"/>
                <w:szCs w:val="20"/>
                <w:lang w:eastAsia="en-GB"/>
              </w:rPr>
            </w:pPr>
            <w:r w:rsidRPr="00D24664">
              <w:rPr>
                <w:rFonts w:ascii="Arial" w:eastAsia="Times New Roman" w:hAnsi="Arial" w:cs="Arial"/>
                <w:sz w:val="20"/>
                <w:szCs w:val="20"/>
                <w:lang w:eastAsia="en-GB"/>
              </w:rPr>
              <w:t>286.559</w:t>
            </w:r>
          </w:p>
        </w:tc>
        <w:tc>
          <w:tcPr>
            <w:tcW w:w="1842" w:type="dxa"/>
            <w:tcBorders>
              <w:top w:val="nil"/>
              <w:left w:val="nil"/>
              <w:bottom w:val="nil"/>
              <w:right w:val="single" w:sz="4" w:space="0" w:color="auto"/>
            </w:tcBorders>
            <w:shd w:val="clear" w:color="000000" w:fill="BFDDF1"/>
            <w:noWrap/>
            <w:vAlign w:val="bottom"/>
            <w:hideMark/>
          </w:tcPr>
          <w:p w:rsidR="007A1724" w:rsidRPr="00D24664" w:rsidRDefault="007A1724" w:rsidP="00E84E83">
            <w:pPr>
              <w:spacing w:after="0" w:line="240" w:lineRule="auto"/>
              <w:jc w:val="right"/>
              <w:rPr>
                <w:rFonts w:ascii="Arial" w:eastAsia="Times New Roman" w:hAnsi="Arial" w:cs="Arial"/>
                <w:sz w:val="20"/>
                <w:szCs w:val="20"/>
                <w:lang w:eastAsia="en-GB"/>
              </w:rPr>
            </w:pPr>
            <w:r w:rsidRPr="00D24664">
              <w:rPr>
                <w:rFonts w:ascii="Arial" w:eastAsia="Times New Roman" w:hAnsi="Arial" w:cs="Arial"/>
                <w:sz w:val="20"/>
                <w:szCs w:val="20"/>
                <w:lang w:eastAsia="en-GB"/>
              </w:rPr>
              <w:t>£97.62</w:t>
            </w:r>
          </w:p>
        </w:tc>
      </w:tr>
      <w:tr w:rsidR="007A1724" w:rsidRPr="00D24664" w:rsidTr="00E84E83">
        <w:trPr>
          <w:trHeight w:val="990"/>
        </w:trPr>
        <w:tc>
          <w:tcPr>
            <w:tcW w:w="628" w:type="dxa"/>
            <w:tcBorders>
              <w:top w:val="single" w:sz="4" w:space="0" w:color="auto"/>
              <w:left w:val="single" w:sz="4" w:space="0" w:color="auto"/>
              <w:bottom w:val="nil"/>
              <w:right w:val="nil"/>
            </w:tcBorders>
            <w:shd w:val="clear" w:color="000000" w:fill="E0DCD8"/>
            <w:vAlign w:val="center"/>
            <w:hideMark/>
          </w:tcPr>
          <w:p w:rsidR="007A1724" w:rsidRPr="00D24664" w:rsidRDefault="007A1724" w:rsidP="00E84E83">
            <w:pPr>
              <w:spacing w:after="0" w:line="240" w:lineRule="auto"/>
              <w:jc w:val="center"/>
              <w:rPr>
                <w:rFonts w:ascii="Arial" w:eastAsia="Times New Roman" w:hAnsi="Arial" w:cs="Arial"/>
                <w:sz w:val="20"/>
                <w:szCs w:val="20"/>
                <w:lang w:eastAsia="en-GB"/>
              </w:rPr>
            </w:pPr>
            <w:r w:rsidRPr="00D24664">
              <w:rPr>
                <w:rFonts w:ascii="Arial" w:eastAsia="Times New Roman" w:hAnsi="Arial" w:cs="Arial"/>
                <w:sz w:val="20"/>
                <w:szCs w:val="20"/>
                <w:lang w:eastAsia="en-GB"/>
              </w:rPr>
              <w:t> </w:t>
            </w:r>
          </w:p>
        </w:tc>
        <w:tc>
          <w:tcPr>
            <w:tcW w:w="3336" w:type="dxa"/>
            <w:tcBorders>
              <w:top w:val="nil"/>
              <w:left w:val="nil"/>
              <w:bottom w:val="nil"/>
              <w:right w:val="nil"/>
            </w:tcBorders>
            <w:shd w:val="clear" w:color="000000" w:fill="E0DCD8"/>
            <w:vAlign w:val="center"/>
            <w:hideMark/>
          </w:tcPr>
          <w:p w:rsidR="007A1724" w:rsidRPr="00D24664" w:rsidRDefault="007A1724" w:rsidP="00E84E83">
            <w:pPr>
              <w:spacing w:after="0" w:line="240" w:lineRule="auto"/>
              <w:jc w:val="center"/>
              <w:rPr>
                <w:rFonts w:ascii="Arial" w:eastAsia="Times New Roman" w:hAnsi="Arial" w:cs="Arial"/>
                <w:sz w:val="20"/>
                <w:szCs w:val="20"/>
                <w:lang w:eastAsia="en-GB"/>
              </w:rPr>
            </w:pPr>
            <w:r w:rsidRPr="00D24664">
              <w:rPr>
                <w:rFonts w:ascii="Arial" w:eastAsia="Times New Roman" w:hAnsi="Arial" w:cs="Arial"/>
                <w:sz w:val="20"/>
                <w:szCs w:val="20"/>
                <w:lang w:eastAsia="en-GB"/>
              </w:rPr>
              <w:t> </w:t>
            </w:r>
          </w:p>
        </w:tc>
        <w:tc>
          <w:tcPr>
            <w:tcW w:w="1560" w:type="dxa"/>
            <w:tcBorders>
              <w:top w:val="nil"/>
              <w:left w:val="nil"/>
              <w:bottom w:val="nil"/>
              <w:right w:val="nil"/>
            </w:tcBorders>
            <w:shd w:val="clear" w:color="000000" w:fill="E0DCD8"/>
            <w:vAlign w:val="center"/>
            <w:hideMark/>
          </w:tcPr>
          <w:p w:rsidR="007A1724" w:rsidRPr="00D24664" w:rsidRDefault="007A1724" w:rsidP="00E84E83">
            <w:pPr>
              <w:spacing w:after="0" w:line="240" w:lineRule="auto"/>
              <w:jc w:val="center"/>
              <w:rPr>
                <w:rFonts w:ascii="Arial" w:eastAsia="Times New Roman" w:hAnsi="Arial" w:cs="Arial"/>
                <w:b/>
                <w:bCs/>
                <w:color w:val="0078C9"/>
                <w:sz w:val="20"/>
                <w:szCs w:val="20"/>
                <w:lang w:eastAsia="en-GB"/>
              </w:rPr>
            </w:pPr>
            <w:r w:rsidRPr="00D24664">
              <w:rPr>
                <w:rFonts w:ascii="Arial" w:eastAsia="Times New Roman" w:hAnsi="Arial" w:cs="Arial"/>
                <w:b/>
                <w:bCs/>
                <w:color w:val="0078C9"/>
                <w:sz w:val="20"/>
                <w:szCs w:val="20"/>
                <w:lang w:eastAsia="en-GB"/>
              </w:rPr>
              <w:t>Revenue for 2016-17 (£m)</w:t>
            </w:r>
          </w:p>
        </w:tc>
        <w:tc>
          <w:tcPr>
            <w:tcW w:w="1701" w:type="dxa"/>
            <w:tcBorders>
              <w:top w:val="nil"/>
              <w:left w:val="nil"/>
              <w:bottom w:val="nil"/>
              <w:right w:val="nil"/>
            </w:tcBorders>
            <w:shd w:val="clear" w:color="000000" w:fill="E0DCD8"/>
            <w:vAlign w:val="center"/>
            <w:hideMark/>
          </w:tcPr>
          <w:p w:rsidR="007A1724" w:rsidRPr="00D24664" w:rsidRDefault="007A1724" w:rsidP="00E84E83">
            <w:pPr>
              <w:spacing w:after="0" w:line="240" w:lineRule="auto"/>
              <w:jc w:val="center"/>
              <w:rPr>
                <w:rFonts w:ascii="Arial" w:eastAsia="Times New Roman" w:hAnsi="Arial" w:cs="Arial"/>
                <w:b/>
                <w:bCs/>
                <w:color w:val="0078C9"/>
                <w:sz w:val="20"/>
                <w:szCs w:val="20"/>
                <w:lang w:eastAsia="en-GB"/>
              </w:rPr>
            </w:pPr>
            <w:r w:rsidRPr="00D24664">
              <w:rPr>
                <w:rFonts w:ascii="Arial" w:eastAsia="Times New Roman" w:hAnsi="Arial" w:cs="Arial"/>
                <w:b/>
                <w:bCs/>
                <w:color w:val="0078C9"/>
                <w:sz w:val="20"/>
                <w:szCs w:val="20"/>
                <w:lang w:eastAsia="en-GB"/>
              </w:rPr>
              <w:t>Properties, 2016-17 ('000)</w:t>
            </w:r>
          </w:p>
        </w:tc>
        <w:tc>
          <w:tcPr>
            <w:tcW w:w="1842" w:type="dxa"/>
            <w:tcBorders>
              <w:top w:val="single" w:sz="4" w:space="0" w:color="auto"/>
              <w:left w:val="nil"/>
              <w:bottom w:val="nil"/>
              <w:right w:val="single" w:sz="4" w:space="0" w:color="auto"/>
            </w:tcBorders>
            <w:shd w:val="clear" w:color="000000" w:fill="E0DCD8"/>
            <w:vAlign w:val="center"/>
            <w:hideMark/>
          </w:tcPr>
          <w:p w:rsidR="007A1724" w:rsidRPr="00D24664" w:rsidRDefault="007A1724" w:rsidP="00E84E83">
            <w:pPr>
              <w:spacing w:after="0" w:line="240" w:lineRule="auto"/>
              <w:jc w:val="center"/>
              <w:rPr>
                <w:rFonts w:ascii="Arial" w:eastAsia="Times New Roman" w:hAnsi="Arial" w:cs="Arial"/>
                <w:b/>
                <w:bCs/>
                <w:color w:val="0078C9"/>
                <w:sz w:val="20"/>
                <w:szCs w:val="20"/>
                <w:lang w:eastAsia="en-GB"/>
              </w:rPr>
            </w:pPr>
            <w:r w:rsidRPr="00D24664">
              <w:rPr>
                <w:rFonts w:ascii="Arial" w:eastAsia="Times New Roman" w:hAnsi="Arial" w:cs="Arial"/>
                <w:b/>
                <w:bCs/>
                <w:color w:val="0078C9"/>
                <w:sz w:val="20"/>
                <w:szCs w:val="20"/>
                <w:lang w:eastAsia="en-GB"/>
              </w:rPr>
              <w:t>Forecast average bill for 2016-17 (£)</w:t>
            </w:r>
          </w:p>
        </w:tc>
      </w:tr>
      <w:tr w:rsidR="007A1724" w:rsidRPr="00D24664" w:rsidTr="00E84E83">
        <w:trPr>
          <w:trHeight w:val="360"/>
        </w:trPr>
        <w:tc>
          <w:tcPr>
            <w:tcW w:w="628" w:type="dxa"/>
            <w:tcBorders>
              <w:top w:val="nil"/>
              <w:left w:val="single" w:sz="4" w:space="0" w:color="auto"/>
              <w:bottom w:val="nil"/>
              <w:right w:val="nil"/>
            </w:tcBorders>
            <w:shd w:val="clear" w:color="auto" w:fill="auto"/>
            <w:noWrap/>
            <w:vAlign w:val="bottom"/>
            <w:hideMark/>
          </w:tcPr>
          <w:p w:rsidR="007A1724" w:rsidRPr="00D24664" w:rsidRDefault="007A1724" w:rsidP="00E84E83">
            <w:pPr>
              <w:spacing w:after="0" w:line="240" w:lineRule="auto"/>
              <w:rPr>
                <w:rFonts w:ascii="Arial" w:eastAsia="Times New Roman" w:hAnsi="Arial" w:cs="Arial"/>
                <w:sz w:val="20"/>
                <w:szCs w:val="20"/>
                <w:lang w:eastAsia="en-GB"/>
              </w:rPr>
            </w:pPr>
            <w:r w:rsidRPr="00D24664">
              <w:rPr>
                <w:rFonts w:ascii="Arial" w:eastAsia="Times New Roman" w:hAnsi="Arial" w:cs="Arial"/>
                <w:sz w:val="20"/>
                <w:szCs w:val="20"/>
                <w:lang w:eastAsia="en-GB"/>
              </w:rPr>
              <w:t>7</w:t>
            </w:r>
          </w:p>
        </w:tc>
        <w:tc>
          <w:tcPr>
            <w:tcW w:w="3336" w:type="dxa"/>
            <w:tcBorders>
              <w:top w:val="nil"/>
              <w:left w:val="nil"/>
              <w:bottom w:val="nil"/>
              <w:right w:val="nil"/>
            </w:tcBorders>
            <w:shd w:val="clear" w:color="auto" w:fill="auto"/>
            <w:noWrap/>
            <w:vAlign w:val="bottom"/>
            <w:hideMark/>
          </w:tcPr>
          <w:p w:rsidR="007A1724" w:rsidRPr="00D24664" w:rsidRDefault="007A1724" w:rsidP="00E84E83">
            <w:pPr>
              <w:spacing w:after="0" w:line="240" w:lineRule="auto"/>
              <w:rPr>
                <w:rFonts w:ascii="Arial" w:eastAsia="Times New Roman" w:hAnsi="Arial" w:cs="Arial"/>
                <w:sz w:val="20"/>
                <w:szCs w:val="20"/>
                <w:lang w:eastAsia="en-GB"/>
              </w:rPr>
            </w:pPr>
            <w:r w:rsidRPr="00D24664">
              <w:rPr>
                <w:rFonts w:ascii="Arial" w:eastAsia="Times New Roman" w:hAnsi="Arial" w:cs="Arial"/>
                <w:sz w:val="20"/>
                <w:szCs w:val="20"/>
                <w:lang w:eastAsia="en-GB"/>
              </w:rPr>
              <w:t>Unmeasured supplies - household</w:t>
            </w:r>
          </w:p>
        </w:tc>
        <w:tc>
          <w:tcPr>
            <w:tcW w:w="1560" w:type="dxa"/>
            <w:tcBorders>
              <w:top w:val="nil"/>
              <w:left w:val="nil"/>
              <w:bottom w:val="nil"/>
              <w:right w:val="nil"/>
            </w:tcBorders>
            <w:shd w:val="clear" w:color="000000" w:fill="FCEABF"/>
            <w:noWrap/>
            <w:vAlign w:val="bottom"/>
            <w:hideMark/>
          </w:tcPr>
          <w:p w:rsidR="007A1724" w:rsidRPr="00D24664" w:rsidRDefault="007A1724" w:rsidP="00E84E83">
            <w:pPr>
              <w:spacing w:after="0" w:line="240" w:lineRule="auto"/>
              <w:jc w:val="right"/>
              <w:rPr>
                <w:rFonts w:ascii="Arial" w:eastAsia="Times New Roman" w:hAnsi="Arial" w:cs="Arial"/>
                <w:sz w:val="20"/>
                <w:szCs w:val="20"/>
                <w:lang w:eastAsia="en-GB"/>
              </w:rPr>
            </w:pPr>
            <w:r w:rsidRPr="00D24664">
              <w:rPr>
                <w:rFonts w:ascii="Arial" w:eastAsia="Times New Roman" w:hAnsi="Arial" w:cs="Arial"/>
                <w:sz w:val="20"/>
                <w:szCs w:val="20"/>
                <w:lang w:eastAsia="en-GB"/>
              </w:rPr>
              <w:t>20.706</w:t>
            </w:r>
          </w:p>
        </w:tc>
        <w:tc>
          <w:tcPr>
            <w:tcW w:w="1701" w:type="dxa"/>
            <w:tcBorders>
              <w:top w:val="nil"/>
              <w:left w:val="nil"/>
              <w:bottom w:val="nil"/>
              <w:right w:val="nil"/>
            </w:tcBorders>
            <w:shd w:val="clear" w:color="000000" w:fill="FCEABF"/>
            <w:noWrap/>
            <w:vAlign w:val="bottom"/>
            <w:hideMark/>
          </w:tcPr>
          <w:p w:rsidR="007A1724" w:rsidRPr="00D24664" w:rsidRDefault="007A1724" w:rsidP="00E84E83">
            <w:pPr>
              <w:spacing w:after="0" w:line="240" w:lineRule="auto"/>
              <w:jc w:val="right"/>
              <w:rPr>
                <w:rFonts w:ascii="Arial" w:eastAsia="Times New Roman" w:hAnsi="Arial" w:cs="Arial"/>
                <w:sz w:val="20"/>
                <w:szCs w:val="20"/>
                <w:lang w:eastAsia="en-GB"/>
              </w:rPr>
            </w:pPr>
            <w:r w:rsidRPr="00D24664">
              <w:rPr>
                <w:rFonts w:ascii="Arial" w:eastAsia="Times New Roman" w:hAnsi="Arial" w:cs="Arial"/>
                <w:sz w:val="20"/>
                <w:szCs w:val="20"/>
                <w:lang w:eastAsia="en-GB"/>
              </w:rPr>
              <w:t>204.173</w:t>
            </w:r>
          </w:p>
        </w:tc>
        <w:tc>
          <w:tcPr>
            <w:tcW w:w="1842" w:type="dxa"/>
            <w:tcBorders>
              <w:top w:val="nil"/>
              <w:left w:val="nil"/>
              <w:bottom w:val="nil"/>
              <w:right w:val="single" w:sz="4" w:space="0" w:color="auto"/>
            </w:tcBorders>
            <w:shd w:val="clear" w:color="000000" w:fill="BFDDF1"/>
            <w:noWrap/>
            <w:vAlign w:val="bottom"/>
            <w:hideMark/>
          </w:tcPr>
          <w:p w:rsidR="007A1724" w:rsidRPr="00D24664" w:rsidRDefault="007A1724" w:rsidP="00E84E83">
            <w:pPr>
              <w:spacing w:after="0" w:line="240" w:lineRule="auto"/>
              <w:jc w:val="right"/>
              <w:rPr>
                <w:rFonts w:ascii="Arial" w:eastAsia="Times New Roman" w:hAnsi="Arial" w:cs="Arial"/>
                <w:sz w:val="20"/>
                <w:szCs w:val="20"/>
                <w:lang w:eastAsia="en-GB"/>
              </w:rPr>
            </w:pPr>
            <w:r w:rsidRPr="00D24664">
              <w:rPr>
                <w:rFonts w:ascii="Arial" w:eastAsia="Times New Roman" w:hAnsi="Arial" w:cs="Arial"/>
                <w:sz w:val="20"/>
                <w:szCs w:val="20"/>
                <w:lang w:eastAsia="en-GB"/>
              </w:rPr>
              <w:t>£101.41</w:t>
            </w:r>
          </w:p>
        </w:tc>
      </w:tr>
      <w:tr w:rsidR="007A1724" w:rsidRPr="00D24664" w:rsidTr="00E84E83">
        <w:trPr>
          <w:trHeight w:val="360"/>
        </w:trPr>
        <w:tc>
          <w:tcPr>
            <w:tcW w:w="628" w:type="dxa"/>
            <w:tcBorders>
              <w:top w:val="nil"/>
              <w:left w:val="single" w:sz="4" w:space="0" w:color="auto"/>
              <w:bottom w:val="nil"/>
              <w:right w:val="nil"/>
            </w:tcBorders>
            <w:shd w:val="clear" w:color="auto" w:fill="auto"/>
            <w:noWrap/>
            <w:vAlign w:val="bottom"/>
            <w:hideMark/>
          </w:tcPr>
          <w:p w:rsidR="007A1724" w:rsidRPr="00D24664" w:rsidRDefault="007A1724" w:rsidP="00E84E83">
            <w:pPr>
              <w:spacing w:after="0" w:line="240" w:lineRule="auto"/>
              <w:rPr>
                <w:rFonts w:ascii="Arial" w:eastAsia="Times New Roman" w:hAnsi="Arial" w:cs="Arial"/>
                <w:sz w:val="20"/>
                <w:szCs w:val="20"/>
                <w:lang w:eastAsia="en-GB"/>
              </w:rPr>
            </w:pPr>
            <w:r w:rsidRPr="00D24664">
              <w:rPr>
                <w:rFonts w:ascii="Arial" w:eastAsia="Times New Roman" w:hAnsi="Arial" w:cs="Arial"/>
                <w:sz w:val="20"/>
                <w:szCs w:val="20"/>
                <w:lang w:eastAsia="en-GB"/>
              </w:rPr>
              <w:t>8</w:t>
            </w:r>
          </w:p>
        </w:tc>
        <w:tc>
          <w:tcPr>
            <w:tcW w:w="3336" w:type="dxa"/>
            <w:tcBorders>
              <w:top w:val="nil"/>
              <w:left w:val="nil"/>
              <w:bottom w:val="nil"/>
              <w:right w:val="nil"/>
            </w:tcBorders>
            <w:shd w:val="clear" w:color="auto" w:fill="auto"/>
            <w:noWrap/>
            <w:vAlign w:val="bottom"/>
            <w:hideMark/>
          </w:tcPr>
          <w:p w:rsidR="007A1724" w:rsidRPr="00D24664" w:rsidRDefault="007A1724" w:rsidP="00E84E83">
            <w:pPr>
              <w:spacing w:after="0" w:line="240" w:lineRule="auto"/>
              <w:rPr>
                <w:rFonts w:ascii="Arial" w:eastAsia="Times New Roman" w:hAnsi="Arial" w:cs="Arial"/>
                <w:sz w:val="20"/>
                <w:szCs w:val="20"/>
                <w:lang w:eastAsia="en-GB"/>
              </w:rPr>
            </w:pPr>
            <w:r w:rsidRPr="00D24664">
              <w:rPr>
                <w:rFonts w:ascii="Arial" w:eastAsia="Times New Roman" w:hAnsi="Arial" w:cs="Arial"/>
                <w:sz w:val="20"/>
                <w:szCs w:val="20"/>
                <w:lang w:eastAsia="en-GB"/>
              </w:rPr>
              <w:t>Measured supplies - household</w:t>
            </w:r>
          </w:p>
        </w:tc>
        <w:tc>
          <w:tcPr>
            <w:tcW w:w="1560" w:type="dxa"/>
            <w:tcBorders>
              <w:top w:val="nil"/>
              <w:left w:val="nil"/>
              <w:bottom w:val="nil"/>
              <w:right w:val="nil"/>
            </w:tcBorders>
            <w:shd w:val="clear" w:color="000000" w:fill="FCEABF"/>
            <w:noWrap/>
            <w:vAlign w:val="bottom"/>
            <w:hideMark/>
          </w:tcPr>
          <w:p w:rsidR="007A1724" w:rsidRPr="00D24664" w:rsidRDefault="007A1724" w:rsidP="00E84E83">
            <w:pPr>
              <w:spacing w:after="0" w:line="240" w:lineRule="auto"/>
              <w:jc w:val="right"/>
              <w:rPr>
                <w:rFonts w:ascii="Arial" w:eastAsia="Times New Roman" w:hAnsi="Arial" w:cs="Arial"/>
                <w:sz w:val="20"/>
                <w:szCs w:val="20"/>
                <w:lang w:eastAsia="en-GB"/>
              </w:rPr>
            </w:pPr>
            <w:r w:rsidRPr="00D24664">
              <w:rPr>
                <w:rFonts w:ascii="Arial" w:eastAsia="Times New Roman" w:hAnsi="Arial" w:cs="Arial"/>
                <w:sz w:val="20"/>
                <w:szCs w:val="20"/>
                <w:lang w:eastAsia="en-GB"/>
              </w:rPr>
              <w:t>7.912</w:t>
            </w:r>
          </w:p>
        </w:tc>
        <w:tc>
          <w:tcPr>
            <w:tcW w:w="1701" w:type="dxa"/>
            <w:tcBorders>
              <w:top w:val="nil"/>
              <w:left w:val="nil"/>
              <w:bottom w:val="nil"/>
              <w:right w:val="nil"/>
            </w:tcBorders>
            <w:shd w:val="clear" w:color="000000" w:fill="FCEABF"/>
            <w:noWrap/>
            <w:vAlign w:val="bottom"/>
            <w:hideMark/>
          </w:tcPr>
          <w:p w:rsidR="007A1724" w:rsidRPr="00D24664" w:rsidRDefault="007A1724" w:rsidP="00E84E83">
            <w:pPr>
              <w:spacing w:after="0" w:line="240" w:lineRule="auto"/>
              <w:jc w:val="right"/>
              <w:rPr>
                <w:rFonts w:ascii="Arial" w:eastAsia="Times New Roman" w:hAnsi="Arial" w:cs="Arial"/>
                <w:sz w:val="20"/>
                <w:szCs w:val="20"/>
                <w:lang w:eastAsia="en-GB"/>
              </w:rPr>
            </w:pPr>
            <w:r w:rsidRPr="00D24664">
              <w:rPr>
                <w:rFonts w:ascii="Arial" w:eastAsia="Times New Roman" w:hAnsi="Arial" w:cs="Arial"/>
                <w:sz w:val="20"/>
                <w:szCs w:val="20"/>
                <w:lang w:eastAsia="en-GB"/>
              </w:rPr>
              <w:t>86.760</w:t>
            </w:r>
          </w:p>
        </w:tc>
        <w:tc>
          <w:tcPr>
            <w:tcW w:w="1842" w:type="dxa"/>
            <w:tcBorders>
              <w:top w:val="nil"/>
              <w:left w:val="nil"/>
              <w:bottom w:val="nil"/>
              <w:right w:val="single" w:sz="4" w:space="0" w:color="auto"/>
            </w:tcBorders>
            <w:shd w:val="clear" w:color="000000" w:fill="BFDDF1"/>
            <w:noWrap/>
            <w:vAlign w:val="bottom"/>
            <w:hideMark/>
          </w:tcPr>
          <w:p w:rsidR="007A1724" w:rsidRPr="00D24664" w:rsidRDefault="007A1724" w:rsidP="00E84E83">
            <w:pPr>
              <w:spacing w:after="0" w:line="240" w:lineRule="auto"/>
              <w:jc w:val="right"/>
              <w:rPr>
                <w:rFonts w:ascii="Arial" w:eastAsia="Times New Roman" w:hAnsi="Arial" w:cs="Arial"/>
                <w:sz w:val="20"/>
                <w:szCs w:val="20"/>
                <w:lang w:eastAsia="en-GB"/>
              </w:rPr>
            </w:pPr>
            <w:r w:rsidRPr="00D24664">
              <w:rPr>
                <w:rFonts w:ascii="Arial" w:eastAsia="Times New Roman" w:hAnsi="Arial" w:cs="Arial"/>
                <w:sz w:val="20"/>
                <w:szCs w:val="20"/>
                <w:lang w:eastAsia="en-GB"/>
              </w:rPr>
              <w:t>£91.19</w:t>
            </w:r>
          </w:p>
        </w:tc>
      </w:tr>
      <w:tr w:rsidR="007A1724" w:rsidRPr="00D24664" w:rsidTr="00E84E83">
        <w:trPr>
          <w:trHeight w:val="360"/>
        </w:trPr>
        <w:tc>
          <w:tcPr>
            <w:tcW w:w="628" w:type="dxa"/>
            <w:tcBorders>
              <w:top w:val="nil"/>
              <w:left w:val="single" w:sz="4" w:space="0" w:color="auto"/>
              <w:bottom w:val="single" w:sz="4" w:space="0" w:color="auto"/>
              <w:right w:val="nil"/>
            </w:tcBorders>
            <w:shd w:val="clear" w:color="auto" w:fill="auto"/>
            <w:noWrap/>
            <w:vAlign w:val="bottom"/>
            <w:hideMark/>
          </w:tcPr>
          <w:p w:rsidR="007A1724" w:rsidRPr="00D24664" w:rsidRDefault="007A1724" w:rsidP="00E84E83">
            <w:pPr>
              <w:spacing w:after="0" w:line="240" w:lineRule="auto"/>
              <w:rPr>
                <w:rFonts w:ascii="Arial" w:eastAsia="Times New Roman" w:hAnsi="Arial" w:cs="Arial"/>
                <w:sz w:val="20"/>
                <w:szCs w:val="20"/>
                <w:lang w:eastAsia="en-GB"/>
              </w:rPr>
            </w:pPr>
            <w:r w:rsidRPr="00D24664">
              <w:rPr>
                <w:rFonts w:ascii="Arial" w:eastAsia="Times New Roman" w:hAnsi="Arial" w:cs="Arial"/>
                <w:sz w:val="20"/>
                <w:szCs w:val="20"/>
                <w:lang w:eastAsia="en-GB"/>
              </w:rPr>
              <w:t>9</w:t>
            </w:r>
          </w:p>
        </w:tc>
        <w:tc>
          <w:tcPr>
            <w:tcW w:w="3336" w:type="dxa"/>
            <w:tcBorders>
              <w:top w:val="nil"/>
              <w:left w:val="nil"/>
              <w:bottom w:val="single" w:sz="4" w:space="0" w:color="auto"/>
              <w:right w:val="nil"/>
            </w:tcBorders>
            <w:shd w:val="clear" w:color="auto" w:fill="auto"/>
            <w:noWrap/>
            <w:vAlign w:val="bottom"/>
            <w:hideMark/>
          </w:tcPr>
          <w:p w:rsidR="007A1724" w:rsidRPr="00D24664" w:rsidRDefault="007A1724" w:rsidP="00E84E83">
            <w:pPr>
              <w:spacing w:after="0" w:line="240" w:lineRule="auto"/>
              <w:rPr>
                <w:rFonts w:ascii="Arial" w:eastAsia="Times New Roman" w:hAnsi="Arial" w:cs="Arial"/>
                <w:sz w:val="20"/>
                <w:szCs w:val="20"/>
                <w:lang w:eastAsia="en-GB"/>
              </w:rPr>
            </w:pPr>
            <w:r w:rsidRPr="00D24664">
              <w:rPr>
                <w:rFonts w:ascii="Arial" w:eastAsia="Times New Roman" w:hAnsi="Arial" w:cs="Arial"/>
                <w:sz w:val="20"/>
                <w:szCs w:val="20"/>
                <w:lang w:eastAsia="en-GB"/>
              </w:rPr>
              <w:t>T</w:t>
            </w:r>
            <w:r>
              <w:rPr>
                <w:rFonts w:ascii="Arial" w:eastAsia="Times New Roman" w:hAnsi="Arial" w:cs="Arial"/>
                <w:sz w:val="20"/>
                <w:szCs w:val="20"/>
                <w:lang w:eastAsia="en-GB"/>
              </w:rPr>
              <w:t>otal</w:t>
            </w:r>
          </w:p>
        </w:tc>
        <w:tc>
          <w:tcPr>
            <w:tcW w:w="1560" w:type="dxa"/>
            <w:tcBorders>
              <w:top w:val="nil"/>
              <w:left w:val="nil"/>
              <w:bottom w:val="single" w:sz="4" w:space="0" w:color="auto"/>
              <w:right w:val="nil"/>
            </w:tcBorders>
            <w:shd w:val="clear" w:color="000000" w:fill="BFDDF1"/>
            <w:noWrap/>
            <w:vAlign w:val="bottom"/>
            <w:hideMark/>
          </w:tcPr>
          <w:p w:rsidR="007A1724" w:rsidRPr="00D24664" w:rsidRDefault="007A1724" w:rsidP="00E84E83">
            <w:pPr>
              <w:spacing w:after="0" w:line="240" w:lineRule="auto"/>
              <w:jc w:val="right"/>
              <w:rPr>
                <w:rFonts w:ascii="Arial" w:eastAsia="Times New Roman" w:hAnsi="Arial" w:cs="Arial"/>
                <w:sz w:val="20"/>
                <w:szCs w:val="20"/>
                <w:lang w:eastAsia="en-GB"/>
              </w:rPr>
            </w:pPr>
            <w:r w:rsidRPr="00D24664">
              <w:rPr>
                <w:rFonts w:ascii="Arial" w:eastAsia="Times New Roman" w:hAnsi="Arial" w:cs="Arial"/>
                <w:sz w:val="20"/>
                <w:szCs w:val="20"/>
                <w:lang w:eastAsia="en-GB"/>
              </w:rPr>
              <w:t>28.618</w:t>
            </w:r>
          </w:p>
        </w:tc>
        <w:tc>
          <w:tcPr>
            <w:tcW w:w="1701" w:type="dxa"/>
            <w:tcBorders>
              <w:top w:val="nil"/>
              <w:left w:val="nil"/>
              <w:bottom w:val="single" w:sz="4" w:space="0" w:color="auto"/>
              <w:right w:val="nil"/>
            </w:tcBorders>
            <w:shd w:val="clear" w:color="000000" w:fill="BFDDF1"/>
            <w:noWrap/>
            <w:vAlign w:val="bottom"/>
            <w:hideMark/>
          </w:tcPr>
          <w:p w:rsidR="007A1724" w:rsidRPr="00D24664" w:rsidRDefault="007A1724" w:rsidP="00E84E83">
            <w:pPr>
              <w:spacing w:after="0" w:line="240" w:lineRule="auto"/>
              <w:jc w:val="right"/>
              <w:rPr>
                <w:rFonts w:ascii="Arial" w:eastAsia="Times New Roman" w:hAnsi="Arial" w:cs="Arial"/>
                <w:sz w:val="20"/>
                <w:szCs w:val="20"/>
                <w:lang w:eastAsia="en-GB"/>
              </w:rPr>
            </w:pPr>
            <w:r w:rsidRPr="00D24664">
              <w:rPr>
                <w:rFonts w:ascii="Arial" w:eastAsia="Times New Roman" w:hAnsi="Arial" w:cs="Arial"/>
                <w:sz w:val="20"/>
                <w:szCs w:val="20"/>
                <w:lang w:eastAsia="en-GB"/>
              </w:rPr>
              <w:t>290.933</w:t>
            </w:r>
          </w:p>
        </w:tc>
        <w:tc>
          <w:tcPr>
            <w:tcW w:w="1842" w:type="dxa"/>
            <w:tcBorders>
              <w:top w:val="nil"/>
              <w:left w:val="nil"/>
              <w:bottom w:val="single" w:sz="4" w:space="0" w:color="auto"/>
              <w:right w:val="single" w:sz="4" w:space="0" w:color="auto"/>
            </w:tcBorders>
            <w:shd w:val="clear" w:color="000000" w:fill="BFDDF1"/>
            <w:noWrap/>
            <w:vAlign w:val="bottom"/>
            <w:hideMark/>
          </w:tcPr>
          <w:p w:rsidR="007A1724" w:rsidRPr="00D24664" w:rsidRDefault="007A1724" w:rsidP="00E84E83">
            <w:pPr>
              <w:spacing w:after="0" w:line="240" w:lineRule="auto"/>
              <w:jc w:val="right"/>
              <w:rPr>
                <w:rFonts w:ascii="Arial" w:eastAsia="Times New Roman" w:hAnsi="Arial" w:cs="Arial"/>
                <w:sz w:val="20"/>
                <w:szCs w:val="20"/>
                <w:lang w:eastAsia="en-GB"/>
              </w:rPr>
            </w:pPr>
            <w:r w:rsidRPr="00D24664">
              <w:rPr>
                <w:rFonts w:ascii="Arial" w:eastAsia="Times New Roman" w:hAnsi="Arial" w:cs="Arial"/>
                <w:sz w:val="20"/>
                <w:szCs w:val="20"/>
                <w:lang w:eastAsia="en-GB"/>
              </w:rPr>
              <w:t>£98.37</w:t>
            </w:r>
          </w:p>
        </w:tc>
      </w:tr>
    </w:tbl>
    <w:p w:rsidR="007A1724" w:rsidRPr="00D24664" w:rsidRDefault="007A1724" w:rsidP="007A1724">
      <w:pPr>
        <w:spacing w:after="0"/>
        <w:jc w:val="both"/>
        <w:rPr>
          <w:rFonts w:ascii="Arial" w:hAnsi="Arial" w:cs="Arial"/>
          <w:b/>
          <w:sz w:val="20"/>
          <w:szCs w:val="20"/>
        </w:rPr>
      </w:pPr>
    </w:p>
    <w:p w:rsidR="007A1724" w:rsidRPr="00D24664" w:rsidRDefault="007A1724" w:rsidP="007A1724">
      <w:pPr>
        <w:spacing w:after="0"/>
        <w:jc w:val="both"/>
        <w:rPr>
          <w:rFonts w:ascii="Arial" w:hAnsi="Arial" w:cs="Arial"/>
          <w:b/>
          <w:sz w:val="20"/>
          <w:szCs w:val="20"/>
        </w:rPr>
      </w:pPr>
    </w:p>
    <w:p w:rsidR="007A1724" w:rsidRDefault="007A1724" w:rsidP="007A1724">
      <w:pPr>
        <w:spacing w:after="0"/>
        <w:jc w:val="both"/>
        <w:rPr>
          <w:rFonts w:ascii="Arial" w:hAnsi="Arial" w:cs="Arial"/>
          <w:b/>
        </w:rPr>
      </w:pPr>
    </w:p>
    <w:p w:rsidR="007A1724" w:rsidRDefault="007A1724" w:rsidP="007A1724">
      <w:pPr>
        <w:spacing w:after="0"/>
        <w:jc w:val="both"/>
        <w:rPr>
          <w:rFonts w:ascii="Arial" w:hAnsi="Arial" w:cs="Arial"/>
          <w:b/>
        </w:rPr>
      </w:pPr>
    </w:p>
    <w:p w:rsidR="007A1724" w:rsidRDefault="007A1724" w:rsidP="007A1724">
      <w:pPr>
        <w:rPr>
          <w:rFonts w:ascii="Arial" w:hAnsi="Arial" w:cs="Arial"/>
          <w:b/>
        </w:rPr>
      </w:pPr>
    </w:p>
    <w:p w:rsidR="00853CE9" w:rsidRDefault="00853CE9"/>
    <w:sectPr w:rsidR="00853C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EC3883"/>
    <w:multiLevelType w:val="hybridMultilevel"/>
    <w:tmpl w:val="5F9A31E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A0045E4"/>
    <w:multiLevelType w:val="multilevel"/>
    <w:tmpl w:val="08090025"/>
    <w:lvl w:ilvl="0">
      <w:start w:val="1"/>
      <w:numFmt w:val="decimal"/>
      <w:pStyle w:val="Heading1"/>
      <w:lvlText w:val="%1"/>
      <w:lvlJc w:val="left"/>
      <w:pPr>
        <w:ind w:left="1849" w:hanging="432"/>
      </w:pPr>
    </w:lvl>
    <w:lvl w:ilvl="1">
      <w:start w:val="1"/>
      <w:numFmt w:val="decimal"/>
      <w:pStyle w:val="Heading2"/>
      <w:lvlText w:val="%1.%2"/>
      <w:lvlJc w:val="left"/>
      <w:pPr>
        <w:ind w:left="1002"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7C2C77D5"/>
    <w:multiLevelType w:val="hybridMultilevel"/>
    <w:tmpl w:val="D9C03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724"/>
    <w:rsid w:val="00037E9D"/>
    <w:rsid w:val="00042DB3"/>
    <w:rsid w:val="000502AF"/>
    <w:rsid w:val="00052FF7"/>
    <w:rsid w:val="001F7083"/>
    <w:rsid w:val="00241C9A"/>
    <w:rsid w:val="002D34EC"/>
    <w:rsid w:val="002E79D7"/>
    <w:rsid w:val="00352081"/>
    <w:rsid w:val="005B62A6"/>
    <w:rsid w:val="005F5D91"/>
    <w:rsid w:val="006713E2"/>
    <w:rsid w:val="006D60B4"/>
    <w:rsid w:val="007A1724"/>
    <w:rsid w:val="00853CE9"/>
    <w:rsid w:val="009708FB"/>
    <w:rsid w:val="00A8059C"/>
    <w:rsid w:val="00B16FF2"/>
    <w:rsid w:val="00C67DDA"/>
    <w:rsid w:val="00D617EA"/>
    <w:rsid w:val="00DE6BD9"/>
    <w:rsid w:val="00E84E83"/>
    <w:rsid w:val="00FA6582"/>
    <w:rsid w:val="00FC19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5:chartTrackingRefBased/>
  <w15:docId w15:val="{383347A1-FE1B-428B-9AF0-8F4590E54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1724"/>
  </w:style>
  <w:style w:type="paragraph" w:styleId="Heading1">
    <w:name w:val="heading 1"/>
    <w:basedOn w:val="Normal"/>
    <w:next w:val="Normal"/>
    <w:link w:val="Heading1Char"/>
    <w:uiPriority w:val="9"/>
    <w:qFormat/>
    <w:rsid w:val="007A1724"/>
    <w:pPr>
      <w:keepNext/>
      <w:keepLines/>
      <w:numPr>
        <w:numId w:val="1"/>
      </w:numPr>
      <w:spacing w:before="240" w:after="0"/>
      <w:outlineLvl w:val="0"/>
    </w:pPr>
    <w:rPr>
      <w:rFonts w:ascii="Arial" w:eastAsiaTheme="majorEastAsia" w:hAnsi="Arial" w:cstheme="majorBidi"/>
      <w:b/>
      <w:szCs w:val="32"/>
    </w:rPr>
  </w:style>
  <w:style w:type="paragraph" w:styleId="Heading2">
    <w:name w:val="heading 2"/>
    <w:basedOn w:val="Normal"/>
    <w:next w:val="Normal"/>
    <w:link w:val="Heading2Char"/>
    <w:uiPriority w:val="9"/>
    <w:unhideWhenUsed/>
    <w:qFormat/>
    <w:rsid w:val="007A1724"/>
    <w:pPr>
      <w:keepNext/>
      <w:keepLines/>
      <w:numPr>
        <w:ilvl w:val="1"/>
        <w:numId w:val="1"/>
      </w:numPr>
      <w:spacing w:before="40" w:after="0"/>
      <w:ind w:left="576"/>
      <w:outlineLvl w:val="1"/>
    </w:pPr>
    <w:rPr>
      <w:rFonts w:ascii="Arial" w:eastAsiaTheme="majorEastAsia" w:hAnsi="Arial" w:cstheme="majorBidi"/>
      <w:sz w:val="20"/>
      <w:szCs w:val="26"/>
    </w:rPr>
  </w:style>
  <w:style w:type="paragraph" w:styleId="Heading3">
    <w:name w:val="heading 3"/>
    <w:basedOn w:val="Normal"/>
    <w:next w:val="Normal"/>
    <w:link w:val="Heading3Char"/>
    <w:uiPriority w:val="9"/>
    <w:semiHidden/>
    <w:unhideWhenUsed/>
    <w:qFormat/>
    <w:rsid w:val="007A1724"/>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7A1724"/>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7A1724"/>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7A1724"/>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7A1724"/>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7A1724"/>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A1724"/>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1724"/>
    <w:rPr>
      <w:rFonts w:ascii="Arial" w:eastAsiaTheme="majorEastAsia" w:hAnsi="Arial" w:cstheme="majorBidi"/>
      <w:b/>
      <w:szCs w:val="32"/>
    </w:rPr>
  </w:style>
  <w:style w:type="character" w:customStyle="1" w:styleId="Heading2Char">
    <w:name w:val="Heading 2 Char"/>
    <w:basedOn w:val="DefaultParagraphFont"/>
    <w:link w:val="Heading2"/>
    <w:uiPriority w:val="9"/>
    <w:rsid w:val="007A1724"/>
    <w:rPr>
      <w:rFonts w:ascii="Arial" w:eastAsiaTheme="majorEastAsia" w:hAnsi="Arial" w:cstheme="majorBidi"/>
      <w:sz w:val="20"/>
      <w:szCs w:val="26"/>
    </w:rPr>
  </w:style>
  <w:style w:type="character" w:customStyle="1" w:styleId="Heading3Char">
    <w:name w:val="Heading 3 Char"/>
    <w:basedOn w:val="DefaultParagraphFont"/>
    <w:link w:val="Heading3"/>
    <w:uiPriority w:val="9"/>
    <w:semiHidden/>
    <w:rsid w:val="007A1724"/>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7A1724"/>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7A1724"/>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7A1724"/>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7A1724"/>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7A172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A1724"/>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7A1724"/>
    <w:pPr>
      <w:ind w:left="720"/>
      <w:contextualSpacing/>
    </w:pPr>
  </w:style>
  <w:style w:type="table" w:styleId="TableGrid">
    <w:name w:val="Table Grid"/>
    <w:basedOn w:val="TableNormal"/>
    <w:uiPriority w:val="39"/>
    <w:rsid w:val="007A17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A1724"/>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B16F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6FF2"/>
    <w:rPr>
      <w:rFonts w:ascii="Segoe UI" w:hAnsi="Segoe UI" w:cs="Segoe UI"/>
      <w:sz w:val="18"/>
      <w:szCs w:val="18"/>
    </w:rPr>
  </w:style>
  <w:style w:type="character" w:styleId="Hyperlink">
    <w:name w:val="Hyperlink"/>
    <w:basedOn w:val="DefaultParagraphFont"/>
    <w:uiPriority w:val="99"/>
    <w:unhideWhenUsed/>
    <w:rsid w:val="00FA658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tiff"/><Relationship Id="rId3" Type="http://schemas.openxmlformats.org/officeDocument/2006/relationships/settings" Target="settings.xml"/><Relationship Id="rId7" Type="http://schemas.openxmlformats.org/officeDocument/2006/relationships/image" Target="media/image2.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ortsmouthwater.co.uk"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31F45D30</Template>
  <TotalTime>6</TotalTime>
  <Pages>1</Pages>
  <Words>1038</Words>
  <Characters>5922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Morley, Steve</dc:creator>
  <cp:keywords/>
  <dc:description/>
  <cp:lastModifiedBy>Morley, Steve</cp:lastModifiedBy>
  <cp:revision>6</cp:revision>
  <dcterms:created xsi:type="dcterms:W3CDTF">2016-01-07T16:58:00Z</dcterms:created>
  <dcterms:modified xsi:type="dcterms:W3CDTF">2016-01-08T09:54:00Z</dcterms:modified>
</cp:coreProperties>
</file>