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tiff" ContentType="image/tiff"/>
  <Default Extension="tif" ContentType="image/tiff"/>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3BD2" w:rsidRDefault="00313BD2">
      <w:pPr>
        <w:tabs>
          <w:tab w:val="clear" w:pos="851"/>
        </w:tabs>
        <w:spacing w:after="160" w:line="259" w:lineRule="auto"/>
        <w:ind w:left="0"/>
        <w:jc w:val="left"/>
        <w:rPr>
          <w:rFonts w:cs="Arial"/>
          <w:b/>
          <w:sz w:val="22"/>
          <w:szCs w:val="22"/>
        </w:rPr>
      </w:pPr>
      <w:bookmarkStart w:id="0" w:name="_Toc522200050"/>
      <w:bookmarkStart w:id="1" w:name="_Toc522200147"/>
      <w:bookmarkStart w:id="2" w:name="_Toc523296226"/>
      <w:r>
        <w:rPr>
          <w:rFonts w:cs="Arial"/>
          <w:b/>
          <w:noProof/>
          <w:sz w:val="22"/>
          <w:szCs w:val="22"/>
        </w:rPr>
        <w:drawing>
          <wp:inline distT="0" distB="0" distL="0" distR="0">
            <wp:extent cx="6299835" cy="8907780"/>
            <wp:effectExtent l="0" t="0" r="5715" b="762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BUSINESS PLAN BOARD ASSURANCE COVER.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6299835" cy="8907780"/>
                    </a:xfrm>
                    <a:prstGeom prst="rect">
                      <a:avLst/>
                    </a:prstGeom>
                  </pic:spPr>
                </pic:pic>
              </a:graphicData>
            </a:graphic>
          </wp:inline>
        </w:drawing>
      </w:r>
    </w:p>
    <w:p w:rsidR="008D120A" w:rsidRDefault="008D120A" w:rsidP="00FA0B3D">
      <w:pPr>
        <w:jc w:val="left"/>
        <w:rPr>
          <w:rFonts w:cs="Arial"/>
          <w:b/>
          <w:color w:val="2E74B5" w:themeColor="accent1" w:themeShade="BF"/>
          <w:sz w:val="22"/>
          <w:szCs w:val="22"/>
        </w:rPr>
        <w:sectPr w:rsidR="008D120A" w:rsidSect="00360D5C">
          <w:footerReference w:type="default" r:id="rId8"/>
          <w:pgSz w:w="11906" w:h="16838"/>
          <w:pgMar w:top="1134" w:right="1134" w:bottom="1134" w:left="851" w:header="709" w:footer="709" w:gutter="0"/>
          <w:cols w:space="708"/>
          <w:docGrid w:linePitch="360"/>
        </w:sectPr>
      </w:pPr>
    </w:p>
    <w:p w:rsidR="00360D5C" w:rsidRPr="00F318A8" w:rsidRDefault="00360D5C" w:rsidP="00FA0B3D">
      <w:pPr>
        <w:jc w:val="left"/>
        <w:rPr>
          <w:rFonts w:cs="Arial"/>
          <w:b/>
          <w:color w:val="2E74B5" w:themeColor="accent1" w:themeShade="BF"/>
          <w:sz w:val="22"/>
          <w:szCs w:val="22"/>
        </w:rPr>
      </w:pPr>
      <w:r w:rsidRPr="00F318A8">
        <w:rPr>
          <w:rFonts w:cs="Arial"/>
          <w:b/>
          <w:noProof/>
          <w:color w:val="5B9BD5" w:themeColor="accent1"/>
          <w:sz w:val="22"/>
          <w:szCs w:val="22"/>
        </w:rPr>
        <w:drawing>
          <wp:anchor distT="0" distB="0" distL="114300" distR="114300" simplePos="0" relativeHeight="251658240" behindDoc="0" locked="0" layoutInCell="1" allowOverlap="1">
            <wp:simplePos x="0" y="0"/>
            <wp:positionH relativeFrom="column">
              <wp:posOffset>4492473</wp:posOffset>
            </wp:positionH>
            <wp:positionV relativeFrom="paragraph">
              <wp:posOffset>610</wp:posOffset>
            </wp:positionV>
            <wp:extent cx="1989734" cy="1077059"/>
            <wp:effectExtent l="0" t="0" r="0" b="889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WLOGO2013.tif"/>
                    <pic:cNvPicPr/>
                  </pic:nvPicPr>
                  <pic:blipFill>
                    <a:blip r:embed="rId9" cstate="print">
                      <a:extLst>
                        <a:ext uri="{28A0092B-C50C-407E-A947-70E740481C1C}">
                          <a14:useLocalDpi xmlns:a14="http://schemas.microsoft.com/office/drawing/2010/main" val="0"/>
                        </a:ext>
                      </a:extLst>
                    </a:blip>
                    <a:stretch>
                      <a:fillRect/>
                    </a:stretch>
                  </pic:blipFill>
                  <pic:spPr>
                    <a:xfrm>
                      <a:off x="0" y="0"/>
                      <a:ext cx="1989734" cy="1077059"/>
                    </a:xfrm>
                    <a:prstGeom prst="rect">
                      <a:avLst/>
                    </a:prstGeom>
                  </pic:spPr>
                </pic:pic>
              </a:graphicData>
            </a:graphic>
          </wp:anchor>
        </w:drawing>
      </w:r>
      <w:r w:rsidRPr="00F318A8">
        <w:rPr>
          <w:rFonts w:cs="Arial"/>
          <w:b/>
          <w:color w:val="2E74B5" w:themeColor="accent1" w:themeShade="BF"/>
          <w:sz w:val="22"/>
          <w:szCs w:val="22"/>
        </w:rPr>
        <w:t>PORTSMOUTH WATER</w:t>
      </w:r>
    </w:p>
    <w:p w:rsidR="00360D5C" w:rsidRPr="00F318A8" w:rsidRDefault="00360D5C" w:rsidP="00360D5C">
      <w:pPr>
        <w:rPr>
          <w:rFonts w:cs="Arial"/>
          <w:b/>
          <w:color w:val="2E74B5" w:themeColor="accent1" w:themeShade="BF"/>
          <w:sz w:val="22"/>
          <w:szCs w:val="22"/>
        </w:rPr>
      </w:pPr>
      <w:r w:rsidRPr="00F318A8">
        <w:rPr>
          <w:rFonts w:cs="Arial"/>
          <w:b/>
          <w:color w:val="2E74B5" w:themeColor="accent1" w:themeShade="BF"/>
          <w:sz w:val="22"/>
          <w:szCs w:val="22"/>
        </w:rPr>
        <w:t>Board Assurance Statement</w:t>
      </w:r>
      <w:bookmarkEnd w:id="0"/>
      <w:bookmarkEnd w:id="1"/>
      <w:bookmarkEnd w:id="2"/>
    </w:p>
    <w:p w:rsidR="00360D5C" w:rsidRDefault="00360D5C" w:rsidP="00360D5C">
      <w:pPr>
        <w:rPr>
          <w:rFonts w:cs="Arial"/>
          <w:b/>
          <w:sz w:val="22"/>
          <w:szCs w:val="22"/>
        </w:rPr>
      </w:pPr>
      <w:r w:rsidRPr="00F318A8">
        <w:rPr>
          <w:rFonts w:cs="Arial"/>
          <w:b/>
          <w:sz w:val="22"/>
          <w:szCs w:val="22"/>
        </w:rPr>
        <w:t>Introduction</w:t>
      </w:r>
    </w:p>
    <w:p w:rsidR="00C771D4" w:rsidRPr="00F318A8" w:rsidRDefault="00C771D4" w:rsidP="00360D5C">
      <w:pPr>
        <w:rPr>
          <w:rFonts w:cs="Arial"/>
          <w:b/>
          <w:sz w:val="22"/>
          <w:szCs w:val="22"/>
        </w:rPr>
      </w:pPr>
    </w:p>
    <w:p w:rsidR="00360D5C" w:rsidRPr="00F318A8" w:rsidRDefault="00360D5C" w:rsidP="00360D5C">
      <w:pPr>
        <w:rPr>
          <w:rFonts w:cs="Arial"/>
          <w:sz w:val="22"/>
          <w:szCs w:val="22"/>
        </w:rPr>
      </w:pPr>
      <w:r w:rsidRPr="00F318A8">
        <w:rPr>
          <w:rFonts w:cs="Arial"/>
          <w:sz w:val="22"/>
          <w:szCs w:val="22"/>
        </w:rPr>
        <w:t xml:space="preserve">The Board of Portsmouth Water is responsible for the strategic development and oversight of the Appointed Business and takes its responsibilities seriously at all times.  Led by an Independent Chairman, with two further Independent Non-executive Directors and an Investor Director, the Board seeks to foster a culture of customers at the heart of the business, encouraging innovation and constructive challenge and debate at all levels of the organisation.  This culture ensured that the full Board led a consistent and robust approach throughout the process of developing the Business Plan for PR19, from its inception through to the final submission, with customer priorities being the “golden thread” at its heart. We appreciate that the new regulatory approach developed by Ofwat requires the Board to clearly demonstrate this had been achieved and what assurances it has relied upon. The most important element of this approach is the development and delivery of a Plan that is focused on the delivery of customer priorities. </w:t>
      </w:r>
    </w:p>
    <w:p w:rsidR="00360D5C" w:rsidRPr="00F318A8" w:rsidRDefault="00360D5C" w:rsidP="00360D5C">
      <w:pPr>
        <w:rPr>
          <w:rFonts w:cs="Arial"/>
          <w:sz w:val="22"/>
          <w:szCs w:val="22"/>
        </w:rPr>
      </w:pPr>
      <w:r w:rsidRPr="00F318A8">
        <w:rPr>
          <w:rFonts w:cs="Arial"/>
          <w:sz w:val="22"/>
          <w:szCs w:val="22"/>
        </w:rPr>
        <w:t>Our smaller scale and flat management structure provide close links between the Board, senior management, colleagues throughout the Company and to the communities and customers that we serve. In developing a Business Plan that is focused on delivering our customers’ priorities, both now and in the long-term, the Board set out a clear framework at the start of the process to ensure that:</w:t>
      </w:r>
    </w:p>
    <w:p w:rsidR="00360D5C" w:rsidRPr="00F318A8" w:rsidRDefault="00360D5C" w:rsidP="00360D5C">
      <w:pPr>
        <w:pStyle w:val="Bullets"/>
        <w:rPr>
          <w:rFonts w:cs="Arial"/>
          <w:sz w:val="22"/>
          <w:szCs w:val="22"/>
        </w:rPr>
      </w:pPr>
      <w:r w:rsidRPr="00F318A8">
        <w:rPr>
          <w:rFonts w:cs="Arial"/>
          <w:sz w:val="22"/>
          <w:szCs w:val="22"/>
        </w:rPr>
        <w:t>all the elements add up to a plan that is of high quality and ambitious, but deliverable through adopting innovative solutions;</w:t>
      </w:r>
    </w:p>
    <w:p w:rsidR="00360D5C" w:rsidRPr="00F318A8" w:rsidRDefault="00360D5C" w:rsidP="00360D5C">
      <w:pPr>
        <w:pStyle w:val="Bullets"/>
        <w:rPr>
          <w:rFonts w:cs="Arial"/>
          <w:sz w:val="22"/>
          <w:szCs w:val="22"/>
        </w:rPr>
      </w:pPr>
      <w:r w:rsidRPr="00F318A8">
        <w:rPr>
          <w:rFonts w:cs="Arial"/>
          <w:sz w:val="22"/>
          <w:szCs w:val="22"/>
        </w:rPr>
        <w:t>the overall strategy for data assurance and governance processes delivers high-quality data;</w:t>
      </w:r>
    </w:p>
    <w:p w:rsidR="00360D5C" w:rsidRPr="00F318A8" w:rsidRDefault="00360D5C" w:rsidP="00360D5C">
      <w:pPr>
        <w:pStyle w:val="Bullets"/>
        <w:rPr>
          <w:rFonts w:cs="Arial"/>
          <w:sz w:val="22"/>
          <w:szCs w:val="22"/>
        </w:rPr>
      </w:pPr>
      <w:r w:rsidRPr="00F318A8">
        <w:rPr>
          <w:rFonts w:cs="Arial"/>
          <w:sz w:val="22"/>
          <w:szCs w:val="22"/>
        </w:rPr>
        <w:t>the Business Plan will enable the company to meet its statutory and licence obligations, now and in the future;</w:t>
      </w:r>
    </w:p>
    <w:p w:rsidR="00360D5C" w:rsidRPr="00F318A8" w:rsidRDefault="00360D5C" w:rsidP="00360D5C">
      <w:pPr>
        <w:pStyle w:val="Bullets"/>
        <w:rPr>
          <w:rFonts w:cs="Arial"/>
          <w:sz w:val="22"/>
          <w:szCs w:val="22"/>
        </w:rPr>
      </w:pPr>
      <w:r w:rsidRPr="00F318A8">
        <w:rPr>
          <w:rFonts w:cs="Arial"/>
          <w:sz w:val="22"/>
          <w:szCs w:val="22"/>
        </w:rPr>
        <w:t>the Business Plan will deliver operational, financial and corporate resilience over the next control period and the long term;</w:t>
      </w:r>
    </w:p>
    <w:p w:rsidR="00360D5C" w:rsidRPr="00F318A8" w:rsidRDefault="00360D5C" w:rsidP="00360D5C">
      <w:pPr>
        <w:pStyle w:val="Bullets"/>
        <w:rPr>
          <w:rFonts w:cs="Arial"/>
          <w:sz w:val="22"/>
          <w:szCs w:val="22"/>
        </w:rPr>
      </w:pPr>
      <w:r w:rsidRPr="00F318A8">
        <w:rPr>
          <w:rFonts w:cs="Arial"/>
          <w:sz w:val="22"/>
          <w:szCs w:val="22"/>
        </w:rPr>
        <w:t>it will enable its customers to continue to have high levels of trust and confidence in the Company, through transparency and engagement with customers on issues such as its corporate and financial structures; and</w:t>
      </w:r>
    </w:p>
    <w:p w:rsidR="00360D5C" w:rsidRPr="00F318A8" w:rsidRDefault="00360D5C" w:rsidP="00360D5C">
      <w:pPr>
        <w:pStyle w:val="Bullets"/>
        <w:rPr>
          <w:rFonts w:cs="Arial"/>
          <w:sz w:val="22"/>
          <w:szCs w:val="22"/>
        </w:rPr>
      </w:pPr>
      <w:r w:rsidRPr="00F318A8">
        <w:rPr>
          <w:rFonts w:cs="Arial"/>
          <w:sz w:val="22"/>
          <w:szCs w:val="22"/>
        </w:rPr>
        <w:t xml:space="preserve">it has provided ownership of the overall strategy and direction of the plan in the long term. </w:t>
      </w:r>
    </w:p>
    <w:p w:rsidR="00360D5C" w:rsidRPr="00F318A8" w:rsidRDefault="00360D5C" w:rsidP="00360D5C">
      <w:pPr>
        <w:pStyle w:val="Bullets"/>
        <w:numPr>
          <w:ilvl w:val="0"/>
          <w:numId w:val="0"/>
        </w:numPr>
        <w:ind w:left="1848"/>
        <w:rPr>
          <w:rFonts w:cs="Arial"/>
          <w:sz w:val="22"/>
          <w:szCs w:val="22"/>
        </w:rPr>
      </w:pPr>
    </w:p>
    <w:p w:rsidR="00360D5C" w:rsidRPr="00F318A8" w:rsidRDefault="00360D5C" w:rsidP="00360D5C">
      <w:pPr>
        <w:rPr>
          <w:rFonts w:cs="Arial"/>
          <w:sz w:val="22"/>
          <w:szCs w:val="22"/>
        </w:rPr>
      </w:pPr>
      <w:r w:rsidRPr="00F318A8">
        <w:rPr>
          <w:rFonts w:cs="Arial"/>
          <w:sz w:val="22"/>
          <w:szCs w:val="22"/>
        </w:rPr>
        <w:t>Throughout the process, the full Board has provided strategic leadership and has been deeply involved in the preparation of the Plan, including robust challenge of key Plan assumptions, with no sub-committees being used.</w:t>
      </w:r>
    </w:p>
    <w:p w:rsidR="00360D5C" w:rsidRPr="00F318A8" w:rsidRDefault="00360D5C" w:rsidP="00360D5C">
      <w:pPr>
        <w:rPr>
          <w:rFonts w:cs="Arial"/>
          <w:b/>
          <w:sz w:val="22"/>
          <w:szCs w:val="22"/>
        </w:rPr>
      </w:pPr>
      <w:r w:rsidRPr="00F318A8">
        <w:rPr>
          <w:rFonts w:cs="Arial"/>
          <w:b/>
          <w:sz w:val="22"/>
          <w:szCs w:val="22"/>
        </w:rPr>
        <w:t>Strategy</w:t>
      </w:r>
    </w:p>
    <w:p w:rsidR="00360D5C" w:rsidRPr="00F318A8" w:rsidRDefault="00360D5C" w:rsidP="00360D5C">
      <w:pPr>
        <w:rPr>
          <w:rFonts w:cs="Arial"/>
          <w:sz w:val="22"/>
          <w:szCs w:val="22"/>
        </w:rPr>
      </w:pPr>
      <w:r w:rsidRPr="00F318A8">
        <w:rPr>
          <w:rFonts w:cs="Arial"/>
          <w:sz w:val="22"/>
          <w:szCs w:val="22"/>
        </w:rPr>
        <w:t>In 2016, the Board reviewed its approach to its long- term strategy; through a process facilitated by Professor Dave Cooper (Head of University of Chichester Business School). It agreed its goals for the future that would drive the PR19 Business Plan. These goals were:</w:t>
      </w:r>
    </w:p>
    <w:p w:rsidR="00360D5C" w:rsidRPr="00F318A8" w:rsidRDefault="00360D5C" w:rsidP="00360D5C">
      <w:pPr>
        <w:pStyle w:val="ListParagraph"/>
        <w:numPr>
          <w:ilvl w:val="0"/>
          <w:numId w:val="3"/>
        </w:numPr>
        <w:spacing w:after="240" w:line="240" w:lineRule="auto"/>
        <w:jc w:val="both"/>
        <w:rPr>
          <w:rFonts w:ascii="Arial" w:hAnsi="Arial" w:cs="Arial"/>
        </w:rPr>
      </w:pPr>
      <w:r w:rsidRPr="00F318A8">
        <w:rPr>
          <w:rFonts w:ascii="Arial" w:hAnsi="Arial" w:cs="Arial"/>
        </w:rPr>
        <w:t>To put customers at the heart of everything we do.</w:t>
      </w:r>
    </w:p>
    <w:p w:rsidR="00360D5C" w:rsidRPr="00F318A8" w:rsidRDefault="00360D5C" w:rsidP="00360D5C">
      <w:pPr>
        <w:pStyle w:val="ListParagraph"/>
        <w:numPr>
          <w:ilvl w:val="0"/>
          <w:numId w:val="3"/>
        </w:numPr>
        <w:spacing w:after="240" w:line="240" w:lineRule="auto"/>
        <w:jc w:val="both"/>
        <w:rPr>
          <w:rFonts w:ascii="Arial" w:hAnsi="Arial" w:cs="Arial"/>
        </w:rPr>
      </w:pPr>
      <w:r w:rsidRPr="00F318A8">
        <w:rPr>
          <w:rFonts w:ascii="Arial" w:hAnsi="Arial" w:cs="Arial"/>
        </w:rPr>
        <w:t>To be in the top 25 companies in the Institute of Customer Service survey.</w:t>
      </w:r>
    </w:p>
    <w:p w:rsidR="00360D5C" w:rsidRPr="00F318A8" w:rsidRDefault="00360D5C" w:rsidP="00360D5C">
      <w:pPr>
        <w:pStyle w:val="ListParagraph"/>
        <w:numPr>
          <w:ilvl w:val="0"/>
          <w:numId w:val="3"/>
        </w:numPr>
        <w:spacing w:after="240" w:line="240" w:lineRule="auto"/>
        <w:jc w:val="both"/>
        <w:rPr>
          <w:rFonts w:ascii="Arial" w:hAnsi="Arial" w:cs="Arial"/>
        </w:rPr>
      </w:pPr>
      <w:r w:rsidRPr="00F318A8">
        <w:rPr>
          <w:rFonts w:ascii="Arial" w:hAnsi="Arial" w:cs="Arial"/>
        </w:rPr>
        <w:t>To be a resilient business for both our own customers and to support the wider South East.</w:t>
      </w:r>
    </w:p>
    <w:p w:rsidR="00360D5C" w:rsidRPr="00F318A8" w:rsidRDefault="00360D5C" w:rsidP="00360D5C">
      <w:pPr>
        <w:pStyle w:val="ListParagraph"/>
        <w:numPr>
          <w:ilvl w:val="0"/>
          <w:numId w:val="3"/>
        </w:numPr>
        <w:spacing w:after="240" w:line="240" w:lineRule="auto"/>
        <w:jc w:val="both"/>
        <w:rPr>
          <w:rFonts w:ascii="Arial" w:hAnsi="Arial" w:cs="Arial"/>
        </w:rPr>
      </w:pPr>
      <w:r w:rsidRPr="00F318A8">
        <w:rPr>
          <w:rFonts w:ascii="Arial" w:hAnsi="Arial" w:cs="Arial"/>
        </w:rPr>
        <w:t>To promote a culture that is innovative, vibrant, open to change and reward those behaviours.</w:t>
      </w:r>
    </w:p>
    <w:p w:rsidR="00360D5C" w:rsidRPr="00F318A8" w:rsidRDefault="00360D5C" w:rsidP="00360D5C">
      <w:pPr>
        <w:pStyle w:val="ListParagraph"/>
        <w:numPr>
          <w:ilvl w:val="0"/>
          <w:numId w:val="3"/>
        </w:numPr>
        <w:spacing w:after="240" w:line="240" w:lineRule="auto"/>
        <w:jc w:val="both"/>
        <w:rPr>
          <w:rFonts w:ascii="Arial" w:hAnsi="Arial" w:cs="Arial"/>
        </w:rPr>
      </w:pPr>
      <w:r w:rsidRPr="00F318A8">
        <w:rPr>
          <w:rFonts w:ascii="Arial" w:hAnsi="Arial" w:cs="Arial"/>
        </w:rPr>
        <w:t>To recruit and retain the right people and support them to deliver to the best of their ability</w:t>
      </w:r>
    </w:p>
    <w:p w:rsidR="00360D5C" w:rsidRPr="00F318A8" w:rsidRDefault="00360D5C" w:rsidP="00360D5C">
      <w:pPr>
        <w:pStyle w:val="ListParagraph"/>
        <w:numPr>
          <w:ilvl w:val="0"/>
          <w:numId w:val="3"/>
        </w:numPr>
        <w:spacing w:after="240" w:line="240" w:lineRule="auto"/>
        <w:jc w:val="both"/>
        <w:rPr>
          <w:rFonts w:ascii="Arial" w:hAnsi="Arial" w:cs="Arial"/>
        </w:rPr>
      </w:pPr>
      <w:r w:rsidRPr="00F318A8">
        <w:rPr>
          <w:rFonts w:ascii="Arial" w:hAnsi="Arial" w:cs="Arial"/>
        </w:rPr>
        <w:t>To be recognised for meeting our social and environmental responsibilities.</w:t>
      </w:r>
    </w:p>
    <w:p w:rsidR="00360D5C" w:rsidRPr="00F318A8" w:rsidRDefault="00360D5C" w:rsidP="00360D5C">
      <w:pPr>
        <w:pStyle w:val="ListParagraph"/>
        <w:numPr>
          <w:ilvl w:val="0"/>
          <w:numId w:val="3"/>
        </w:numPr>
        <w:spacing w:after="240" w:line="240" w:lineRule="auto"/>
        <w:jc w:val="both"/>
        <w:rPr>
          <w:rFonts w:ascii="Arial" w:hAnsi="Arial" w:cs="Arial"/>
        </w:rPr>
      </w:pPr>
      <w:r w:rsidRPr="00F318A8">
        <w:rPr>
          <w:rFonts w:ascii="Arial" w:hAnsi="Arial" w:cs="Arial"/>
        </w:rPr>
        <w:t>To ensure that health and safety of our workforce and member of the public remains our number one priority.</w:t>
      </w:r>
    </w:p>
    <w:p w:rsidR="00360D5C" w:rsidRPr="00F318A8" w:rsidRDefault="00360D5C" w:rsidP="00360D5C">
      <w:pPr>
        <w:rPr>
          <w:rFonts w:cs="Arial"/>
          <w:sz w:val="22"/>
          <w:szCs w:val="22"/>
        </w:rPr>
      </w:pPr>
      <w:r w:rsidRPr="00F318A8">
        <w:rPr>
          <w:rFonts w:cs="Arial"/>
          <w:sz w:val="22"/>
          <w:szCs w:val="22"/>
        </w:rPr>
        <w:t>Throughout the PR 19 process, the Board has provided strategic leadership and taken an active involvement in the preparation of the Plan. The Board has established a culture of “doing the right thing” and putting customers at the heart of the business. This has resulted in high trust scores in surveys conducted by the Institute of Customer Service and the Consumer Council for Water. It has had a responsible dividend policy and this will continue into the next period.</w:t>
      </w:r>
    </w:p>
    <w:p w:rsidR="00360D5C" w:rsidRPr="00F318A8" w:rsidRDefault="00360D5C" w:rsidP="00360D5C">
      <w:pPr>
        <w:rPr>
          <w:rFonts w:cs="Arial"/>
          <w:sz w:val="22"/>
          <w:szCs w:val="22"/>
        </w:rPr>
      </w:pPr>
      <w:r w:rsidRPr="00F318A8">
        <w:rPr>
          <w:rFonts w:cs="Arial"/>
          <w:sz w:val="22"/>
          <w:szCs w:val="22"/>
        </w:rPr>
        <w:t xml:space="preserve">Resilience of water supplies has been central to the Company for decades (an example of this is the purchase of the land where the Havant Thicket Winter Storage Reservoir will be located, in the 1960’s and the building of the River Itchen Treatment Works in the 1970’s, when it was seen that in the longer-term resources in the region would need to be increased) and the current Board continue to see this as a priority.  A key part of the Board’s strategy is to use the resilience in water resources to support the wider South East Region, which is seriously water stressed. </w:t>
      </w:r>
    </w:p>
    <w:p w:rsidR="00360D5C" w:rsidRPr="00F318A8" w:rsidRDefault="00360D5C" w:rsidP="00360D5C">
      <w:pPr>
        <w:rPr>
          <w:rFonts w:cs="Arial"/>
          <w:sz w:val="22"/>
          <w:szCs w:val="22"/>
        </w:rPr>
      </w:pPr>
      <w:r w:rsidRPr="00F318A8">
        <w:rPr>
          <w:rFonts w:cs="Arial"/>
          <w:sz w:val="22"/>
          <w:szCs w:val="22"/>
        </w:rPr>
        <w:t>The Company is an upper quartile performer in several of the common performance measures to be used at PR19 and the Board established its policy to remain in that position.</w:t>
      </w:r>
    </w:p>
    <w:p w:rsidR="00360D5C" w:rsidRPr="00F318A8" w:rsidRDefault="00360D5C" w:rsidP="00360D5C">
      <w:pPr>
        <w:rPr>
          <w:rFonts w:cs="Arial"/>
          <w:sz w:val="22"/>
          <w:szCs w:val="22"/>
        </w:rPr>
      </w:pPr>
      <w:r w:rsidRPr="00F318A8">
        <w:rPr>
          <w:rFonts w:cs="Arial"/>
          <w:sz w:val="22"/>
          <w:szCs w:val="22"/>
        </w:rPr>
        <w:t>These strategic policies have set the tone and direction of the business plan and the planning and assurance process.</w:t>
      </w:r>
    </w:p>
    <w:p w:rsidR="00360D5C" w:rsidRPr="00F318A8" w:rsidRDefault="00360D5C" w:rsidP="00360D5C">
      <w:pPr>
        <w:rPr>
          <w:rFonts w:cs="Arial"/>
          <w:sz w:val="22"/>
          <w:szCs w:val="22"/>
        </w:rPr>
      </w:pPr>
      <w:r w:rsidRPr="00F318A8">
        <w:rPr>
          <w:rFonts w:cs="Arial"/>
          <w:sz w:val="22"/>
          <w:szCs w:val="22"/>
        </w:rPr>
        <w:t>In the following section, we specifically address how the Board is able to give assurance on the Business Plan.</w:t>
      </w:r>
    </w:p>
    <w:p w:rsidR="00360D5C" w:rsidRPr="00F318A8" w:rsidRDefault="00360D5C" w:rsidP="00360D5C">
      <w:pPr>
        <w:rPr>
          <w:rFonts w:cs="Arial"/>
          <w:b/>
          <w:sz w:val="22"/>
          <w:szCs w:val="22"/>
        </w:rPr>
      </w:pPr>
      <w:r w:rsidRPr="00F318A8">
        <w:rPr>
          <w:rFonts w:cs="Arial"/>
          <w:b/>
          <w:sz w:val="22"/>
          <w:szCs w:val="22"/>
        </w:rPr>
        <w:t>Business Planning</w:t>
      </w:r>
    </w:p>
    <w:p w:rsidR="00360D5C" w:rsidRPr="00F318A8" w:rsidRDefault="00360D5C" w:rsidP="00360D5C">
      <w:pPr>
        <w:rPr>
          <w:rFonts w:cs="Arial"/>
          <w:b/>
          <w:sz w:val="22"/>
          <w:szCs w:val="22"/>
          <w:u w:val="single"/>
        </w:rPr>
      </w:pPr>
      <w:r w:rsidRPr="00F318A8">
        <w:rPr>
          <w:rFonts w:cs="Arial"/>
          <w:b/>
          <w:sz w:val="22"/>
          <w:szCs w:val="22"/>
          <w:u w:val="single"/>
        </w:rPr>
        <w:t xml:space="preserve">How has the Board challenged and satisfied itself that all the elements add up to a Business Plan that is high quality and deliverable. </w:t>
      </w:r>
    </w:p>
    <w:p w:rsidR="00360D5C" w:rsidRPr="00F318A8" w:rsidRDefault="00360D5C" w:rsidP="00360D5C">
      <w:pPr>
        <w:rPr>
          <w:rFonts w:cs="Arial"/>
          <w:sz w:val="22"/>
          <w:szCs w:val="22"/>
        </w:rPr>
      </w:pPr>
      <w:r w:rsidRPr="00F318A8">
        <w:rPr>
          <w:rFonts w:cs="Arial"/>
          <w:sz w:val="22"/>
          <w:szCs w:val="22"/>
        </w:rPr>
        <w:t>PR19 has been a standard item on the Board agenda since July 2017 in order to address assurance and governance through the following processes:</w:t>
      </w:r>
    </w:p>
    <w:p w:rsidR="00360D5C" w:rsidRPr="00F318A8" w:rsidRDefault="00360D5C" w:rsidP="00360D5C">
      <w:pPr>
        <w:pStyle w:val="Bullets"/>
        <w:rPr>
          <w:rFonts w:cs="Arial"/>
          <w:sz w:val="22"/>
          <w:szCs w:val="22"/>
        </w:rPr>
      </w:pPr>
      <w:r w:rsidRPr="00F318A8">
        <w:rPr>
          <w:rFonts w:cs="Arial"/>
          <w:sz w:val="22"/>
          <w:szCs w:val="22"/>
        </w:rPr>
        <w:t>In December 2017, the Board agreed a clear plan for assurance of all elements of the plan, including where third-party assurance was required. This was reviewed, and changes made as the Plan developed.</w:t>
      </w:r>
      <w:r w:rsidR="00307E0E">
        <w:rPr>
          <w:rFonts w:cs="Arial"/>
          <w:sz w:val="22"/>
          <w:szCs w:val="22"/>
        </w:rPr>
        <w:t xml:space="preserve">  This assurance plan and the subsequent actual dates when items were considered is in Appendix 1 to this document.</w:t>
      </w:r>
    </w:p>
    <w:p w:rsidR="00360D5C" w:rsidRPr="00F318A8" w:rsidRDefault="00360D5C" w:rsidP="00360D5C">
      <w:pPr>
        <w:pStyle w:val="Bullets"/>
        <w:rPr>
          <w:rFonts w:cs="Arial"/>
          <w:sz w:val="22"/>
          <w:szCs w:val="22"/>
        </w:rPr>
      </w:pPr>
      <w:r w:rsidRPr="00F318A8">
        <w:rPr>
          <w:rFonts w:cs="Arial"/>
          <w:sz w:val="22"/>
          <w:szCs w:val="22"/>
        </w:rPr>
        <w:t>A RAG report showing an updated status of progress on the Business Plan was included in Board Papers every month.</w:t>
      </w:r>
    </w:p>
    <w:p w:rsidR="00360D5C" w:rsidRPr="00F318A8" w:rsidRDefault="00360D5C" w:rsidP="00360D5C">
      <w:pPr>
        <w:pStyle w:val="Bullets"/>
        <w:rPr>
          <w:rFonts w:cs="Arial"/>
          <w:sz w:val="22"/>
          <w:szCs w:val="22"/>
        </w:rPr>
      </w:pPr>
      <w:r w:rsidRPr="00F318A8">
        <w:rPr>
          <w:rFonts w:cs="Arial"/>
          <w:sz w:val="22"/>
          <w:szCs w:val="22"/>
        </w:rPr>
        <w:t xml:space="preserve">Received evidence from Executives and third- party assurers to ensure the quality of data and the robustness of assumptions. Third parties producing reports were invited to speak to the Board. </w:t>
      </w:r>
      <w:r w:rsidR="00307E0E">
        <w:rPr>
          <w:rFonts w:cs="Arial"/>
          <w:sz w:val="22"/>
          <w:szCs w:val="22"/>
        </w:rPr>
        <w:t xml:space="preserve"> Chapter 13 of the Plan </w:t>
      </w:r>
      <w:r w:rsidRPr="00F318A8">
        <w:rPr>
          <w:rFonts w:cs="Arial"/>
          <w:sz w:val="22"/>
          <w:szCs w:val="22"/>
        </w:rPr>
        <w:t>contains a full list of independent third party reports to the Board</w:t>
      </w:r>
    </w:p>
    <w:p w:rsidR="00360D5C" w:rsidRPr="00F318A8" w:rsidRDefault="00360D5C" w:rsidP="00360D5C">
      <w:pPr>
        <w:pStyle w:val="Bullets"/>
        <w:rPr>
          <w:rFonts w:cs="Arial"/>
          <w:sz w:val="22"/>
          <w:szCs w:val="22"/>
        </w:rPr>
      </w:pPr>
      <w:r w:rsidRPr="00F318A8">
        <w:rPr>
          <w:rFonts w:cs="Arial"/>
          <w:sz w:val="22"/>
          <w:szCs w:val="22"/>
        </w:rPr>
        <w:t xml:space="preserve">Ensured that an independent Board member attended every CCG meeting and invited the chair of the CCG to </w:t>
      </w:r>
      <w:r w:rsidR="00307E0E">
        <w:rPr>
          <w:rFonts w:cs="Arial"/>
          <w:sz w:val="22"/>
          <w:szCs w:val="22"/>
        </w:rPr>
        <w:t xml:space="preserve">three </w:t>
      </w:r>
      <w:r w:rsidRPr="00F318A8">
        <w:rPr>
          <w:rFonts w:cs="Arial"/>
          <w:sz w:val="22"/>
          <w:szCs w:val="22"/>
        </w:rPr>
        <w:t>Board meetings during the process.</w:t>
      </w:r>
    </w:p>
    <w:p w:rsidR="00360D5C" w:rsidRPr="00F318A8" w:rsidRDefault="00360D5C" w:rsidP="00360D5C">
      <w:pPr>
        <w:pStyle w:val="Bullets"/>
        <w:rPr>
          <w:rFonts w:cs="Arial"/>
          <w:sz w:val="22"/>
          <w:szCs w:val="22"/>
        </w:rPr>
      </w:pPr>
      <w:r w:rsidRPr="00F318A8">
        <w:rPr>
          <w:rFonts w:cs="Arial"/>
          <w:sz w:val="22"/>
          <w:szCs w:val="22"/>
        </w:rPr>
        <w:t>It reviewed and assessed compliance with its statutory duties and licence obligations and Government policy statement early in the process to ensure the overall strategy meets these requirements.</w:t>
      </w:r>
    </w:p>
    <w:p w:rsidR="00360D5C" w:rsidRPr="00F318A8" w:rsidRDefault="00360D5C" w:rsidP="00360D5C">
      <w:pPr>
        <w:pStyle w:val="Bullets"/>
        <w:rPr>
          <w:rFonts w:cs="Arial"/>
          <w:sz w:val="22"/>
          <w:szCs w:val="22"/>
        </w:rPr>
      </w:pPr>
      <w:r w:rsidRPr="00F318A8">
        <w:rPr>
          <w:rFonts w:cs="Arial"/>
          <w:sz w:val="22"/>
          <w:szCs w:val="22"/>
        </w:rPr>
        <w:t>A Board report summarising customer engagement is included with the Board papers every month.</w:t>
      </w:r>
    </w:p>
    <w:p w:rsidR="00360D5C" w:rsidRPr="00F318A8" w:rsidRDefault="00360D5C" w:rsidP="00360D5C">
      <w:pPr>
        <w:pStyle w:val="Bullets"/>
        <w:rPr>
          <w:rFonts w:cs="Arial"/>
          <w:sz w:val="22"/>
          <w:szCs w:val="22"/>
        </w:rPr>
      </w:pPr>
      <w:r w:rsidRPr="00F318A8">
        <w:rPr>
          <w:rFonts w:cs="Arial"/>
          <w:sz w:val="22"/>
          <w:szCs w:val="22"/>
        </w:rPr>
        <w:t>The whole board has been involved throughout the PR19 process, with no separate board committee being used.</w:t>
      </w:r>
    </w:p>
    <w:p w:rsidR="00360D5C" w:rsidRPr="00F318A8" w:rsidRDefault="00360D5C" w:rsidP="00360D5C">
      <w:pPr>
        <w:pStyle w:val="Bullets"/>
        <w:rPr>
          <w:rFonts w:cs="Arial"/>
          <w:sz w:val="22"/>
          <w:szCs w:val="22"/>
        </w:rPr>
      </w:pPr>
      <w:r w:rsidRPr="00F318A8">
        <w:rPr>
          <w:rFonts w:cs="Arial"/>
          <w:sz w:val="22"/>
          <w:szCs w:val="22"/>
        </w:rPr>
        <w:t>Independent Board members have, where deemed appropriate, conducted deep dives into aspects of the plan to gain assurance that a proper process has been followed and to provide further assurance to the whole Board.</w:t>
      </w:r>
    </w:p>
    <w:p w:rsidR="00360D5C" w:rsidRPr="00F318A8" w:rsidRDefault="00360D5C" w:rsidP="00360D5C">
      <w:pPr>
        <w:pStyle w:val="Bullets"/>
        <w:rPr>
          <w:rFonts w:cs="Arial"/>
          <w:sz w:val="22"/>
          <w:szCs w:val="22"/>
        </w:rPr>
      </w:pPr>
      <w:r w:rsidRPr="00F318A8">
        <w:rPr>
          <w:rFonts w:cs="Arial"/>
          <w:sz w:val="22"/>
          <w:szCs w:val="22"/>
        </w:rPr>
        <w:t>The Board has rigorously challenged each ODI, the targets set, and they will be achieved.  As part of this process it considered they key risks to the delivery of the Plan and the mitigations required.  These risks are included in the RoRE analysis.</w:t>
      </w:r>
    </w:p>
    <w:p w:rsidR="00360D5C" w:rsidRPr="00F318A8" w:rsidRDefault="00360D5C" w:rsidP="00360D5C">
      <w:pPr>
        <w:pStyle w:val="Bullets"/>
        <w:numPr>
          <w:ilvl w:val="0"/>
          <w:numId w:val="0"/>
        </w:numPr>
        <w:ind w:left="1848"/>
        <w:rPr>
          <w:rFonts w:cs="Arial"/>
          <w:sz w:val="22"/>
          <w:szCs w:val="22"/>
        </w:rPr>
      </w:pPr>
    </w:p>
    <w:p w:rsidR="00360D5C" w:rsidRPr="00F318A8" w:rsidRDefault="00360D5C" w:rsidP="00360D5C">
      <w:pPr>
        <w:rPr>
          <w:rFonts w:cs="Arial"/>
          <w:b/>
          <w:sz w:val="22"/>
          <w:szCs w:val="22"/>
          <w:u w:val="single"/>
        </w:rPr>
      </w:pPr>
      <w:r w:rsidRPr="00F318A8">
        <w:rPr>
          <w:rFonts w:cs="Arial"/>
          <w:b/>
          <w:sz w:val="22"/>
          <w:szCs w:val="22"/>
          <w:u w:val="single"/>
        </w:rPr>
        <w:t xml:space="preserve">How has the Board challenged and satisfied itself that the overall strategy to data assurance and governance processes delivers high-quality data. </w:t>
      </w:r>
    </w:p>
    <w:p w:rsidR="00360D5C" w:rsidRPr="00F318A8" w:rsidRDefault="00360D5C" w:rsidP="00360D5C">
      <w:pPr>
        <w:rPr>
          <w:rFonts w:cs="Arial"/>
          <w:sz w:val="22"/>
          <w:szCs w:val="22"/>
        </w:rPr>
      </w:pPr>
      <w:r w:rsidRPr="00F318A8">
        <w:rPr>
          <w:rFonts w:cs="Arial"/>
          <w:sz w:val="22"/>
          <w:szCs w:val="22"/>
        </w:rPr>
        <w:t>The Board has in place a tried and tested process for providing assurance on the quality of data submitted for the Annual Performance Review.  We consider feedback from Ofwat on the quality of data submissions to improve our Company Monitoring Framework and our processes.  Our data submissions are subject to independent audit and the auditor is invited to the Board meeting to discuss their reports.</w:t>
      </w:r>
    </w:p>
    <w:p w:rsidR="00360D5C" w:rsidRPr="00F318A8" w:rsidRDefault="00360D5C" w:rsidP="00360D5C">
      <w:pPr>
        <w:rPr>
          <w:rFonts w:cs="Arial"/>
          <w:sz w:val="22"/>
          <w:szCs w:val="22"/>
        </w:rPr>
      </w:pPr>
      <w:r w:rsidRPr="00F318A8">
        <w:rPr>
          <w:rFonts w:cs="Arial"/>
          <w:sz w:val="22"/>
          <w:szCs w:val="22"/>
        </w:rPr>
        <w:t>For PR19, the Board has approved internal control procedures to ensure that the data submitted has been peer reviewed and the Chairman of The Audit Committee confirmed that there was good evidence that this had been followed.  It has received third party assurance (as set out also below) covering financial and non-financial data from KPMG and Atkins respectively.</w:t>
      </w:r>
    </w:p>
    <w:p w:rsidR="00360D5C" w:rsidRPr="00F318A8" w:rsidRDefault="00360D5C" w:rsidP="00360D5C">
      <w:pPr>
        <w:rPr>
          <w:rFonts w:cs="Arial"/>
          <w:sz w:val="22"/>
          <w:szCs w:val="22"/>
        </w:rPr>
      </w:pPr>
      <w:r w:rsidRPr="00F318A8">
        <w:rPr>
          <w:rFonts w:cs="Arial"/>
          <w:sz w:val="22"/>
          <w:szCs w:val="22"/>
        </w:rPr>
        <w:t xml:space="preserve">In addition, individual NED’s have taken responsibility for reviewing certain aspects of the Plan, including data, and then reporting to the Board. </w:t>
      </w:r>
    </w:p>
    <w:p w:rsidR="00360D5C" w:rsidRPr="00F318A8" w:rsidRDefault="00360D5C" w:rsidP="00360D5C">
      <w:pPr>
        <w:rPr>
          <w:rFonts w:cs="Arial"/>
          <w:b/>
          <w:sz w:val="22"/>
          <w:szCs w:val="22"/>
          <w:u w:val="single"/>
        </w:rPr>
      </w:pPr>
      <w:r w:rsidRPr="00F318A8">
        <w:rPr>
          <w:rFonts w:cs="Arial"/>
          <w:b/>
          <w:sz w:val="22"/>
          <w:szCs w:val="22"/>
          <w:u w:val="single"/>
        </w:rPr>
        <w:t>How has the Board challenged and satisfied itself that the business plan will enable the company to meet its statutory and licence obligations, now and in the future and take account of the UK Government’s strategic policy statements?</w:t>
      </w:r>
    </w:p>
    <w:p w:rsidR="00307E0E" w:rsidRDefault="00360D5C" w:rsidP="00360D5C">
      <w:pPr>
        <w:rPr>
          <w:rFonts w:cs="Arial"/>
          <w:sz w:val="22"/>
          <w:szCs w:val="22"/>
        </w:rPr>
      </w:pPr>
      <w:r w:rsidRPr="00F318A8">
        <w:rPr>
          <w:rFonts w:cs="Arial"/>
          <w:sz w:val="22"/>
          <w:szCs w:val="22"/>
        </w:rPr>
        <w:t xml:space="preserve">The induction process for new Directors covers such matters to ensure they understand their duties and all changes to the obligations are brought to and discussed at the Board. </w:t>
      </w:r>
    </w:p>
    <w:p w:rsidR="00307E0E" w:rsidRDefault="00307E0E" w:rsidP="00360D5C">
      <w:pPr>
        <w:rPr>
          <w:rFonts w:cs="Arial"/>
          <w:sz w:val="22"/>
          <w:szCs w:val="22"/>
        </w:rPr>
      </w:pPr>
      <w:r>
        <w:rPr>
          <w:rFonts w:cs="Arial"/>
          <w:sz w:val="22"/>
          <w:szCs w:val="22"/>
        </w:rPr>
        <w:t>The Board has put in place a rigorous Risk Management process which addresses the risk of non-compliance of its duties.</w:t>
      </w:r>
    </w:p>
    <w:p w:rsidR="00360D5C" w:rsidRPr="00F318A8" w:rsidRDefault="00307E0E" w:rsidP="00360D5C">
      <w:pPr>
        <w:rPr>
          <w:rFonts w:cs="Arial"/>
          <w:sz w:val="22"/>
          <w:szCs w:val="22"/>
        </w:rPr>
      </w:pPr>
      <w:r>
        <w:rPr>
          <w:rFonts w:cs="Arial"/>
          <w:sz w:val="22"/>
          <w:szCs w:val="22"/>
        </w:rPr>
        <w:t>I</w:t>
      </w:r>
      <w:r w:rsidRPr="00F318A8">
        <w:rPr>
          <w:rFonts w:cs="Arial"/>
          <w:sz w:val="22"/>
          <w:szCs w:val="22"/>
        </w:rPr>
        <w:t xml:space="preserve">n relation to the </w:t>
      </w:r>
      <w:r>
        <w:rPr>
          <w:rFonts w:cs="Arial"/>
          <w:sz w:val="22"/>
          <w:szCs w:val="22"/>
        </w:rPr>
        <w:t>B</w:t>
      </w:r>
      <w:r w:rsidRPr="00F318A8">
        <w:rPr>
          <w:rFonts w:cs="Arial"/>
          <w:sz w:val="22"/>
          <w:szCs w:val="22"/>
        </w:rPr>
        <w:t xml:space="preserve">usiness </w:t>
      </w:r>
      <w:r>
        <w:rPr>
          <w:rFonts w:cs="Arial"/>
          <w:sz w:val="22"/>
          <w:szCs w:val="22"/>
        </w:rPr>
        <w:t>P</w:t>
      </w:r>
      <w:r w:rsidRPr="00F318A8">
        <w:rPr>
          <w:rFonts w:cs="Arial"/>
          <w:sz w:val="22"/>
          <w:szCs w:val="22"/>
        </w:rPr>
        <w:t xml:space="preserve">lan </w:t>
      </w:r>
      <w:r>
        <w:rPr>
          <w:rFonts w:cs="Arial"/>
          <w:sz w:val="22"/>
          <w:szCs w:val="22"/>
        </w:rPr>
        <w:t>submission, t</w:t>
      </w:r>
      <w:r w:rsidR="00360D5C" w:rsidRPr="00F318A8">
        <w:rPr>
          <w:rFonts w:cs="Arial"/>
          <w:sz w:val="22"/>
          <w:szCs w:val="22"/>
        </w:rPr>
        <w:t xml:space="preserve">he Board assessed its statutory and Licence obligations, </w:t>
      </w:r>
      <w:r>
        <w:rPr>
          <w:rFonts w:cs="Arial"/>
          <w:sz w:val="22"/>
          <w:szCs w:val="22"/>
        </w:rPr>
        <w:t xml:space="preserve">and evidence of compliance </w:t>
      </w:r>
      <w:r w:rsidR="00360D5C" w:rsidRPr="00F318A8">
        <w:rPr>
          <w:rFonts w:cs="Arial"/>
          <w:sz w:val="22"/>
          <w:szCs w:val="22"/>
        </w:rPr>
        <w:t xml:space="preserve">at its 2018 February Board meeting. </w:t>
      </w:r>
      <w:r>
        <w:rPr>
          <w:rFonts w:cs="Arial"/>
          <w:sz w:val="22"/>
          <w:szCs w:val="22"/>
        </w:rPr>
        <w:t xml:space="preserve"> </w:t>
      </w:r>
      <w:r w:rsidR="00360D5C" w:rsidRPr="00F318A8">
        <w:rPr>
          <w:rFonts w:cs="Arial"/>
          <w:sz w:val="22"/>
          <w:szCs w:val="22"/>
        </w:rPr>
        <w:t>The session also included the Government’s priorities. The Board have recognised the Government’s Strategic policy statement to Ofwat and the Government’s 25 Year Environmental Plan. Resilience is a key pillar of the Governments policy statements and its plan not only address resilience for the Company, but also the wider South East Region, by providing substantial additional bulk supplies to Southern Water which will help them to meet the environmental challenges to two of their current river abstractions and ensure that the region is more resilient to droughts.  It has also ensured its plan is consistent with the Environment Agency and Natural England’s WISER document.</w:t>
      </w:r>
    </w:p>
    <w:p w:rsidR="00360D5C" w:rsidRPr="00F318A8" w:rsidRDefault="00360D5C" w:rsidP="00360D5C">
      <w:pPr>
        <w:rPr>
          <w:rFonts w:cs="Arial"/>
          <w:sz w:val="22"/>
          <w:szCs w:val="22"/>
        </w:rPr>
      </w:pPr>
      <w:r w:rsidRPr="00F318A8">
        <w:rPr>
          <w:rFonts w:cs="Arial"/>
          <w:sz w:val="22"/>
          <w:szCs w:val="22"/>
        </w:rPr>
        <w:t>As a result of Board challenge, the Company has sought to enhance resilience by more aggressive leakage and PCC targets in the long-term which have been reflected in revisions to the Water Resource Management Plan.  Also as a result of Board challenge, the initial proposals for mains renewals was increased from 70km to 90km over AMP7.</w:t>
      </w:r>
    </w:p>
    <w:p w:rsidR="00360D5C" w:rsidRPr="00F318A8" w:rsidRDefault="00360D5C" w:rsidP="00360D5C">
      <w:pPr>
        <w:rPr>
          <w:rFonts w:cs="Arial"/>
          <w:b/>
          <w:sz w:val="22"/>
          <w:szCs w:val="22"/>
          <w:u w:val="single"/>
        </w:rPr>
      </w:pPr>
      <w:r w:rsidRPr="00F318A8">
        <w:rPr>
          <w:rFonts w:cs="Arial"/>
          <w:b/>
          <w:sz w:val="22"/>
          <w:szCs w:val="22"/>
          <w:u w:val="single"/>
        </w:rPr>
        <w:t xml:space="preserve">How has the Board challenged and satisfied itself that its plan will deliver operational, financial and corporate resilience over the next control period and long term through its governance and assurance processes, taking account of its track record of performance. </w:t>
      </w:r>
    </w:p>
    <w:p w:rsidR="00360D5C" w:rsidRPr="00F318A8" w:rsidRDefault="00360D5C" w:rsidP="00360D5C">
      <w:pPr>
        <w:rPr>
          <w:rFonts w:cs="Arial"/>
          <w:sz w:val="22"/>
          <w:szCs w:val="22"/>
        </w:rPr>
      </w:pPr>
      <w:r w:rsidRPr="00F318A8">
        <w:rPr>
          <w:rFonts w:cs="Arial"/>
          <w:sz w:val="22"/>
          <w:szCs w:val="22"/>
        </w:rPr>
        <w:t>The Board has conducted a review of risks faced by the Company in terms of potential impact on the customer and the level of mitigation and resilience against those risks. It has looked at historical performance, including the Company Monitoring framework of the current AMP, on a range of measures to identify where interventions may be required. As part of its AMP 6 Programme, the Board commissioned a study to establish the level of resilience to catchment and non-infrastructure asset failures, which has driven key elements of the plan. A NED has undertaken a deep dive into the level of operational resilience within the organisation. The Board has reviewed several financial viability and financeability scenarios (see below).  In addition, the Board has reviewed the plans to ensure that the Company remains able to attract, retain and provide continual training of its staff to deliver the services required by our customers.  The Board has made a final review of the Company’s assessment of resilience in the round and its conclusions are included in Chapter 6 of the Plan.</w:t>
      </w:r>
    </w:p>
    <w:p w:rsidR="00360D5C" w:rsidRPr="00F318A8" w:rsidRDefault="00360D5C" w:rsidP="00360D5C">
      <w:pPr>
        <w:rPr>
          <w:rFonts w:cs="Arial"/>
          <w:b/>
          <w:sz w:val="22"/>
          <w:szCs w:val="22"/>
          <w:u w:val="single"/>
        </w:rPr>
      </w:pPr>
      <w:r w:rsidRPr="00F318A8">
        <w:rPr>
          <w:rFonts w:cs="Arial"/>
          <w:b/>
          <w:sz w:val="22"/>
          <w:szCs w:val="22"/>
          <w:u w:val="single"/>
        </w:rPr>
        <w:t>How has The Board challenged and satisfied itself that it will enable its customers’ trust and confidence through appropriate measured to provide a fair balance between customers and investors</w:t>
      </w:r>
      <w:r w:rsidR="0052580C">
        <w:rPr>
          <w:rFonts w:cs="Arial"/>
          <w:b/>
          <w:sz w:val="22"/>
          <w:szCs w:val="22"/>
          <w:u w:val="single"/>
        </w:rPr>
        <w:t xml:space="preserve"> </w:t>
      </w:r>
      <w:r w:rsidRPr="00F318A8">
        <w:rPr>
          <w:rFonts w:cs="Arial"/>
          <w:b/>
          <w:sz w:val="22"/>
          <w:szCs w:val="22"/>
          <w:u w:val="single"/>
        </w:rPr>
        <w:t>(which include outperformance sharing, dividend policies and any performance related element of executive pay) and high levels of transparency and engagement with customers on issues such as its corporate and financial structures.</w:t>
      </w:r>
    </w:p>
    <w:p w:rsidR="00360D5C" w:rsidRPr="00F318A8" w:rsidRDefault="00360D5C" w:rsidP="00360D5C">
      <w:pPr>
        <w:rPr>
          <w:rFonts w:cs="Arial"/>
          <w:sz w:val="22"/>
          <w:szCs w:val="22"/>
        </w:rPr>
      </w:pPr>
      <w:r w:rsidRPr="00F318A8">
        <w:rPr>
          <w:rFonts w:cs="Arial"/>
          <w:sz w:val="22"/>
          <w:szCs w:val="22"/>
        </w:rPr>
        <w:t>The Board have continually ensured there is a fair balance between customers and investors.  At PR14, the Board voluntarily agreed to waive over £5m of legacy adjustments to keep bills lower than they would otherwise have been.</w:t>
      </w:r>
    </w:p>
    <w:p w:rsidR="00360D5C" w:rsidRPr="00F318A8" w:rsidRDefault="00360D5C" w:rsidP="00360D5C">
      <w:pPr>
        <w:rPr>
          <w:rFonts w:cs="Arial"/>
          <w:sz w:val="22"/>
          <w:szCs w:val="22"/>
        </w:rPr>
      </w:pPr>
      <w:r w:rsidRPr="00F318A8">
        <w:rPr>
          <w:rFonts w:cs="Arial"/>
          <w:sz w:val="22"/>
          <w:szCs w:val="22"/>
        </w:rPr>
        <w:t>The Board has overseen a large and varied interaction with customers. Entirely separate to the PR19 process, it took a decision to join the Institute of Customer Service, so that it could build on its strong historic performance on SIM scores and measure its performance against a broad spread of companies, not just other water companies and other utilities.</w:t>
      </w:r>
      <w:r w:rsidR="0052580C">
        <w:rPr>
          <w:rFonts w:cs="Arial"/>
          <w:sz w:val="22"/>
          <w:szCs w:val="22"/>
        </w:rPr>
        <w:t xml:space="preserve">  The customer satisfaction score for 2018 was the highest of any water company and was the second placed utility.</w:t>
      </w:r>
      <w:r w:rsidRPr="00F318A8">
        <w:rPr>
          <w:rFonts w:cs="Arial"/>
          <w:sz w:val="22"/>
          <w:szCs w:val="22"/>
        </w:rPr>
        <w:t xml:space="preserve">  Through this process, we also receive a trust score in the Institute’s surveys that demonstrates our customers have a high level of trust in our business and retaining and improving this score is of fundamental importance to the full Board. An Independent NED has been present at every CCG, since the PR19 process started. </w:t>
      </w:r>
    </w:p>
    <w:p w:rsidR="00360D5C" w:rsidRPr="00F318A8" w:rsidRDefault="00360D5C" w:rsidP="00360D5C">
      <w:pPr>
        <w:rPr>
          <w:rFonts w:cs="Arial"/>
          <w:sz w:val="22"/>
          <w:szCs w:val="22"/>
        </w:rPr>
      </w:pPr>
      <w:r w:rsidRPr="00F318A8">
        <w:rPr>
          <w:rFonts w:cs="Arial"/>
          <w:sz w:val="22"/>
          <w:szCs w:val="22"/>
        </w:rPr>
        <w:t>The Board has reviewed specific research on financial matters, including the support for a specific company adjustment and how much they are prepared to adjust bills to finance our capital programme.  This is evidenced in the minutes and papers presented to the Board. The Dividend policy set by the Board during AMP6 has been responsible and well within the level modelled by Ofwat at PR14 and its policy for AMP7 onwards is clearly set out in the Business Plan with a base level of 5% of Regulatory Equity which will be subject to satisfactory delivery against our performance commitments.  Portsmouth Water has a transparent approach to executive pay, with the performance related elements based primarily on satisfactory delivery against a wide range of customer performance metrics and this process will continue in AMP7.</w:t>
      </w:r>
    </w:p>
    <w:p w:rsidR="00360D5C" w:rsidRPr="00F318A8" w:rsidRDefault="00360D5C" w:rsidP="00360D5C">
      <w:pPr>
        <w:rPr>
          <w:rFonts w:cs="Arial"/>
          <w:sz w:val="22"/>
          <w:szCs w:val="22"/>
        </w:rPr>
      </w:pPr>
      <w:r w:rsidRPr="00F318A8">
        <w:rPr>
          <w:rFonts w:cs="Arial"/>
          <w:sz w:val="22"/>
          <w:szCs w:val="22"/>
        </w:rPr>
        <w:t xml:space="preserve">Although gearing levels set out in the plan are well below 70% an out-performance sharing mechanism will be included.  Portsmouth Water has a simple corporate structure that is explained clearly to our customers and has never used complex offshore structures in its financing.  This will continue into AMP7 and our new shareholders are investing long-term, index-linked pension liabilities with long-term index-linked assets.  In order to ensure the long-term financial resilience of the Company, the shareholders are making significant </w:t>
      </w:r>
      <w:r w:rsidR="00307E0E">
        <w:rPr>
          <w:rFonts w:cs="Arial"/>
          <w:sz w:val="22"/>
          <w:szCs w:val="22"/>
        </w:rPr>
        <w:t xml:space="preserve">capital injections </w:t>
      </w:r>
      <w:r w:rsidRPr="00F318A8">
        <w:rPr>
          <w:rFonts w:cs="Arial"/>
          <w:sz w:val="22"/>
          <w:szCs w:val="22"/>
        </w:rPr>
        <w:t>during AMP7 to ensure the Company will be resilient in the long-term.</w:t>
      </w:r>
    </w:p>
    <w:p w:rsidR="00360D5C" w:rsidRPr="00F318A8" w:rsidRDefault="00360D5C" w:rsidP="00360D5C">
      <w:pPr>
        <w:rPr>
          <w:rFonts w:cs="Arial"/>
          <w:b/>
          <w:sz w:val="22"/>
          <w:szCs w:val="22"/>
          <w:u w:val="single"/>
        </w:rPr>
      </w:pPr>
      <w:r w:rsidRPr="00F318A8">
        <w:rPr>
          <w:rFonts w:cs="Arial"/>
          <w:b/>
          <w:sz w:val="22"/>
          <w:szCs w:val="22"/>
          <w:u w:val="single"/>
        </w:rPr>
        <w:t>How has the Board provided ownership of the overall strategy and direction of the plan in the long term?</w:t>
      </w:r>
    </w:p>
    <w:p w:rsidR="00360D5C" w:rsidRPr="00F318A8" w:rsidRDefault="00360D5C" w:rsidP="00360D5C">
      <w:pPr>
        <w:rPr>
          <w:rFonts w:cs="Arial"/>
          <w:sz w:val="22"/>
          <w:szCs w:val="22"/>
        </w:rPr>
      </w:pPr>
      <w:r w:rsidRPr="00F318A8">
        <w:rPr>
          <w:rFonts w:cs="Arial"/>
          <w:sz w:val="22"/>
          <w:szCs w:val="22"/>
        </w:rPr>
        <w:t>The Board’s strategy is set out above and was established early in the process and was designed to maintain excellent customer service at an affordable price whilst meeting the challenges set by Government in terms of resilience for its own customers and the South East generally.  As the Board progressed the Plan, it ensured that the performance commitments and the ODIs were consistent with this strategy.</w:t>
      </w:r>
    </w:p>
    <w:p w:rsidR="00360D5C" w:rsidRPr="00F318A8" w:rsidRDefault="00360D5C" w:rsidP="00360D5C">
      <w:pPr>
        <w:rPr>
          <w:rFonts w:cs="Arial"/>
          <w:sz w:val="22"/>
          <w:szCs w:val="22"/>
        </w:rPr>
      </w:pPr>
      <w:r w:rsidRPr="00F318A8">
        <w:rPr>
          <w:rFonts w:cs="Arial"/>
          <w:sz w:val="22"/>
          <w:szCs w:val="22"/>
        </w:rPr>
        <w:t xml:space="preserve">A clear example of the Board’s ownership of overall strategy and direction at all times and not just as part of the Business Plan process is the decision taken in January 2016 to exit the non-household retail market, so that we could concentrate on further improving our services as a wholesaler and provider of household retail services </w:t>
      </w:r>
    </w:p>
    <w:p w:rsidR="00360D5C" w:rsidRPr="00F318A8" w:rsidRDefault="00360D5C" w:rsidP="00360D5C">
      <w:pPr>
        <w:rPr>
          <w:rFonts w:cs="Arial"/>
          <w:b/>
          <w:sz w:val="22"/>
          <w:szCs w:val="22"/>
        </w:rPr>
      </w:pPr>
      <w:r w:rsidRPr="00F318A8">
        <w:rPr>
          <w:rFonts w:cs="Arial"/>
          <w:b/>
          <w:sz w:val="22"/>
          <w:szCs w:val="22"/>
        </w:rPr>
        <w:t>Board Challenges</w:t>
      </w:r>
    </w:p>
    <w:p w:rsidR="00360D5C" w:rsidRPr="00F318A8" w:rsidRDefault="00360D5C" w:rsidP="00360D5C">
      <w:pPr>
        <w:rPr>
          <w:rFonts w:cs="Arial"/>
          <w:sz w:val="22"/>
          <w:szCs w:val="22"/>
        </w:rPr>
      </w:pPr>
      <w:r w:rsidRPr="00F318A8">
        <w:rPr>
          <w:rFonts w:cs="Arial"/>
          <w:sz w:val="22"/>
          <w:szCs w:val="22"/>
        </w:rPr>
        <w:t>The Board has continued to challenge the Executive and the interpretation of the research to ensure that the plan delivers the key strategic priorities for Government and Ofwat’s key themes for PR19. It has used the independent expert reviews of aspects of the plan, to challenge the evidence of what was proposed, in some cases asking for further research and as a result, in some cases, made changes to the plan. It has challenged in many areas and we show below examples that have had a significant impact on the plan:</w:t>
      </w:r>
    </w:p>
    <w:p w:rsidR="00360D5C" w:rsidRPr="00F318A8" w:rsidRDefault="00360D5C" w:rsidP="00360D5C">
      <w:pPr>
        <w:pStyle w:val="Bullets"/>
        <w:rPr>
          <w:rFonts w:cs="Arial"/>
          <w:sz w:val="22"/>
          <w:szCs w:val="22"/>
        </w:rPr>
      </w:pPr>
      <w:r w:rsidRPr="00F318A8">
        <w:rPr>
          <w:rFonts w:cs="Arial"/>
          <w:sz w:val="22"/>
          <w:szCs w:val="22"/>
        </w:rPr>
        <w:t>Although research showed that customers were happy with current performance in a number of the common performance commitments (PC’s), particularly where we were already in the top quartile, the board asked that further testing be done, and as a result of this work and partly in response to expert opinion, a number of PC’s were stretched. These included Interruptions to supply and vulnerability.</w:t>
      </w:r>
    </w:p>
    <w:p w:rsidR="00360D5C" w:rsidRPr="00F318A8" w:rsidRDefault="00360D5C" w:rsidP="00360D5C">
      <w:pPr>
        <w:pStyle w:val="Bullets"/>
        <w:rPr>
          <w:rFonts w:cs="Arial"/>
          <w:sz w:val="22"/>
          <w:szCs w:val="22"/>
        </w:rPr>
      </w:pPr>
      <w:r w:rsidRPr="00F318A8">
        <w:rPr>
          <w:rFonts w:cs="Arial"/>
          <w:sz w:val="22"/>
          <w:szCs w:val="22"/>
        </w:rPr>
        <w:t>There was little support in our research for the Company to be rewarded for out-performance and the result was not consistent with the range of 1 to 3% of RoRE. Having considered the research the Board took the view that a key objective of PR19 was to move the frontier of performance for the industry and decided to include extended rewards if the Company achieved very stretching or industry leading targets on certain performance commitments. These were in the outcomes that customers felt were a priority.</w:t>
      </w:r>
    </w:p>
    <w:p w:rsidR="00360D5C" w:rsidRPr="00F318A8" w:rsidRDefault="00360D5C" w:rsidP="00360D5C">
      <w:pPr>
        <w:pStyle w:val="Bullets"/>
        <w:rPr>
          <w:rFonts w:cs="Arial"/>
          <w:sz w:val="22"/>
          <w:szCs w:val="22"/>
        </w:rPr>
      </w:pPr>
      <w:r w:rsidRPr="00F318A8">
        <w:rPr>
          <w:rFonts w:cs="Arial"/>
          <w:sz w:val="22"/>
          <w:szCs w:val="22"/>
        </w:rPr>
        <w:t>An independent review of the evidence for the proposed mains renewals strategy suggested that one assumption could have been treated in an alternative manner and possibly changed the overall resulting level of renewals. The Board asked for the analysis to be recalculated with this change in assumption. This resulted in an increase in renewals activity to maintain stable burst rates and the Board decided to accept this change in the interests of resilience.</w:t>
      </w:r>
    </w:p>
    <w:p w:rsidR="00360D5C" w:rsidRPr="00F318A8" w:rsidRDefault="00360D5C" w:rsidP="00360D5C">
      <w:pPr>
        <w:pStyle w:val="Bullets"/>
        <w:rPr>
          <w:rFonts w:cs="Arial"/>
          <w:sz w:val="22"/>
          <w:szCs w:val="22"/>
        </w:rPr>
      </w:pPr>
      <w:r w:rsidRPr="00F318A8">
        <w:rPr>
          <w:rFonts w:cs="Arial"/>
          <w:sz w:val="22"/>
          <w:szCs w:val="22"/>
        </w:rPr>
        <w:t>Our customer research has generally supported that those who can benefit from a switch to a measured charge should be able to do so, but do not support compulsory change through change of occupier. It was clear to the Board that reducing Per-Capita Consumption is a key component of the Government’s strategy and this was repeated in the Minister of State’s letter in response to the Company’s Water Resource Management Plan (WRMP). In recognition of this, some further research was undertaken, and the Board decided to include some change of occupier metering within the plan for AMP7 and commit to further promoting the benefits such that it can get customer support for full change of occupier metering in AMP8. Please note the Board’s preferred approach is for the Government to enact legislation to allow us to compulsory meter where it is possible. Defra were approached in 2017 for this change to be used in the WRMP 19, but we were advised that this was not possible in this timeframe.</w:t>
      </w:r>
    </w:p>
    <w:p w:rsidR="00360D5C" w:rsidRPr="00F318A8" w:rsidRDefault="00360D5C" w:rsidP="00360D5C">
      <w:pPr>
        <w:pStyle w:val="Bullets"/>
        <w:rPr>
          <w:rFonts w:cs="Arial"/>
          <w:sz w:val="22"/>
          <w:szCs w:val="22"/>
        </w:rPr>
      </w:pPr>
      <w:r w:rsidRPr="00F318A8">
        <w:rPr>
          <w:rFonts w:cs="Arial"/>
          <w:sz w:val="22"/>
          <w:szCs w:val="22"/>
        </w:rPr>
        <w:t>The Board encouraged the Executive Management to look for innovative solutions to issues faced by the company and this has been reflected in the approach to reducing leakage and metering as key examples.</w:t>
      </w:r>
    </w:p>
    <w:p w:rsidR="00360D5C" w:rsidRPr="00F318A8" w:rsidRDefault="00360D5C" w:rsidP="00360D5C">
      <w:pPr>
        <w:pStyle w:val="Bullets"/>
        <w:numPr>
          <w:ilvl w:val="0"/>
          <w:numId w:val="0"/>
        </w:numPr>
        <w:ind w:left="1848"/>
        <w:rPr>
          <w:rFonts w:cs="Arial"/>
          <w:sz w:val="22"/>
          <w:szCs w:val="22"/>
        </w:rPr>
      </w:pPr>
    </w:p>
    <w:p w:rsidR="00360D5C" w:rsidRPr="00F318A8" w:rsidRDefault="00360D5C" w:rsidP="00360D5C">
      <w:pPr>
        <w:rPr>
          <w:rFonts w:cs="Arial"/>
          <w:b/>
          <w:sz w:val="22"/>
          <w:szCs w:val="22"/>
        </w:rPr>
      </w:pPr>
      <w:r w:rsidRPr="00F318A8">
        <w:rPr>
          <w:rFonts w:cs="Arial"/>
          <w:b/>
          <w:sz w:val="22"/>
          <w:szCs w:val="22"/>
        </w:rPr>
        <w:t>Customer Engagement</w:t>
      </w:r>
    </w:p>
    <w:p w:rsidR="00360D5C" w:rsidRPr="00F318A8" w:rsidRDefault="00360D5C" w:rsidP="00360D5C">
      <w:pPr>
        <w:rPr>
          <w:rFonts w:cs="Arial"/>
          <w:sz w:val="22"/>
          <w:szCs w:val="22"/>
        </w:rPr>
      </w:pPr>
      <w:r w:rsidRPr="00F318A8">
        <w:rPr>
          <w:rFonts w:cs="Arial"/>
          <w:sz w:val="22"/>
          <w:szCs w:val="22"/>
        </w:rPr>
        <w:t xml:space="preserve">At each meeting the Board receives a paper summarising all the research activity undertaken and to be undertaken and have received papers explaining the outcome and conclusions from all of the Customer Research undertaken. They have also received, at several meetings, for discussion a paper summarising the thread of how the Outcomes, Performance commitments, and ODI’s have been evidenced and derived from the research, including triangulation. This has been updated for each piece of new research. </w:t>
      </w:r>
    </w:p>
    <w:p w:rsidR="00360D5C" w:rsidRPr="00F318A8" w:rsidRDefault="00360D5C" w:rsidP="00360D5C">
      <w:pPr>
        <w:rPr>
          <w:rFonts w:cs="Arial"/>
          <w:sz w:val="22"/>
          <w:szCs w:val="22"/>
        </w:rPr>
      </w:pPr>
      <w:r w:rsidRPr="00F318A8">
        <w:rPr>
          <w:rFonts w:cs="Arial"/>
          <w:sz w:val="22"/>
          <w:szCs w:val="22"/>
        </w:rPr>
        <w:t>As noted above, the Board have fully recognised the feedback from the CCG, with an Independent Director attending every CCG and full access to the Board for the CCG chair made available. The CCG chair has met the whole Board on three occasions this year.  The Board were fully briefed on the outstanding CCG issues in June and July and are confident these have been addressed.  During the process the Board have reflected on the issues raised by the CCG, particularly metering, leakage and stretch targets and have made changes to the Plan.</w:t>
      </w:r>
    </w:p>
    <w:p w:rsidR="00360D5C" w:rsidRPr="00F318A8" w:rsidRDefault="00360D5C" w:rsidP="00360D5C">
      <w:pPr>
        <w:rPr>
          <w:rFonts w:cs="Arial"/>
          <w:sz w:val="22"/>
          <w:szCs w:val="22"/>
        </w:rPr>
      </w:pPr>
      <w:r w:rsidRPr="00F318A8">
        <w:rPr>
          <w:rFonts w:cs="Arial"/>
          <w:sz w:val="22"/>
          <w:szCs w:val="22"/>
        </w:rPr>
        <w:t>The Board also meets regularly with the regional Chair of CCW to discuss company specific and industry issues.</w:t>
      </w:r>
    </w:p>
    <w:p w:rsidR="00360D5C" w:rsidRPr="00F318A8" w:rsidRDefault="00360D5C" w:rsidP="00360D5C">
      <w:pPr>
        <w:rPr>
          <w:rFonts w:cs="Arial"/>
          <w:sz w:val="22"/>
          <w:szCs w:val="22"/>
        </w:rPr>
      </w:pPr>
      <w:r w:rsidRPr="00F318A8">
        <w:rPr>
          <w:rFonts w:cs="Arial"/>
          <w:sz w:val="22"/>
          <w:szCs w:val="22"/>
        </w:rPr>
        <w:t>Feedback from customers is a key feature of every meeting and the Board receive a summary of every complaint and letter of thanks.</w:t>
      </w:r>
    </w:p>
    <w:p w:rsidR="00360D5C" w:rsidRPr="00F318A8" w:rsidRDefault="00360D5C" w:rsidP="00360D5C">
      <w:pPr>
        <w:rPr>
          <w:rFonts w:cs="Arial"/>
          <w:sz w:val="22"/>
          <w:szCs w:val="22"/>
        </w:rPr>
      </w:pPr>
      <w:r w:rsidRPr="00F318A8">
        <w:rPr>
          <w:rFonts w:cs="Arial"/>
          <w:sz w:val="22"/>
          <w:szCs w:val="22"/>
        </w:rPr>
        <w:t>The Board believes that the Business plan has been fully informed by the customer engagement undertaken and reflects feedback from the CCG.</w:t>
      </w:r>
    </w:p>
    <w:p w:rsidR="00360D5C" w:rsidRPr="00F318A8" w:rsidRDefault="00360D5C" w:rsidP="00360D5C">
      <w:pPr>
        <w:rPr>
          <w:rFonts w:cs="Arial"/>
          <w:b/>
          <w:sz w:val="22"/>
          <w:szCs w:val="22"/>
        </w:rPr>
      </w:pPr>
      <w:r w:rsidRPr="00F318A8">
        <w:rPr>
          <w:rFonts w:cs="Arial"/>
          <w:b/>
          <w:sz w:val="22"/>
          <w:szCs w:val="22"/>
        </w:rPr>
        <w:t>Affordability</w:t>
      </w:r>
    </w:p>
    <w:p w:rsidR="00360D5C" w:rsidRPr="00F318A8" w:rsidRDefault="00360D5C" w:rsidP="00360D5C">
      <w:pPr>
        <w:rPr>
          <w:rFonts w:cs="Arial"/>
          <w:sz w:val="22"/>
          <w:szCs w:val="22"/>
        </w:rPr>
      </w:pPr>
      <w:r w:rsidRPr="00F318A8">
        <w:rPr>
          <w:rFonts w:cs="Arial"/>
          <w:sz w:val="22"/>
          <w:szCs w:val="22"/>
        </w:rPr>
        <w:t xml:space="preserve">The Board have considered the proposed average bill and social tariff against national average household income and the Government threshold for a low-income household. It has done this comparison on Portsmouth Water charges alone and with Southern Water charges for wastewater. The combined average bill and combined social tariff are well below the threshold for water poverty and the Portsmouth Water bill is only one third of the waste water bill. In addition, at the June meeting the Independent NED’s asked to see comparisons of recent bills changes with energy and Council Tax. These compared very favourably. </w:t>
      </w:r>
    </w:p>
    <w:p w:rsidR="00360D5C" w:rsidRPr="00F318A8" w:rsidRDefault="00360D5C" w:rsidP="00360D5C">
      <w:pPr>
        <w:rPr>
          <w:rFonts w:cs="Arial"/>
          <w:sz w:val="22"/>
          <w:szCs w:val="22"/>
        </w:rPr>
      </w:pPr>
      <w:r w:rsidRPr="00F318A8">
        <w:rPr>
          <w:rFonts w:cs="Arial"/>
          <w:sz w:val="22"/>
          <w:szCs w:val="22"/>
        </w:rPr>
        <w:t xml:space="preserve">The Board therefore considers that its bill levels arising from its Business plan is the most affordable in the industry and affordable for almost all of its customers. It recognises that the key task is to make sure everyone is made aware of the social tariff and the payment options available. </w:t>
      </w:r>
    </w:p>
    <w:p w:rsidR="00360D5C" w:rsidRPr="00F318A8" w:rsidRDefault="00360D5C" w:rsidP="00360D5C">
      <w:pPr>
        <w:rPr>
          <w:rFonts w:cs="Arial"/>
          <w:b/>
          <w:sz w:val="22"/>
          <w:szCs w:val="22"/>
        </w:rPr>
      </w:pPr>
      <w:r w:rsidRPr="00F318A8">
        <w:rPr>
          <w:rFonts w:cs="Arial"/>
          <w:b/>
          <w:sz w:val="22"/>
          <w:szCs w:val="22"/>
        </w:rPr>
        <w:t>Outcomes</w:t>
      </w:r>
    </w:p>
    <w:p w:rsidR="00360D5C" w:rsidRPr="00F318A8" w:rsidRDefault="00360D5C" w:rsidP="00360D5C">
      <w:pPr>
        <w:rPr>
          <w:rFonts w:cs="Arial"/>
          <w:sz w:val="22"/>
          <w:szCs w:val="22"/>
        </w:rPr>
      </w:pPr>
      <w:r w:rsidRPr="00F318A8">
        <w:rPr>
          <w:rFonts w:cs="Arial"/>
          <w:sz w:val="22"/>
          <w:szCs w:val="22"/>
        </w:rPr>
        <w:t>The Board has considered a paper summarising the PR19 key delivery risks and mitigation plans, including the potential range of customer and financial impacts.  Monitoring of the outcomes and PC’s established at PR19 and the key delivery risks will be standard items on the Board agenda. They will also form part of the weekly review of operations by senior managers in the company. These items will also form a large element of Executive Director bonuses from 2020.</w:t>
      </w:r>
    </w:p>
    <w:p w:rsidR="00360D5C" w:rsidRPr="00F318A8" w:rsidRDefault="00360D5C" w:rsidP="00360D5C">
      <w:pPr>
        <w:rPr>
          <w:rFonts w:cs="Arial"/>
          <w:sz w:val="22"/>
          <w:szCs w:val="22"/>
        </w:rPr>
      </w:pPr>
      <w:r w:rsidRPr="00F318A8">
        <w:rPr>
          <w:rFonts w:cs="Arial"/>
          <w:sz w:val="22"/>
          <w:szCs w:val="22"/>
        </w:rPr>
        <w:t>After reviewing and challenging the key risks and mitigation and challenging Executives, the Board is confident that by driving efficiency and embracing innovation, it will deliver its Outcomes and Performance Commitments contained in the plan.</w:t>
      </w:r>
    </w:p>
    <w:p w:rsidR="00360D5C" w:rsidRPr="00F318A8" w:rsidRDefault="00360D5C" w:rsidP="00360D5C">
      <w:pPr>
        <w:rPr>
          <w:rFonts w:cs="Arial"/>
          <w:sz w:val="22"/>
          <w:szCs w:val="22"/>
        </w:rPr>
      </w:pPr>
      <w:r w:rsidRPr="00F318A8">
        <w:rPr>
          <w:rFonts w:cs="Arial"/>
          <w:sz w:val="22"/>
          <w:szCs w:val="22"/>
        </w:rPr>
        <w:t>As noted above, the Board has reviewed the customer research, taken account of CCG views and challenged using expert opinion whether the ODI’s are stretching. In some cases, the Board have set higher performance commitments than is indicated by the customer research.  It therefore considers that the proposed outcomes, PC’s and ODI’s reflect customer preferences and are stretching.</w:t>
      </w:r>
    </w:p>
    <w:p w:rsidR="00360D5C" w:rsidRPr="00F318A8" w:rsidRDefault="00360D5C" w:rsidP="00360D5C">
      <w:pPr>
        <w:rPr>
          <w:rFonts w:cs="Arial"/>
          <w:sz w:val="22"/>
          <w:szCs w:val="22"/>
        </w:rPr>
      </w:pPr>
      <w:r w:rsidRPr="00F318A8">
        <w:rPr>
          <w:rFonts w:cs="Arial"/>
          <w:sz w:val="22"/>
          <w:szCs w:val="22"/>
        </w:rPr>
        <w:t>Throughout the current AMP, performance against key ODI’s are reviewed at every Board meeting and, where necessary, appropriate corrective actions discussed and agreed.  The Board have reviewed and accepted a proposal for reporting on its performance commitments and ODI’s for the next AMP. This CCG would continue to play a part in this process. The board endorsed the proposed approach, which will be a continuation of the current process, with a review of performance against key ODIs at every Board meeting.</w:t>
      </w:r>
    </w:p>
    <w:p w:rsidR="00360D5C" w:rsidRPr="00F318A8" w:rsidRDefault="00360D5C" w:rsidP="00360D5C">
      <w:pPr>
        <w:rPr>
          <w:rFonts w:cs="Arial"/>
          <w:b/>
          <w:sz w:val="22"/>
          <w:szCs w:val="22"/>
        </w:rPr>
      </w:pPr>
      <w:r w:rsidRPr="00F318A8">
        <w:rPr>
          <w:rFonts w:cs="Arial"/>
          <w:b/>
          <w:sz w:val="22"/>
          <w:szCs w:val="22"/>
        </w:rPr>
        <w:t>Resilience</w:t>
      </w:r>
    </w:p>
    <w:p w:rsidR="00360D5C" w:rsidRPr="00F318A8" w:rsidRDefault="00360D5C" w:rsidP="00360D5C">
      <w:pPr>
        <w:rPr>
          <w:rFonts w:cs="Arial"/>
          <w:sz w:val="22"/>
          <w:szCs w:val="22"/>
        </w:rPr>
      </w:pPr>
      <w:r w:rsidRPr="00F318A8">
        <w:rPr>
          <w:rFonts w:cs="Arial"/>
          <w:sz w:val="22"/>
          <w:szCs w:val="22"/>
        </w:rPr>
        <w:t>The Company has built a resilient supply and water resource network over many years and the resilience study undertaken in AMP6 has confirmed this. In addition, the Board has sought to embed risk management into its day-to-day activities and reviews its risks on a quarterly basis. It has procedures in place to identify trends in performance and to react to events and incidents.</w:t>
      </w:r>
    </w:p>
    <w:p w:rsidR="00360D5C" w:rsidRDefault="00360D5C" w:rsidP="00360D5C">
      <w:pPr>
        <w:rPr>
          <w:rFonts w:cs="Arial"/>
          <w:sz w:val="22"/>
          <w:szCs w:val="22"/>
        </w:rPr>
      </w:pPr>
      <w:r w:rsidRPr="00F318A8">
        <w:rPr>
          <w:rFonts w:cs="Arial"/>
          <w:sz w:val="22"/>
          <w:szCs w:val="22"/>
        </w:rPr>
        <w:t xml:space="preserve">For the Business Plan the Board </w:t>
      </w:r>
      <w:r w:rsidR="009666E7">
        <w:rPr>
          <w:rFonts w:cs="Arial"/>
          <w:sz w:val="22"/>
          <w:szCs w:val="22"/>
        </w:rPr>
        <w:t xml:space="preserve">conducted a thorough review of </w:t>
      </w:r>
      <w:r w:rsidRPr="00F318A8">
        <w:rPr>
          <w:rFonts w:cs="Arial"/>
          <w:sz w:val="22"/>
          <w:szCs w:val="22"/>
        </w:rPr>
        <w:t>this risk analysis in relation to fulfilling its statutory duties and responsibilities and meeting customer expectations and how resilient the business was against them, including its response and recovery should they occur. In AMP6 (included in the PR14 Plan) the Board approved a study to consider its key risks and potential single and multiple points of failure in the supply network and the outcomes of this work are a key part of the plan. The Water Resource Management Plan is a key element in ensuring that we have resilient water resources in the long-term and the key components have been independently produced by third parties.  We also have a robust and well tested Emergency Plan for when incidents do occur, most recently used in the “Beast from the East” event, when, despite a very rapid thaw, only a very small number of customers were affected for a short duration.</w:t>
      </w:r>
    </w:p>
    <w:p w:rsidR="00ED7449" w:rsidRPr="00464C07" w:rsidRDefault="00ED7449" w:rsidP="00360D5C">
      <w:pPr>
        <w:rPr>
          <w:rFonts w:cs="Arial"/>
          <w:sz w:val="22"/>
          <w:szCs w:val="22"/>
        </w:rPr>
      </w:pPr>
      <w:r w:rsidRPr="00464C07">
        <w:rPr>
          <w:sz w:val="22"/>
          <w:szCs w:val="22"/>
        </w:rPr>
        <w:t>Through its governance processes, the Board is confident it has the people, processes &amp; systems, assets, plans and financing to enable the delivery of the Plan and longer-term business objectives under a wide variety of adverse scenarios.</w:t>
      </w:r>
    </w:p>
    <w:p w:rsidR="00360D5C" w:rsidRPr="00F318A8" w:rsidRDefault="00360D5C" w:rsidP="00360D5C">
      <w:pPr>
        <w:rPr>
          <w:rFonts w:cs="Arial"/>
          <w:sz w:val="22"/>
          <w:szCs w:val="22"/>
        </w:rPr>
      </w:pPr>
      <w:r w:rsidRPr="00F318A8">
        <w:rPr>
          <w:rFonts w:cs="Arial"/>
          <w:sz w:val="22"/>
          <w:szCs w:val="22"/>
        </w:rPr>
        <w:t>The Board have approved a Water Resource Management Plan that will ensure resilient water supplies in a 1 in 200-year drought until at least 2045.  This Plan allows for the provision of bulk supplies to Southern Water Services and includes the construction of a winter storage reservoir.</w:t>
      </w:r>
    </w:p>
    <w:p w:rsidR="00360D5C" w:rsidRPr="00F318A8" w:rsidRDefault="00360D5C" w:rsidP="00360D5C">
      <w:pPr>
        <w:rPr>
          <w:rFonts w:cs="Arial"/>
          <w:sz w:val="22"/>
          <w:szCs w:val="22"/>
        </w:rPr>
      </w:pPr>
      <w:r w:rsidRPr="00F318A8">
        <w:rPr>
          <w:rFonts w:cs="Arial"/>
          <w:sz w:val="22"/>
          <w:szCs w:val="22"/>
        </w:rPr>
        <w:t>The Havant Thicket Winter Storage Reservoir scheme represents a major investment for the Company and a significant management challenge. To address this the board has approved the appointment of a specialist consulting and cost engineering company with specific experience in this type of project to ensure that it can assure the delivery of all aspects on this project in a timely and cost-effective manner.</w:t>
      </w:r>
    </w:p>
    <w:p w:rsidR="00360D5C" w:rsidRPr="00F318A8" w:rsidRDefault="00360D5C" w:rsidP="00360D5C">
      <w:pPr>
        <w:rPr>
          <w:rFonts w:cs="Arial"/>
          <w:sz w:val="22"/>
          <w:szCs w:val="22"/>
        </w:rPr>
      </w:pPr>
      <w:r w:rsidRPr="00F318A8">
        <w:rPr>
          <w:rFonts w:cs="Arial"/>
          <w:sz w:val="22"/>
          <w:szCs w:val="22"/>
        </w:rPr>
        <w:t>A standing item on the Board agenda is a review of the Company’s ability to withstand and recover from cyber-attacks and to ensure that its protection is up-to-date.</w:t>
      </w:r>
    </w:p>
    <w:p w:rsidR="00360D5C" w:rsidRPr="00F318A8" w:rsidRDefault="00360D5C" w:rsidP="00360D5C">
      <w:pPr>
        <w:rPr>
          <w:rFonts w:cs="Arial"/>
          <w:sz w:val="22"/>
          <w:szCs w:val="22"/>
        </w:rPr>
      </w:pPr>
      <w:r w:rsidRPr="00F318A8">
        <w:rPr>
          <w:rFonts w:cs="Arial"/>
          <w:sz w:val="22"/>
          <w:szCs w:val="22"/>
        </w:rPr>
        <w:t>The Board has conducted a robust assessment of its financial strength and viability, to ensure it can withstand a range of events.  An Independent Non-Executive Director has undertaken a deep dive assessment of our resilience, both currently and for the future.</w:t>
      </w:r>
    </w:p>
    <w:p w:rsidR="00360D5C" w:rsidRPr="00F318A8" w:rsidRDefault="00360D5C" w:rsidP="00360D5C">
      <w:pPr>
        <w:rPr>
          <w:rFonts w:cs="Arial"/>
          <w:sz w:val="22"/>
          <w:szCs w:val="22"/>
        </w:rPr>
      </w:pPr>
      <w:r w:rsidRPr="00F318A8">
        <w:rPr>
          <w:rFonts w:cs="Arial"/>
          <w:sz w:val="22"/>
          <w:szCs w:val="22"/>
        </w:rPr>
        <w:t>The Board considers, therefore, that its Business Plan is informed by a robust and systematic assessment of the company’s systems and services.</w:t>
      </w:r>
    </w:p>
    <w:p w:rsidR="00360D5C" w:rsidRPr="00F318A8" w:rsidRDefault="00360D5C" w:rsidP="00360D5C">
      <w:pPr>
        <w:rPr>
          <w:rFonts w:cs="Arial"/>
          <w:sz w:val="22"/>
          <w:szCs w:val="22"/>
        </w:rPr>
      </w:pPr>
      <w:r w:rsidRPr="00F318A8">
        <w:rPr>
          <w:rFonts w:cs="Arial"/>
          <w:sz w:val="22"/>
          <w:szCs w:val="22"/>
        </w:rPr>
        <w:t xml:space="preserve">Whilst starting from a high base level, we are proposing to make several interventions on resilience in PR19 to improve resilience to raw water quality issues and to enable further bulk supplies of water. An option assessment on all these interventions was conducted and reviewed by the Board. The Board also considered feedback from the DWI on water quality schemes.  It was satisfied that the options chosen were in the customers’ best interests. </w:t>
      </w:r>
    </w:p>
    <w:p w:rsidR="00360D5C" w:rsidRPr="00F318A8" w:rsidRDefault="00360D5C" w:rsidP="00360D5C">
      <w:pPr>
        <w:rPr>
          <w:rFonts w:cs="Arial"/>
          <w:sz w:val="22"/>
          <w:szCs w:val="22"/>
        </w:rPr>
      </w:pPr>
      <w:r w:rsidRPr="00F318A8">
        <w:rPr>
          <w:rFonts w:cs="Arial"/>
          <w:sz w:val="22"/>
          <w:szCs w:val="22"/>
        </w:rPr>
        <w:t xml:space="preserve">From customer research on priorities the Board were clear that “a safe and secure water supply” was the highest priority for customers and it was therefore believed that its proposals in this area were supported. However, research was undertaken to test our specific proposals for resilience and a paper summarising this was presented to the Board. This paper was discussed and as a result the Board are confident that the Business Plan has been informed by customer views on resilience. </w:t>
      </w:r>
    </w:p>
    <w:p w:rsidR="00360D5C" w:rsidRPr="00F318A8" w:rsidRDefault="00360D5C" w:rsidP="00360D5C">
      <w:pPr>
        <w:rPr>
          <w:rFonts w:cs="Arial"/>
          <w:b/>
          <w:sz w:val="22"/>
          <w:szCs w:val="22"/>
        </w:rPr>
      </w:pPr>
      <w:r w:rsidRPr="00F318A8">
        <w:rPr>
          <w:rFonts w:cs="Arial"/>
          <w:b/>
          <w:sz w:val="22"/>
          <w:szCs w:val="22"/>
        </w:rPr>
        <w:t>Cost Assessments</w:t>
      </w:r>
    </w:p>
    <w:p w:rsidR="00360D5C" w:rsidRPr="00F318A8" w:rsidRDefault="00360D5C" w:rsidP="00360D5C">
      <w:pPr>
        <w:rPr>
          <w:rFonts w:cs="Arial"/>
          <w:sz w:val="22"/>
          <w:szCs w:val="22"/>
        </w:rPr>
      </w:pPr>
      <w:r w:rsidRPr="00F318A8">
        <w:rPr>
          <w:rFonts w:cs="Arial"/>
          <w:sz w:val="22"/>
          <w:szCs w:val="22"/>
        </w:rPr>
        <w:t>The Board reviewed the overall capital expenditure programme, considering a report from Atkins on the approach taken by the Company to achieve a cost effective programme including the benchmarking of costs. It also discussed this report with its author. The Board specifically challenged the levels of contingency in the costs and was reassured that these were acceptable.</w:t>
      </w:r>
    </w:p>
    <w:p w:rsidR="00360D5C" w:rsidRPr="00F318A8" w:rsidRDefault="00360D5C" w:rsidP="00360D5C">
      <w:pPr>
        <w:rPr>
          <w:rFonts w:cs="Arial"/>
          <w:sz w:val="22"/>
          <w:szCs w:val="22"/>
        </w:rPr>
      </w:pPr>
      <w:r w:rsidRPr="00F318A8">
        <w:rPr>
          <w:rFonts w:cs="Arial"/>
          <w:sz w:val="22"/>
          <w:szCs w:val="22"/>
        </w:rPr>
        <w:t>For Non-Infrastructure capital expenditure unit costs, an independent quantity surveyor and independent auditor were used to determine and review the costs. For Infrastructure, the actual Unit Rates used by the incumbent contractor was used. These were competitively tendered in 2015 and were regarded as efficient.</w:t>
      </w:r>
    </w:p>
    <w:p w:rsidR="00360D5C" w:rsidRPr="00F318A8" w:rsidRDefault="00360D5C" w:rsidP="00360D5C">
      <w:pPr>
        <w:rPr>
          <w:rFonts w:cs="Arial"/>
          <w:sz w:val="22"/>
          <w:szCs w:val="22"/>
        </w:rPr>
      </w:pPr>
      <w:r w:rsidRPr="00F318A8">
        <w:rPr>
          <w:rFonts w:cs="Arial"/>
          <w:sz w:val="22"/>
          <w:szCs w:val="22"/>
        </w:rPr>
        <w:t xml:space="preserve">The Board asked Oxera to conduct an analysis of the various potential Ofwat models </w:t>
      </w:r>
      <w:r w:rsidR="009666E7">
        <w:rPr>
          <w:rFonts w:cs="Arial"/>
          <w:sz w:val="22"/>
          <w:szCs w:val="22"/>
        </w:rPr>
        <w:t>to produce a forecast of our baseline Botex for AMP7.  The results of this work, after adjusting for controllable items, produced a range of £138m-£153m.  The Oxera analysis therefore suggests that the proposed Botex of £135m is likely to be better than upper quartile and that the Plan will meet Ofwat’s expectations in terms of cost challenge.</w:t>
      </w:r>
    </w:p>
    <w:p w:rsidR="00360D5C" w:rsidRPr="00F318A8" w:rsidRDefault="00360D5C" w:rsidP="00360D5C">
      <w:pPr>
        <w:rPr>
          <w:rFonts w:cs="Arial"/>
          <w:sz w:val="22"/>
          <w:szCs w:val="22"/>
        </w:rPr>
      </w:pPr>
      <w:r w:rsidRPr="00F318A8">
        <w:rPr>
          <w:rFonts w:cs="Arial"/>
          <w:sz w:val="22"/>
          <w:szCs w:val="22"/>
        </w:rPr>
        <w:t>The Board considers therefore that its expenditure forecasts are robust and efficient.</w:t>
      </w:r>
    </w:p>
    <w:p w:rsidR="00360D5C" w:rsidRPr="00F318A8" w:rsidRDefault="00360D5C" w:rsidP="00360D5C">
      <w:pPr>
        <w:rPr>
          <w:rFonts w:cs="Arial"/>
          <w:sz w:val="22"/>
          <w:szCs w:val="22"/>
        </w:rPr>
      </w:pPr>
      <w:r w:rsidRPr="00F318A8">
        <w:rPr>
          <w:rFonts w:cs="Arial"/>
          <w:sz w:val="22"/>
          <w:szCs w:val="22"/>
        </w:rPr>
        <w:t>The Company has one large investment proposal, a new reservoir which is supported by option appraisal carried out on behalf of the Company, by the Water Resources in the South East (WRSE) assessment and an analysis by PA Consulting.  Atkins has appraised the deliverability of the project and believe the costs are at P50 level.  PA consulting also conducted a review of whether the project should be considered as a DPC contract. The conclusion was that this was not the best way forward for customers.  The reservoir will be used to enable an additional bulk supply to Southern Water services and we are working in collaboration with them. They also conclude that this is the best approach to deliver for their customers. The Board therefore concluded that the proposal put forward in the Business Plan is the best one for the customers of both companies.</w:t>
      </w:r>
    </w:p>
    <w:p w:rsidR="00360D5C" w:rsidRPr="00F318A8" w:rsidRDefault="00360D5C" w:rsidP="00360D5C">
      <w:pPr>
        <w:rPr>
          <w:rFonts w:cs="Arial"/>
          <w:sz w:val="22"/>
          <w:szCs w:val="22"/>
        </w:rPr>
      </w:pPr>
      <w:r w:rsidRPr="00F318A8">
        <w:rPr>
          <w:rFonts w:cs="Arial"/>
          <w:sz w:val="22"/>
          <w:szCs w:val="22"/>
        </w:rPr>
        <w:t>Third party assurance has been received in relation to the data tables and supporting information (KPMG – Financial, Atkins – Non-Financial) and the Board have discussed findings with the relevant organisation.</w:t>
      </w:r>
    </w:p>
    <w:p w:rsidR="00360D5C" w:rsidRPr="00F318A8" w:rsidRDefault="00360D5C" w:rsidP="00360D5C">
      <w:pPr>
        <w:rPr>
          <w:rFonts w:cs="Arial"/>
          <w:b/>
          <w:sz w:val="22"/>
          <w:szCs w:val="22"/>
        </w:rPr>
      </w:pPr>
      <w:r w:rsidRPr="00F318A8">
        <w:rPr>
          <w:rFonts w:cs="Arial"/>
          <w:b/>
          <w:sz w:val="22"/>
          <w:szCs w:val="22"/>
        </w:rPr>
        <w:t>Risk and Return</w:t>
      </w:r>
    </w:p>
    <w:p w:rsidR="00360D5C" w:rsidRPr="00F318A8" w:rsidRDefault="00360D5C" w:rsidP="00360D5C">
      <w:pPr>
        <w:rPr>
          <w:rFonts w:cs="Arial"/>
          <w:sz w:val="22"/>
          <w:szCs w:val="22"/>
        </w:rPr>
      </w:pPr>
      <w:r w:rsidRPr="00F318A8">
        <w:rPr>
          <w:rFonts w:cs="Arial"/>
          <w:sz w:val="22"/>
          <w:szCs w:val="22"/>
        </w:rPr>
        <w:t>As identified under item under “Outcomes”, above, the Board has considered the key delivery risks and identified a range for the potential costs of failure including mitigation costs.  These costs together with potential rewards and penalties for performance on ODI’s have been included in the RoRE analysis. The Board has reviewed this work and can provide assurance that it has identified the risks associated with delivery of the plan and the risk mitigation plans in place are appropriate.</w:t>
      </w:r>
    </w:p>
    <w:p w:rsidR="00360D5C" w:rsidRPr="00F318A8" w:rsidRDefault="00360D5C" w:rsidP="00360D5C">
      <w:pPr>
        <w:rPr>
          <w:rFonts w:cs="Arial"/>
          <w:b/>
          <w:sz w:val="22"/>
          <w:szCs w:val="22"/>
        </w:rPr>
      </w:pPr>
      <w:r w:rsidRPr="00F318A8">
        <w:rPr>
          <w:rFonts w:cs="Arial"/>
          <w:b/>
          <w:sz w:val="22"/>
          <w:szCs w:val="22"/>
        </w:rPr>
        <w:t>Financeability</w:t>
      </w:r>
    </w:p>
    <w:p w:rsidR="00360D5C" w:rsidRPr="00F318A8" w:rsidRDefault="00360D5C" w:rsidP="00360D5C">
      <w:pPr>
        <w:rPr>
          <w:rFonts w:cs="Arial"/>
          <w:sz w:val="22"/>
          <w:szCs w:val="22"/>
        </w:rPr>
      </w:pPr>
      <w:r w:rsidRPr="00F318A8">
        <w:rPr>
          <w:rFonts w:cs="Arial"/>
          <w:sz w:val="22"/>
          <w:szCs w:val="22"/>
        </w:rPr>
        <w:t>The Board has considered Financeability on both a notional and actual structure basis and the steps taken</w:t>
      </w:r>
      <w:r w:rsidR="00307E0E">
        <w:rPr>
          <w:rFonts w:cs="Arial"/>
          <w:sz w:val="22"/>
          <w:szCs w:val="22"/>
        </w:rPr>
        <w:t xml:space="preserve"> and assumptions made</w:t>
      </w:r>
      <w:r w:rsidRPr="00F318A8">
        <w:rPr>
          <w:rFonts w:cs="Arial"/>
          <w:sz w:val="22"/>
          <w:szCs w:val="22"/>
        </w:rPr>
        <w:t xml:space="preserve"> to assess this are detailed in Chapter 11. </w:t>
      </w:r>
      <w:r w:rsidR="000B5977">
        <w:rPr>
          <w:rFonts w:cs="Arial"/>
          <w:sz w:val="22"/>
          <w:szCs w:val="22"/>
        </w:rPr>
        <w:t xml:space="preserve"> </w:t>
      </w:r>
      <w:r w:rsidRPr="00F318A8">
        <w:rPr>
          <w:rFonts w:cs="Arial"/>
          <w:sz w:val="22"/>
          <w:szCs w:val="22"/>
        </w:rPr>
        <w:t xml:space="preserve">The Board </w:t>
      </w:r>
      <w:r w:rsidR="000B5977">
        <w:rPr>
          <w:rFonts w:cs="Arial"/>
          <w:sz w:val="22"/>
          <w:szCs w:val="22"/>
        </w:rPr>
        <w:t>considered its approach to establishing whether the Company was financeable and agreed the process to be followed</w:t>
      </w:r>
      <w:r w:rsidR="00307E0E">
        <w:rPr>
          <w:rFonts w:cs="Arial"/>
          <w:sz w:val="22"/>
          <w:szCs w:val="22"/>
        </w:rPr>
        <w:t>.  The process is summarised below</w:t>
      </w:r>
      <w:r w:rsidRPr="00F318A8">
        <w:rPr>
          <w:rFonts w:cs="Arial"/>
          <w:sz w:val="22"/>
          <w:szCs w:val="22"/>
        </w:rPr>
        <w:t>:</w:t>
      </w:r>
    </w:p>
    <w:p w:rsidR="00360D5C" w:rsidRPr="00F318A8" w:rsidRDefault="00360D5C" w:rsidP="00360D5C">
      <w:pPr>
        <w:pStyle w:val="ListParagraph"/>
        <w:numPr>
          <w:ilvl w:val="0"/>
          <w:numId w:val="4"/>
        </w:numPr>
        <w:spacing w:after="0" w:line="240" w:lineRule="auto"/>
        <w:ind w:left="1570" w:hanging="357"/>
        <w:jc w:val="both"/>
        <w:rPr>
          <w:rFonts w:ascii="Arial" w:hAnsi="Arial" w:cs="Arial"/>
        </w:rPr>
      </w:pPr>
      <w:r w:rsidRPr="00F318A8">
        <w:rPr>
          <w:rFonts w:ascii="Arial" w:hAnsi="Arial" w:cs="Arial"/>
        </w:rPr>
        <w:t>The assessment would largely be based on Moody’s rating methodology in particular using their Adjusted Interest Cover ratio (AICR), as this is typically the ratio with the least headroom for us.</w:t>
      </w:r>
    </w:p>
    <w:p w:rsidR="00360D5C" w:rsidRPr="00F318A8" w:rsidRDefault="00360D5C" w:rsidP="00360D5C">
      <w:pPr>
        <w:pStyle w:val="ListParagraph"/>
        <w:numPr>
          <w:ilvl w:val="0"/>
          <w:numId w:val="4"/>
        </w:numPr>
        <w:spacing w:after="0" w:line="240" w:lineRule="auto"/>
        <w:ind w:left="1570" w:hanging="357"/>
        <w:jc w:val="both"/>
        <w:rPr>
          <w:rFonts w:ascii="Arial" w:hAnsi="Arial" w:cs="Arial"/>
        </w:rPr>
      </w:pPr>
      <w:r w:rsidRPr="00F318A8">
        <w:rPr>
          <w:rFonts w:ascii="Arial" w:hAnsi="Arial" w:cs="Arial"/>
        </w:rPr>
        <w:t>To decide what rating to target for the notional structure the we considered which Companies were most closely aligned with it. Two companies were identified Severn Trent and United Utilities and both ratings for the Appointed Business is A3.  This was chosen for the Notional Company.</w:t>
      </w:r>
    </w:p>
    <w:p w:rsidR="00360D5C" w:rsidRPr="00F318A8" w:rsidRDefault="00360D5C" w:rsidP="00360D5C">
      <w:pPr>
        <w:pStyle w:val="ListParagraph"/>
        <w:numPr>
          <w:ilvl w:val="0"/>
          <w:numId w:val="4"/>
        </w:numPr>
        <w:spacing w:after="0" w:line="240" w:lineRule="auto"/>
        <w:ind w:left="1570" w:hanging="357"/>
        <w:jc w:val="both"/>
        <w:rPr>
          <w:rFonts w:ascii="Arial" w:hAnsi="Arial" w:cs="Arial"/>
        </w:rPr>
      </w:pPr>
      <w:r w:rsidRPr="00F318A8">
        <w:rPr>
          <w:rFonts w:ascii="Arial" w:hAnsi="Arial" w:cs="Arial"/>
        </w:rPr>
        <w:t>The Company had been provided with an assessment by Moody’s on the adjusted interest cover and gearing ratios consistent with a rating. For A3 the AICR was 1.7 times and this was used as the target. It was determined that in the notional structure a combination of PAYG levers and equity would be used to achieve this ratio if necessary.</w:t>
      </w:r>
    </w:p>
    <w:p w:rsidR="00360D5C" w:rsidRPr="00F318A8" w:rsidRDefault="00360D5C" w:rsidP="00360D5C">
      <w:pPr>
        <w:pStyle w:val="ListParagraph"/>
        <w:numPr>
          <w:ilvl w:val="0"/>
          <w:numId w:val="4"/>
        </w:numPr>
        <w:spacing w:after="0" w:line="240" w:lineRule="auto"/>
        <w:ind w:left="1570" w:hanging="357"/>
        <w:jc w:val="both"/>
        <w:rPr>
          <w:rFonts w:ascii="Arial" w:hAnsi="Arial" w:cs="Arial"/>
        </w:rPr>
      </w:pPr>
      <w:r w:rsidRPr="00F318A8">
        <w:rPr>
          <w:rFonts w:ascii="Arial" w:hAnsi="Arial" w:cs="Arial"/>
        </w:rPr>
        <w:t>The resulting revenue would be put into the actual structure</w:t>
      </w:r>
    </w:p>
    <w:p w:rsidR="00360D5C" w:rsidRPr="00F318A8" w:rsidRDefault="00360D5C" w:rsidP="00360D5C">
      <w:pPr>
        <w:pStyle w:val="ListParagraph"/>
        <w:numPr>
          <w:ilvl w:val="0"/>
          <w:numId w:val="4"/>
        </w:numPr>
        <w:spacing w:after="0" w:line="240" w:lineRule="auto"/>
        <w:ind w:left="1570" w:hanging="357"/>
        <w:jc w:val="both"/>
        <w:rPr>
          <w:rFonts w:ascii="Arial" w:hAnsi="Arial" w:cs="Arial"/>
        </w:rPr>
      </w:pPr>
      <w:r w:rsidRPr="00F318A8">
        <w:rPr>
          <w:rFonts w:ascii="Arial" w:hAnsi="Arial" w:cs="Arial"/>
        </w:rPr>
        <w:t xml:space="preserve">It was agreed that on the actual structure an Investment Grade of Baa2 (Moody’s methodology), should be targeted. This is a notch lower than the current rating, but is a notch above the lowest investment grade and is practical given the lower WACC and the Company’s high actual cost of embedded debt. </w:t>
      </w:r>
    </w:p>
    <w:p w:rsidR="00360D5C" w:rsidRPr="00F318A8" w:rsidRDefault="00360D5C" w:rsidP="00360D5C">
      <w:pPr>
        <w:pStyle w:val="ListParagraph"/>
        <w:numPr>
          <w:ilvl w:val="0"/>
          <w:numId w:val="4"/>
        </w:numPr>
        <w:spacing w:after="0" w:line="240" w:lineRule="auto"/>
        <w:ind w:left="1570" w:hanging="357"/>
        <w:jc w:val="both"/>
        <w:rPr>
          <w:rFonts w:ascii="Arial" w:hAnsi="Arial" w:cs="Arial"/>
        </w:rPr>
      </w:pPr>
      <w:r w:rsidRPr="00F318A8">
        <w:rPr>
          <w:rFonts w:ascii="Arial" w:hAnsi="Arial" w:cs="Arial"/>
        </w:rPr>
        <w:t xml:space="preserve">According to Moody’s correspondence an AICR OF 1.3 is consistent with a Baa2 rating and this was set as the target. </w:t>
      </w:r>
    </w:p>
    <w:p w:rsidR="00360D5C" w:rsidRPr="00F318A8" w:rsidRDefault="00360D5C" w:rsidP="00360D5C">
      <w:pPr>
        <w:pStyle w:val="ListParagraph"/>
        <w:numPr>
          <w:ilvl w:val="0"/>
          <w:numId w:val="4"/>
        </w:numPr>
        <w:spacing w:after="0" w:line="240" w:lineRule="auto"/>
        <w:ind w:left="1570" w:hanging="357"/>
        <w:jc w:val="both"/>
        <w:rPr>
          <w:rFonts w:ascii="Arial" w:hAnsi="Arial" w:cs="Arial"/>
        </w:rPr>
      </w:pPr>
      <w:r w:rsidRPr="00F318A8">
        <w:rPr>
          <w:rFonts w:ascii="Arial" w:hAnsi="Arial" w:cs="Arial"/>
        </w:rPr>
        <w:t>To achieve this target Equity injections would be made.</w:t>
      </w:r>
    </w:p>
    <w:p w:rsidR="00360D5C" w:rsidRDefault="00360D5C" w:rsidP="00360D5C">
      <w:pPr>
        <w:pStyle w:val="ListParagraph"/>
        <w:numPr>
          <w:ilvl w:val="0"/>
          <w:numId w:val="4"/>
        </w:numPr>
        <w:spacing w:after="0" w:line="240" w:lineRule="auto"/>
        <w:ind w:left="1570" w:hanging="357"/>
        <w:jc w:val="both"/>
        <w:rPr>
          <w:rFonts w:ascii="Arial" w:hAnsi="Arial" w:cs="Arial"/>
        </w:rPr>
      </w:pPr>
      <w:r w:rsidRPr="00F318A8">
        <w:rPr>
          <w:rFonts w:ascii="Arial" w:hAnsi="Arial" w:cs="Arial"/>
        </w:rPr>
        <w:t>Once the modelling is complete the whole Board would review and endorse the method used and that the Business Plan financial projections met the target set.</w:t>
      </w:r>
    </w:p>
    <w:p w:rsidR="00464C07" w:rsidRPr="00464C07" w:rsidRDefault="00464C07" w:rsidP="00464C07">
      <w:pPr>
        <w:spacing w:after="0"/>
        <w:ind w:left="1213"/>
        <w:rPr>
          <w:rFonts w:cs="Arial"/>
        </w:rPr>
      </w:pPr>
    </w:p>
    <w:p w:rsidR="00360D5C" w:rsidRPr="00F318A8" w:rsidRDefault="00360D5C" w:rsidP="00360D5C">
      <w:pPr>
        <w:rPr>
          <w:rFonts w:cs="Arial"/>
          <w:sz w:val="22"/>
          <w:szCs w:val="22"/>
        </w:rPr>
      </w:pPr>
      <w:r w:rsidRPr="00F318A8">
        <w:rPr>
          <w:rFonts w:cs="Arial"/>
          <w:sz w:val="22"/>
          <w:szCs w:val="22"/>
        </w:rPr>
        <w:t xml:space="preserve">The Board has reviewed Research undertaken which, shows that customer support the use of PAYG levers to support financeability. </w:t>
      </w:r>
    </w:p>
    <w:p w:rsidR="00360D5C" w:rsidRPr="00F318A8" w:rsidRDefault="000B5977" w:rsidP="00360D5C">
      <w:pPr>
        <w:rPr>
          <w:rFonts w:cs="Arial"/>
          <w:sz w:val="22"/>
          <w:szCs w:val="22"/>
        </w:rPr>
      </w:pPr>
      <w:r>
        <w:rPr>
          <w:rFonts w:cs="Arial"/>
          <w:sz w:val="22"/>
          <w:szCs w:val="22"/>
        </w:rPr>
        <w:t>A</w:t>
      </w:r>
      <w:r w:rsidR="00360D5C" w:rsidRPr="00F318A8">
        <w:rPr>
          <w:rFonts w:cs="Arial"/>
          <w:sz w:val="22"/>
          <w:szCs w:val="22"/>
        </w:rPr>
        <w:t xml:space="preserve">fter considering the financial projections to be </w:t>
      </w:r>
      <w:r>
        <w:rPr>
          <w:rFonts w:cs="Arial"/>
          <w:sz w:val="22"/>
          <w:szCs w:val="22"/>
        </w:rPr>
        <w:t xml:space="preserve">submitted using the Ofwat model, the Board </w:t>
      </w:r>
      <w:r w:rsidR="00360D5C" w:rsidRPr="00F318A8">
        <w:rPr>
          <w:rFonts w:cs="Arial"/>
          <w:sz w:val="22"/>
          <w:szCs w:val="22"/>
        </w:rPr>
        <w:t>concluded:</w:t>
      </w:r>
    </w:p>
    <w:p w:rsidR="00360D5C" w:rsidRPr="00F318A8" w:rsidRDefault="00360D5C" w:rsidP="00360D5C">
      <w:pPr>
        <w:pStyle w:val="Bullets"/>
        <w:rPr>
          <w:rFonts w:cs="Arial"/>
          <w:sz w:val="22"/>
          <w:szCs w:val="22"/>
        </w:rPr>
      </w:pPr>
      <w:r w:rsidRPr="00F318A8">
        <w:rPr>
          <w:rFonts w:cs="Arial"/>
          <w:sz w:val="22"/>
          <w:szCs w:val="22"/>
        </w:rPr>
        <w:t xml:space="preserve">After applying PAYG levers and </w:t>
      </w:r>
      <w:r w:rsidR="00307E0E">
        <w:rPr>
          <w:rFonts w:cs="Arial"/>
          <w:sz w:val="22"/>
          <w:szCs w:val="22"/>
        </w:rPr>
        <w:t xml:space="preserve">with shareholder capital injections, </w:t>
      </w:r>
      <w:r w:rsidRPr="00F318A8">
        <w:rPr>
          <w:rFonts w:cs="Arial"/>
          <w:sz w:val="22"/>
          <w:szCs w:val="22"/>
        </w:rPr>
        <w:t>the results produced a notional structure that meets the target ratios and is financeable.</w:t>
      </w:r>
    </w:p>
    <w:p w:rsidR="00360D5C" w:rsidRPr="00F318A8" w:rsidRDefault="00360D5C" w:rsidP="00360D5C">
      <w:pPr>
        <w:pStyle w:val="Bullets"/>
        <w:rPr>
          <w:rFonts w:cs="Arial"/>
          <w:sz w:val="22"/>
          <w:szCs w:val="22"/>
        </w:rPr>
      </w:pPr>
      <w:r w:rsidRPr="00F318A8">
        <w:rPr>
          <w:rFonts w:cs="Arial"/>
          <w:sz w:val="22"/>
          <w:szCs w:val="22"/>
        </w:rPr>
        <w:t xml:space="preserve">After inserting the revenues from the notional into the actual structure and adding in further </w:t>
      </w:r>
      <w:r w:rsidR="00307E0E">
        <w:rPr>
          <w:rFonts w:cs="Arial"/>
          <w:sz w:val="22"/>
          <w:szCs w:val="22"/>
        </w:rPr>
        <w:t xml:space="preserve">capital injections, </w:t>
      </w:r>
      <w:r w:rsidRPr="00F318A8">
        <w:rPr>
          <w:rFonts w:cs="Arial"/>
          <w:sz w:val="22"/>
          <w:szCs w:val="22"/>
        </w:rPr>
        <w:t xml:space="preserve">the target ratios were </w:t>
      </w:r>
      <w:r w:rsidR="00307E0E">
        <w:rPr>
          <w:rFonts w:cs="Arial"/>
          <w:sz w:val="22"/>
          <w:szCs w:val="22"/>
        </w:rPr>
        <w:t xml:space="preserve">consistent </w:t>
      </w:r>
      <w:r w:rsidRPr="00F318A8">
        <w:rPr>
          <w:rFonts w:cs="Arial"/>
          <w:sz w:val="22"/>
          <w:szCs w:val="22"/>
        </w:rPr>
        <w:t>with a Baa2 rating and that under the actual structure the plan is financeable</w:t>
      </w:r>
    </w:p>
    <w:p w:rsidR="00360D5C" w:rsidRPr="00F318A8" w:rsidRDefault="00360D5C" w:rsidP="00360D5C">
      <w:pPr>
        <w:pStyle w:val="Bullets"/>
        <w:rPr>
          <w:rFonts w:cs="Arial"/>
          <w:sz w:val="22"/>
          <w:szCs w:val="22"/>
          <w:lang w:eastAsia="en-US"/>
        </w:rPr>
      </w:pPr>
      <w:r w:rsidRPr="00F318A8">
        <w:rPr>
          <w:rFonts w:cs="Arial"/>
          <w:sz w:val="22"/>
          <w:szCs w:val="22"/>
        </w:rPr>
        <w:t>After considering the research, that the use of PAYG levers is supported by customers and in their best interests for the long term</w:t>
      </w:r>
    </w:p>
    <w:p w:rsidR="00360D5C" w:rsidRPr="00F318A8" w:rsidRDefault="00360D5C" w:rsidP="00360D5C">
      <w:pPr>
        <w:pStyle w:val="Bullets"/>
        <w:numPr>
          <w:ilvl w:val="0"/>
          <w:numId w:val="0"/>
        </w:numPr>
        <w:ind w:left="1494"/>
        <w:rPr>
          <w:rFonts w:cs="Arial"/>
          <w:sz w:val="22"/>
          <w:szCs w:val="22"/>
          <w:lang w:eastAsia="en-US"/>
        </w:rPr>
      </w:pPr>
    </w:p>
    <w:p w:rsidR="00360D5C" w:rsidRPr="00F318A8" w:rsidRDefault="00360D5C" w:rsidP="00360D5C">
      <w:pPr>
        <w:rPr>
          <w:rFonts w:cs="Arial"/>
          <w:sz w:val="22"/>
          <w:szCs w:val="22"/>
        </w:rPr>
      </w:pPr>
      <w:r w:rsidRPr="00F318A8">
        <w:rPr>
          <w:rFonts w:cs="Arial"/>
          <w:sz w:val="22"/>
          <w:szCs w:val="22"/>
        </w:rPr>
        <w:t xml:space="preserve">The Board has robust governance and assurance processes and believes they are appropriate to ensure long-term financial resilience. These include a rigorous budgeting process, which projects 5 years and an established viability review looking at aggressive downside scenarios. The scenarios have been used in assessing this </w:t>
      </w:r>
      <w:r w:rsidR="008E4625">
        <w:rPr>
          <w:rFonts w:cs="Arial"/>
          <w:sz w:val="22"/>
          <w:szCs w:val="22"/>
        </w:rPr>
        <w:t>B</w:t>
      </w:r>
      <w:r w:rsidRPr="00F318A8">
        <w:rPr>
          <w:rFonts w:cs="Arial"/>
          <w:sz w:val="22"/>
          <w:szCs w:val="22"/>
        </w:rPr>
        <w:t xml:space="preserve">usiness </w:t>
      </w:r>
      <w:r w:rsidR="008E4625">
        <w:rPr>
          <w:rFonts w:cs="Arial"/>
          <w:sz w:val="22"/>
          <w:szCs w:val="22"/>
        </w:rPr>
        <w:t>P</w:t>
      </w:r>
      <w:r w:rsidRPr="00F318A8">
        <w:rPr>
          <w:rFonts w:cs="Arial"/>
          <w:sz w:val="22"/>
          <w:szCs w:val="22"/>
        </w:rPr>
        <w:t>lan.</w:t>
      </w:r>
    </w:p>
    <w:p w:rsidR="00360D5C" w:rsidRPr="00F318A8" w:rsidRDefault="00360D5C" w:rsidP="00360D5C">
      <w:pPr>
        <w:rPr>
          <w:rFonts w:cs="Arial"/>
          <w:b/>
          <w:sz w:val="22"/>
          <w:szCs w:val="22"/>
        </w:rPr>
      </w:pPr>
      <w:r w:rsidRPr="00F318A8">
        <w:rPr>
          <w:rFonts w:cs="Arial"/>
          <w:b/>
          <w:sz w:val="22"/>
          <w:szCs w:val="22"/>
        </w:rPr>
        <w:t>Assurance Summary</w:t>
      </w:r>
    </w:p>
    <w:p w:rsidR="00360D5C" w:rsidRPr="00F318A8" w:rsidRDefault="00360D5C" w:rsidP="00360D5C">
      <w:pPr>
        <w:rPr>
          <w:rFonts w:cs="Arial"/>
          <w:sz w:val="22"/>
          <w:szCs w:val="22"/>
        </w:rPr>
      </w:pPr>
      <w:r w:rsidRPr="00F318A8">
        <w:rPr>
          <w:rFonts w:cs="Arial"/>
          <w:sz w:val="22"/>
          <w:szCs w:val="22"/>
        </w:rPr>
        <w:t>As a result of the actions and evidence taken by the Board, it believes that its Business Plan:</w:t>
      </w:r>
    </w:p>
    <w:p w:rsidR="00360D5C" w:rsidRDefault="00360D5C" w:rsidP="00360D5C">
      <w:pPr>
        <w:pStyle w:val="Bullets"/>
        <w:rPr>
          <w:rFonts w:cs="Arial"/>
          <w:sz w:val="22"/>
          <w:szCs w:val="22"/>
        </w:rPr>
      </w:pPr>
      <w:r w:rsidRPr="00F318A8">
        <w:rPr>
          <w:rFonts w:cs="Arial"/>
          <w:sz w:val="22"/>
          <w:szCs w:val="22"/>
        </w:rPr>
        <w:t>Is endorsed by 8</w:t>
      </w:r>
      <w:r w:rsidR="00307E0E">
        <w:rPr>
          <w:rFonts w:cs="Arial"/>
          <w:sz w:val="22"/>
          <w:szCs w:val="22"/>
        </w:rPr>
        <w:t>0</w:t>
      </w:r>
      <w:r w:rsidRPr="00F318A8">
        <w:rPr>
          <w:rFonts w:cs="Arial"/>
          <w:sz w:val="22"/>
          <w:szCs w:val="22"/>
        </w:rPr>
        <w:t>% of our customers.</w:t>
      </w:r>
    </w:p>
    <w:p w:rsidR="00B30C92" w:rsidRPr="00F318A8" w:rsidRDefault="00B30C92" w:rsidP="00360D5C">
      <w:pPr>
        <w:pStyle w:val="Bullets"/>
        <w:rPr>
          <w:rFonts w:cs="Arial"/>
          <w:sz w:val="22"/>
          <w:szCs w:val="22"/>
        </w:rPr>
      </w:pPr>
      <w:r>
        <w:rPr>
          <w:rFonts w:cs="Arial"/>
          <w:sz w:val="22"/>
          <w:szCs w:val="22"/>
        </w:rPr>
        <w:t>Will maintain customer trust and confidence and has a fair balance between customers and investors and has high levels of transparency and engagement on issues that matter to customers</w:t>
      </w:r>
    </w:p>
    <w:p w:rsidR="00360D5C" w:rsidRPr="00F318A8" w:rsidRDefault="00360D5C" w:rsidP="00360D5C">
      <w:pPr>
        <w:pStyle w:val="Bullets"/>
        <w:rPr>
          <w:rFonts w:cs="Arial"/>
          <w:sz w:val="22"/>
          <w:szCs w:val="22"/>
        </w:rPr>
      </w:pPr>
      <w:r w:rsidRPr="00F318A8">
        <w:rPr>
          <w:rFonts w:cs="Arial"/>
          <w:sz w:val="22"/>
          <w:szCs w:val="22"/>
        </w:rPr>
        <w:t>Is of high quality and ambitious, but deliverable using innovative solutions.</w:t>
      </w:r>
    </w:p>
    <w:p w:rsidR="00360D5C" w:rsidRPr="00F318A8" w:rsidRDefault="00360D5C" w:rsidP="00360D5C">
      <w:pPr>
        <w:pStyle w:val="Bullets"/>
        <w:rPr>
          <w:rFonts w:cs="Arial"/>
          <w:sz w:val="22"/>
          <w:szCs w:val="22"/>
        </w:rPr>
      </w:pPr>
      <w:r w:rsidRPr="00F318A8">
        <w:rPr>
          <w:rFonts w:cs="Arial"/>
          <w:sz w:val="22"/>
          <w:szCs w:val="22"/>
        </w:rPr>
        <w:t>It will deliver long-term operational, financial and corporate resilience on behalf of our customers.</w:t>
      </w:r>
    </w:p>
    <w:p w:rsidR="00360D5C" w:rsidRPr="00F318A8" w:rsidRDefault="00360D5C" w:rsidP="00360D5C">
      <w:pPr>
        <w:pStyle w:val="Bullets"/>
        <w:rPr>
          <w:rFonts w:cs="Arial"/>
          <w:sz w:val="22"/>
          <w:szCs w:val="22"/>
        </w:rPr>
      </w:pPr>
      <w:r w:rsidRPr="00F318A8">
        <w:rPr>
          <w:rFonts w:cs="Arial"/>
          <w:sz w:val="22"/>
          <w:szCs w:val="22"/>
        </w:rPr>
        <w:t>Reflects our customer preferences obtained through a comprehensive process of engagement and ensures that we are transparent with our customers on all key aspects of the plan and its delivery, including corporate and financial structures.</w:t>
      </w:r>
    </w:p>
    <w:p w:rsidR="00360D5C" w:rsidRPr="00F318A8" w:rsidRDefault="00360D5C" w:rsidP="00360D5C">
      <w:pPr>
        <w:pStyle w:val="Bullets"/>
        <w:rPr>
          <w:rFonts w:cs="Arial"/>
          <w:sz w:val="22"/>
          <w:szCs w:val="22"/>
        </w:rPr>
      </w:pPr>
      <w:r w:rsidRPr="00F318A8">
        <w:rPr>
          <w:rFonts w:cs="Arial"/>
          <w:sz w:val="22"/>
          <w:szCs w:val="22"/>
        </w:rPr>
        <w:t>Meets its statutory obligations, licence conditions and the Government’s priorities throughout the plan.</w:t>
      </w:r>
    </w:p>
    <w:p w:rsidR="00360D5C" w:rsidRPr="00F318A8" w:rsidRDefault="00360D5C" w:rsidP="00360D5C">
      <w:pPr>
        <w:pStyle w:val="Bullets"/>
        <w:rPr>
          <w:rFonts w:cs="Arial"/>
          <w:sz w:val="22"/>
          <w:szCs w:val="22"/>
        </w:rPr>
      </w:pPr>
      <w:r w:rsidRPr="00F318A8">
        <w:rPr>
          <w:rFonts w:cs="Arial"/>
          <w:sz w:val="22"/>
          <w:szCs w:val="22"/>
        </w:rPr>
        <w:t>Is based on robust data and efficient costs</w:t>
      </w:r>
    </w:p>
    <w:p w:rsidR="00360D5C" w:rsidRPr="00F318A8" w:rsidRDefault="00360D5C" w:rsidP="00360D5C">
      <w:pPr>
        <w:pStyle w:val="Bullets"/>
        <w:rPr>
          <w:rFonts w:cs="Arial"/>
          <w:sz w:val="22"/>
          <w:szCs w:val="22"/>
        </w:rPr>
      </w:pPr>
      <w:r w:rsidRPr="00F318A8">
        <w:rPr>
          <w:rFonts w:cs="Arial"/>
          <w:sz w:val="22"/>
          <w:szCs w:val="22"/>
        </w:rPr>
        <w:t>Is affordable for all of our customers, even those with vulnerabilities and on the lowest incomes.</w:t>
      </w:r>
    </w:p>
    <w:p w:rsidR="00360D5C" w:rsidRPr="00F318A8" w:rsidRDefault="00360D5C" w:rsidP="00360D5C">
      <w:pPr>
        <w:pStyle w:val="Bullets"/>
        <w:rPr>
          <w:rFonts w:cs="Arial"/>
          <w:sz w:val="22"/>
          <w:szCs w:val="22"/>
        </w:rPr>
      </w:pPr>
      <w:r w:rsidRPr="00F318A8">
        <w:rPr>
          <w:rFonts w:cs="Arial"/>
          <w:sz w:val="22"/>
          <w:szCs w:val="22"/>
        </w:rPr>
        <w:t>Will continue to deliver excellent customer service</w:t>
      </w:r>
    </w:p>
    <w:p w:rsidR="00360D5C" w:rsidRDefault="00360D5C" w:rsidP="00360D5C">
      <w:pPr>
        <w:pStyle w:val="Bullets"/>
        <w:rPr>
          <w:rFonts w:cs="Arial"/>
          <w:sz w:val="22"/>
          <w:szCs w:val="22"/>
        </w:rPr>
      </w:pPr>
      <w:r w:rsidRPr="00F318A8">
        <w:rPr>
          <w:rFonts w:cs="Arial"/>
          <w:sz w:val="22"/>
          <w:szCs w:val="22"/>
        </w:rPr>
        <w:t>Is financeable</w:t>
      </w:r>
    </w:p>
    <w:p w:rsidR="00B30C92" w:rsidRPr="00F318A8" w:rsidRDefault="00B30C92" w:rsidP="00B30C92">
      <w:pPr>
        <w:pStyle w:val="Bullets"/>
        <w:numPr>
          <w:ilvl w:val="0"/>
          <w:numId w:val="0"/>
        </w:numPr>
        <w:ind w:left="1494"/>
        <w:rPr>
          <w:rFonts w:cs="Arial"/>
          <w:sz w:val="22"/>
          <w:szCs w:val="22"/>
        </w:rPr>
      </w:pPr>
    </w:p>
    <w:p w:rsidR="00360D5C" w:rsidRPr="00F318A8" w:rsidRDefault="00360D5C" w:rsidP="00360D5C">
      <w:pPr>
        <w:rPr>
          <w:rFonts w:cs="Arial"/>
          <w:sz w:val="22"/>
          <w:szCs w:val="22"/>
        </w:rPr>
      </w:pPr>
      <w:r w:rsidRPr="00F318A8">
        <w:rPr>
          <w:rFonts w:cs="Arial"/>
          <w:sz w:val="22"/>
          <w:szCs w:val="22"/>
        </w:rPr>
        <w:t>Signed</w:t>
      </w:r>
    </w:p>
    <w:p w:rsidR="00360D5C" w:rsidRPr="00F318A8" w:rsidRDefault="00D25081" w:rsidP="00360D5C">
      <w:pPr>
        <w:rPr>
          <w:rFonts w:cs="Arial"/>
          <w:sz w:val="22"/>
          <w:szCs w:val="22"/>
        </w:rPr>
      </w:pPr>
      <w:r w:rsidRPr="00F318A8">
        <w:rPr>
          <w:rFonts w:cs="Arial"/>
          <w:noProof/>
          <w:sz w:val="22"/>
          <w:szCs w:val="22"/>
        </w:rPr>
        <w:drawing>
          <wp:inline distT="0" distB="0" distL="0" distR="0">
            <wp:extent cx="853273" cy="629107"/>
            <wp:effectExtent l="0" t="0" r="444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irk signature.tif"/>
                    <pic:cNvPicPr/>
                  </pic:nvPicPr>
                  <pic:blipFill>
                    <a:blip r:embed="rId10" cstate="print">
                      <a:extLst>
                        <a:ext uri="{28A0092B-C50C-407E-A947-70E740481C1C}">
                          <a14:useLocalDpi xmlns:a14="http://schemas.microsoft.com/office/drawing/2010/main" val="0"/>
                        </a:ext>
                      </a:extLst>
                    </a:blip>
                    <a:stretch>
                      <a:fillRect/>
                    </a:stretch>
                  </pic:blipFill>
                  <pic:spPr>
                    <a:xfrm>
                      <a:off x="0" y="0"/>
                      <a:ext cx="879663" cy="648564"/>
                    </a:xfrm>
                    <a:prstGeom prst="rect">
                      <a:avLst/>
                    </a:prstGeom>
                  </pic:spPr>
                </pic:pic>
              </a:graphicData>
            </a:graphic>
          </wp:inline>
        </w:drawing>
      </w:r>
      <w:r w:rsidRPr="00F318A8">
        <w:rPr>
          <w:rFonts w:cs="Arial"/>
          <w:sz w:val="22"/>
          <w:szCs w:val="22"/>
        </w:rPr>
        <w:tab/>
      </w:r>
      <w:r w:rsidRPr="00F318A8">
        <w:rPr>
          <w:rFonts w:cs="Arial"/>
          <w:noProof/>
          <w:sz w:val="22"/>
          <w:szCs w:val="22"/>
        </w:rPr>
        <w:drawing>
          <wp:inline distT="0" distB="0" distL="0" distR="0">
            <wp:extent cx="1031392" cy="430339"/>
            <wp:effectExtent l="0" t="0" r="0" b="825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mithsig.tif"/>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094442" cy="456646"/>
                    </a:xfrm>
                    <a:prstGeom prst="rect">
                      <a:avLst/>
                    </a:prstGeom>
                  </pic:spPr>
                </pic:pic>
              </a:graphicData>
            </a:graphic>
          </wp:inline>
        </w:drawing>
      </w:r>
      <w:r w:rsidRPr="00F318A8">
        <w:rPr>
          <w:rFonts w:cs="Arial"/>
          <w:sz w:val="22"/>
          <w:szCs w:val="22"/>
        </w:rPr>
        <w:tab/>
      </w:r>
      <w:r w:rsidRPr="00F318A8">
        <w:rPr>
          <w:rFonts w:cs="Arial"/>
          <w:noProof/>
          <w:sz w:val="22"/>
          <w:szCs w:val="22"/>
        </w:rPr>
        <w:drawing>
          <wp:inline distT="0" distB="0" distL="0" distR="0">
            <wp:extent cx="943661" cy="272777"/>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enjamin signature.tif"/>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006901" cy="291057"/>
                    </a:xfrm>
                    <a:prstGeom prst="rect">
                      <a:avLst/>
                    </a:prstGeom>
                  </pic:spPr>
                </pic:pic>
              </a:graphicData>
            </a:graphic>
          </wp:inline>
        </w:drawing>
      </w:r>
      <w:r w:rsidR="00FA0B3D">
        <w:rPr>
          <w:rFonts w:cs="Arial"/>
          <w:sz w:val="22"/>
          <w:szCs w:val="22"/>
        </w:rPr>
        <w:tab/>
      </w:r>
      <w:r w:rsidR="00FA0B3D" w:rsidRPr="00F318A8">
        <w:rPr>
          <w:rFonts w:cs="Arial"/>
          <w:noProof/>
          <w:sz w:val="22"/>
          <w:szCs w:val="22"/>
        </w:rPr>
        <w:drawing>
          <wp:inline distT="0" distB="0" distL="0" distR="0" wp14:anchorId="76B71147" wp14:editId="681ED890">
            <wp:extent cx="694944" cy="489316"/>
            <wp:effectExtent l="0" t="0" r="0"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johnson signature.tif"/>
                    <pic:cNvPicPr/>
                  </pic:nvPicPr>
                  <pic:blipFill>
                    <a:blip r:embed="rId13" cstate="print">
                      <a:extLst>
                        <a:ext uri="{28A0092B-C50C-407E-A947-70E740481C1C}">
                          <a14:useLocalDpi xmlns:a14="http://schemas.microsoft.com/office/drawing/2010/main" val="0"/>
                        </a:ext>
                      </a:extLst>
                    </a:blip>
                    <a:stretch>
                      <a:fillRect/>
                    </a:stretch>
                  </pic:blipFill>
                  <pic:spPr>
                    <a:xfrm>
                      <a:off x="0" y="0"/>
                      <a:ext cx="709956" cy="499886"/>
                    </a:xfrm>
                    <a:prstGeom prst="rect">
                      <a:avLst/>
                    </a:prstGeom>
                  </pic:spPr>
                </pic:pic>
              </a:graphicData>
            </a:graphic>
          </wp:inline>
        </w:drawing>
      </w:r>
    </w:p>
    <w:p w:rsidR="00360D5C" w:rsidRPr="00F318A8" w:rsidRDefault="00360D5C" w:rsidP="00360D5C">
      <w:pPr>
        <w:rPr>
          <w:rFonts w:cs="Arial"/>
          <w:sz w:val="22"/>
          <w:szCs w:val="22"/>
        </w:rPr>
      </w:pPr>
      <w:r w:rsidRPr="00F318A8">
        <w:rPr>
          <w:rFonts w:cs="Arial"/>
          <w:sz w:val="22"/>
          <w:szCs w:val="22"/>
        </w:rPr>
        <w:t>M P Kirk</w:t>
      </w:r>
      <w:r w:rsidRPr="00F318A8">
        <w:rPr>
          <w:rFonts w:cs="Arial"/>
          <w:sz w:val="22"/>
          <w:szCs w:val="22"/>
        </w:rPr>
        <w:tab/>
      </w:r>
      <w:r w:rsidRPr="00F318A8">
        <w:rPr>
          <w:rFonts w:cs="Arial"/>
          <w:sz w:val="22"/>
          <w:szCs w:val="22"/>
        </w:rPr>
        <w:tab/>
        <w:t>N Smith</w:t>
      </w:r>
      <w:r w:rsidRPr="00F318A8">
        <w:rPr>
          <w:rFonts w:cs="Arial"/>
          <w:sz w:val="22"/>
          <w:szCs w:val="22"/>
        </w:rPr>
        <w:tab/>
      </w:r>
      <w:r w:rsidRPr="00F318A8">
        <w:rPr>
          <w:rFonts w:cs="Arial"/>
          <w:sz w:val="22"/>
          <w:szCs w:val="22"/>
        </w:rPr>
        <w:tab/>
        <w:t>H Benjamin</w:t>
      </w:r>
      <w:r w:rsidR="00FA0B3D">
        <w:rPr>
          <w:rFonts w:cs="Arial"/>
          <w:sz w:val="22"/>
          <w:szCs w:val="22"/>
        </w:rPr>
        <w:tab/>
      </w:r>
      <w:r w:rsidR="00FA0B3D">
        <w:rPr>
          <w:rFonts w:cs="Arial"/>
          <w:sz w:val="22"/>
          <w:szCs w:val="22"/>
        </w:rPr>
        <w:tab/>
        <w:t>M Johnson</w:t>
      </w:r>
    </w:p>
    <w:p w:rsidR="00360D5C" w:rsidRPr="00F318A8" w:rsidRDefault="00D25081" w:rsidP="00360D5C">
      <w:pPr>
        <w:rPr>
          <w:rFonts w:cs="Arial"/>
          <w:sz w:val="22"/>
          <w:szCs w:val="22"/>
        </w:rPr>
      </w:pPr>
      <w:r w:rsidRPr="00F318A8">
        <w:rPr>
          <w:rFonts w:cs="Arial"/>
          <w:noProof/>
          <w:sz w:val="22"/>
          <w:szCs w:val="22"/>
        </w:rPr>
        <w:drawing>
          <wp:inline distT="0" distB="0" distL="0" distR="0">
            <wp:extent cx="972921" cy="271143"/>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David Owens signature.JPG"/>
                    <pic:cNvPicPr/>
                  </pic:nvPicPr>
                  <pic:blipFill>
                    <a:blip r:embed="rId14">
                      <a:extLst>
                        <a:ext uri="{28A0092B-C50C-407E-A947-70E740481C1C}">
                          <a14:useLocalDpi xmlns:a14="http://schemas.microsoft.com/office/drawing/2010/main" val="0"/>
                        </a:ext>
                      </a:extLst>
                    </a:blip>
                    <a:stretch>
                      <a:fillRect/>
                    </a:stretch>
                  </pic:blipFill>
                  <pic:spPr>
                    <a:xfrm>
                      <a:off x="0" y="0"/>
                      <a:ext cx="1029057" cy="286788"/>
                    </a:xfrm>
                    <a:prstGeom prst="rect">
                      <a:avLst/>
                    </a:prstGeom>
                  </pic:spPr>
                </pic:pic>
              </a:graphicData>
            </a:graphic>
          </wp:inline>
        </w:drawing>
      </w:r>
      <w:r w:rsidRPr="00F318A8">
        <w:rPr>
          <w:rFonts w:cs="Arial"/>
          <w:sz w:val="22"/>
          <w:szCs w:val="22"/>
        </w:rPr>
        <w:tab/>
      </w:r>
      <w:r w:rsidRPr="00F318A8">
        <w:rPr>
          <w:rFonts w:cs="Arial"/>
          <w:sz w:val="22"/>
          <w:szCs w:val="22"/>
        </w:rPr>
        <w:tab/>
      </w:r>
      <w:r w:rsidRPr="00F318A8">
        <w:rPr>
          <w:rFonts w:cs="Arial"/>
          <w:noProof/>
          <w:sz w:val="22"/>
          <w:szCs w:val="22"/>
        </w:rPr>
        <w:drawing>
          <wp:inline distT="0" distB="0" distL="0" distR="0">
            <wp:extent cx="512064" cy="641597"/>
            <wp:effectExtent l="0" t="0" r="2540" b="63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Rod Porteous.tif"/>
                    <pic:cNvPicPr/>
                  </pic:nvPicPr>
                  <pic:blipFill>
                    <a:blip r:embed="rId15" cstate="print">
                      <a:extLst>
                        <a:ext uri="{28A0092B-C50C-407E-A947-70E740481C1C}">
                          <a14:useLocalDpi xmlns:a14="http://schemas.microsoft.com/office/drawing/2010/main" val="0"/>
                        </a:ext>
                      </a:extLst>
                    </a:blip>
                    <a:stretch>
                      <a:fillRect/>
                    </a:stretch>
                  </pic:blipFill>
                  <pic:spPr>
                    <a:xfrm>
                      <a:off x="0" y="0"/>
                      <a:ext cx="522120" cy="654197"/>
                    </a:xfrm>
                    <a:prstGeom prst="rect">
                      <a:avLst/>
                    </a:prstGeom>
                  </pic:spPr>
                </pic:pic>
              </a:graphicData>
            </a:graphic>
          </wp:inline>
        </w:drawing>
      </w:r>
      <w:r w:rsidR="00FA0B3D">
        <w:rPr>
          <w:rFonts w:cs="Arial"/>
          <w:sz w:val="22"/>
          <w:szCs w:val="22"/>
        </w:rPr>
        <w:tab/>
      </w:r>
      <w:r w:rsidR="00FA0B3D">
        <w:rPr>
          <w:rFonts w:cs="Arial"/>
          <w:sz w:val="22"/>
          <w:szCs w:val="22"/>
        </w:rPr>
        <w:tab/>
      </w:r>
      <w:r w:rsidR="00FA0B3D" w:rsidRPr="00F318A8">
        <w:rPr>
          <w:rFonts w:cs="Arial"/>
          <w:noProof/>
          <w:sz w:val="22"/>
          <w:szCs w:val="22"/>
        </w:rPr>
        <w:drawing>
          <wp:inline distT="0" distB="0" distL="0" distR="0" wp14:anchorId="75572D0F" wp14:editId="2C689728">
            <wp:extent cx="1170432" cy="284699"/>
            <wp:effectExtent l="0" t="0" r="0" b="127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ORTON_HELEN.tif"/>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221671" cy="297163"/>
                    </a:xfrm>
                    <a:prstGeom prst="rect">
                      <a:avLst/>
                    </a:prstGeom>
                  </pic:spPr>
                </pic:pic>
              </a:graphicData>
            </a:graphic>
          </wp:inline>
        </w:drawing>
      </w:r>
    </w:p>
    <w:p w:rsidR="00FC3D71" w:rsidRDefault="00360D5C" w:rsidP="00360D5C">
      <w:pPr>
        <w:rPr>
          <w:rFonts w:cs="Arial"/>
          <w:sz w:val="22"/>
          <w:szCs w:val="22"/>
        </w:rPr>
      </w:pPr>
      <w:r w:rsidRPr="00F318A8">
        <w:rPr>
          <w:rFonts w:cs="Arial"/>
          <w:sz w:val="22"/>
          <w:szCs w:val="22"/>
        </w:rPr>
        <w:t>D Owens</w:t>
      </w:r>
      <w:r w:rsidRPr="00F318A8">
        <w:rPr>
          <w:rFonts w:cs="Arial"/>
          <w:sz w:val="22"/>
          <w:szCs w:val="22"/>
        </w:rPr>
        <w:tab/>
      </w:r>
      <w:r w:rsidRPr="00F318A8">
        <w:rPr>
          <w:rFonts w:cs="Arial"/>
          <w:sz w:val="22"/>
          <w:szCs w:val="22"/>
        </w:rPr>
        <w:tab/>
      </w:r>
      <w:r w:rsidRPr="00F318A8">
        <w:rPr>
          <w:rFonts w:cs="Arial"/>
          <w:sz w:val="22"/>
          <w:szCs w:val="22"/>
        </w:rPr>
        <w:tab/>
        <w:t>R C Porteous</w:t>
      </w:r>
      <w:r w:rsidR="00FA0B3D">
        <w:rPr>
          <w:rFonts w:cs="Arial"/>
          <w:sz w:val="22"/>
          <w:szCs w:val="22"/>
        </w:rPr>
        <w:tab/>
      </w:r>
      <w:r w:rsidR="00FA0B3D">
        <w:rPr>
          <w:rFonts w:cs="Arial"/>
          <w:sz w:val="22"/>
          <w:szCs w:val="22"/>
        </w:rPr>
        <w:tab/>
        <w:t>H M G Orton</w:t>
      </w:r>
    </w:p>
    <w:p w:rsidR="0084627C" w:rsidRDefault="0084627C">
      <w:pPr>
        <w:tabs>
          <w:tab w:val="clear" w:pos="851"/>
        </w:tabs>
        <w:spacing w:after="160" w:line="259" w:lineRule="auto"/>
        <w:ind w:left="0"/>
        <w:jc w:val="left"/>
        <w:rPr>
          <w:rFonts w:cs="Arial"/>
          <w:sz w:val="22"/>
          <w:szCs w:val="22"/>
        </w:rPr>
        <w:sectPr w:rsidR="0084627C" w:rsidSect="008D120A">
          <w:footerReference w:type="default" r:id="rId17"/>
          <w:pgSz w:w="11906" w:h="16838"/>
          <w:pgMar w:top="1134" w:right="1134" w:bottom="1134" w:left="851" w:header="709" w:footer="709" w:gutter="0"/>
          <w:pgNumType w:start="1"/>
          <w:cols w:space="708"/>
          <w:docGrid w:linePitch="360"/>
        </w:sectPr>
      </w:pPr>
    </w:p>
    <w:p w:rsidR="00360D5C" w:rsidRDefault="00FC3D71" w:rsidP="00360D5C">
      <w:pPr>
        <w:rPr>
          <w:rFonts w:cs="Arial"/>
          <w:sz w:val="22"/>
          <w:szCs w:val="22"/>
        </w:rPr>
      </w:pPr>
      <w:r>
        <w:rPr>
          <w:rFonts w:cs="Arial"/>
          <w:sz w:val="22"/>
          <w:szCs w:val="22"/>
        </w:rPr>
        <w:t>Appendix 1</w:t>
      </w:r>
    </w:p>
    <w:p w:rsidR="00FC3D71" w:rsidRPr="00727824" w:rsidRDefault="00FC3D71" w:rsidP="00FC3D71">
      <w:pPr>
        <w:rPr>
          <w:b/>
          <w:u w:val="single"/>
        </w:rPr>
      </w:pPr>
      <w:r w:rsidRPr="00727824">
        <w:rPr>
          <w:b/>
          <w:u w:val="single"/>
        </w:rPr>
        <w:t>PR19 plan for Board Governance papers</w:t>
      </w:r>
      <w:r>
        <w:rPr>
          <w:b/>
          <w:u w:val="single"/>
        </w:rPr>
        <w:t xml:space="preserve"> and actual Dates of Presentation</w:t>
      </w:r>
    </w:p>
    <w:tbl>
      <w:tblPr>
        <w:tblStyle w:val="TableGrid"/>
        <w:tblW w:w="10934" w:type="dxa"/>
        <w:tblCellMar>
          <w:left w:w="57" w:type="dxa"/>
          <w:right w:w="57" w:type="dxa"/>
        </w:tblCellMar>
        <w:tblLook w:val="04A0" w:firstRow="1" w:lastRow="0" w:firstColumn="1" w:lastColumn="0" w:noHBand="0" w:noVBand="1"/>
      </w:tblPr>
      <w:tblGrid>
        <w:gridCol w:w="1696"/>
        <w:gridCol w:w="5247"/>
        <w:gridCol w:w="1157"/>
        <w:gridCol w:w="1109"/>
        <w:gridCol w:w="1725"/>
      </w:tblGrid>
      <w:tr w:rsidR="00FC3D71" w:rsidRPr="00FC3D71" w:rsidTr="00BC4CFE">
        <w:tc>
          <w:tcPr>
            <w:tcW w:w="1696" w:type="dxa"/>
          </w:tcPr>
          <w:p w:rsidR="00FC3D71" w:rsidRPr="00FC3D71" w:rsidRDefault="00FC3D71" w:rsidP="00FC3D71">
            <w:pPr>
              <w:tabs>
                <w:tab w:val="clear" w:pos="851"/>
              </w:tabs>
              <w:spacing w:after="0"/>
              <w:ind w:left="0"/>
              <w:jc w:val="left"/>
              <w:rPr>
                <w:rFonts w:ascii="Calibri" w:eastAsia="Calibri" w:hAnsi="Calibri"/>
                <w:lang w:eastAsia="en-US"/>
              </w:rPr>
            </w:pPr>
          </w:p>
        </w:tc>
        <w:tc>
          <w:tcPr>
            <w:tcW w:w="5247" w:type="dxa"/>
          </w:tcPr>
          <w:p w:rsidR="00FC3D71" w:rsidRPr="00FC3D71" w:rsidRDefault="00FC3D71" w:rsidP="00FC3D71">
            <w:pPr>
              <w:tabs>
                <w:tab w:val="clear" w:pos="851"/>
              </w:tabs>
              <w:spacing w:after="0"/>
              <w:ind w:left="0"/>
              <w:jc w:val="left"/>
              <w:rPr>
                <w:rFonts w:ascii="Calibri" w:eastAsia="Calibri" w:hAnsi="Calibri"/>
                <w:b/>
                <w:lang w:eastAsia="en-US"/>
              </w:rPr>
            </w:pPr>
            <w:r w:rsidRPr="00FC3D71">
              <w:rPr>
                <w:rFonts w:ascii="Calibri" w:eastAsia="Calibri" w:hAnsi="Calibri"/>
                <w:b/>
                <w:lang w:eastAsia="en-US"/>
              </w:rPr>
              <w:t>Paper</w:t>
            </w:r>
          </w:p>
        </w:tc>
        <w:tc>
          <w:tcPr>
            <w:tcW w:w="1157" w:type="dxa"/>
          </w:tcPr>
          <w:p w:rsidR="00FC3D71" w:rsidRPr="00FC3D71" w:rsidRDefault="00FC3D71" w:rsidP="00FC3D71">
            <w:pPr>
              <w:tabs>
                <w:tab w:val="clear" w:pos="851"/>
              </w:tabs>
              <w:spacing w:after="0"/>
              <w:ind w:left="0"/>
              <w:jc w:val="left"/>
              <w:rPr>
                <w:rFonts w:ascii="Calibri" w:eastAsia="Calibri" w:hAnsi="Calibri"/>
                <w:b/>
                <w:lang w:eastAsia="en-US"/>
              </w:rPr>
            </w:pPr>
            <w:r w:rsidRPr="00FC3D71">
              <w:rPr>
                <w:rFonts w:ascii="Calibri" w:eastAsia="Calibri" w:hAnsi="Calibri"/>
                <w:b/>
                <w:lang w:eastAsia="en-US"/>
              </w:rPr>
              <w:t>Respon-sibility</w:t>
            </w:r>
          </w:p>
        </w:tc>
        <w:tc>
          <w:tcPr>
            <w:tcW w:w="1109" w:type="dxa"/>
          </w:tcPr>
          <w:p w:rsidR="00FC3D71" w:rsidRPr="00FC3D71" w:rsidRDefault="00FC3D71" w:rsidP="00FC3D71">
            <w:pPr>
              <w:tabs>
                <w:tab w:val="clear" w:pos="851"/>
              </w:tabs>
              <w:spacing w:after="0"/>
              <w:ind w:left="0"/>
              <w:jc w:val="left"/>
              <w:rPr>
                <w:rFonts w:ascii="Calibri" w:eastAsia="Calibri" w:hAnsi="Calibri"/>
                <w:b/>
                <w:lang w:eastAsia="en-US"/>
              </w:rPr>
            </w:pPr>
            <w:r w:rsidRPr="00FC3D71">
              <w:rPr>
                <w:rFonts w:ascii="Calibri" w:eastAsia="Calibri" w:hAnsi="Calibri"/>
                <w:b/>
                <w:lang w:eastAsia="en-US"/>
              </w:rPr>
              <w:t>Plan Date</w:t>
            </w:r>
          </w:p>
        </w:tc>
        <w:tc>
          <w:tcPr>
            <w:tcW w:w="1725" w:type="dxa"/>
          </w:tcPr>
          <w:p w:rsidR="00FC3D71" w:rsidRPr="00FC3D71" w:rsidRDefault="00FC3D71" w:rsidP="00FC3D71">
            <w:pPr>
              <w:tabs>
                <w:tab w:val="clear" w:pos="851"/>
              </w:tabs>
              <w:spacing w:after="0"/>
              <w:ind w:left="117" w:hanging="50"/>
              <w:jc w:val="left"/>
              <w:rPr>
                <w:rFonts w:ascii="Calibri" w:eastAsia="Calibri" w:hAnsi="Calibri"/>
                <w:b/>
                <w:lang w:eastAsia="en-US"/>
              </w:rPr>
            </w:pPr>
            <w:r w:rsidRPr="00FC3D71">
              <w:rPr>
                <w:rFonts w:ascii="Calibri" w:eastAsia="Calibri" w:hAnsi="Calibri"/>
                <w:b/>
                <w:lang w:eastAsia="en-US"/>
              </w:rPr>
              <w:t>Actual Date</w:t>
            </w:r>
          </w:p>
        </w:tc>
      </w:tr>
      <w:tr w:rsidR="00FC3D71" w:rsidRPr="00FC3D71" w:rsidTr="00BC4CFE">
        <w:tc>
          <w:tcPr>
            <w:tcW w:w="1696" w:type="dxa"/>
          </w:tcPr>
          <w:p w:rsidR="00FC3D71" w:rsidRPr="00FC3D71" w:rsidRDefault="00FC3D71" w:rsidP="00FC3D71">
            <w:pPr>
              <w:tabs>
                <w:tab w:val="clear" w:pos="851"/>
              </w:tabs>
              <w:spacing w:after="0"/>
              <w:ind w:left="0"/>
              <w:jc w:val="left"/>
              <w:rPr>
                <w:rFonts w:ascii="Calibri" w:eastAsia="Calibri" w:hAnsi="Calibri"/>
                <w:b/>
                <w:lang w:eastAsia="en-US"/>
              </w:rPr>
            </w:pPr>
            <w:r w:rsidRPr="00FC3D71">
              <w:rPr>
                <w:rFonts w:ascii="Calibri" w:eastAsia="Calibri" w:hAnsi="Calibri"/>
                <w:b/>
                <w:lang w:eastAsia="en-US"/>
              </w:rPr>
              <w:t>Business Planning</w:t>
            </w:r>
          </w:p>
        </w:tc>
        <w:tc>
          <w:tcPr>
            <w:tcW w:w="5247" w:type="dxa"/>
          </w:tcPr>
          <w:p w:rsidR="00FC3D71" w:rsidRPr="00FC3D71" w:rsidRDefault="00FC3D71" w:rsidP="00FC3D71">
            <w:pPr>
              <w:numPr>
                <w:ilvl w:val="0"/>
                <w:numId w:val="6"/>
              </w:numPr>
              <w:tabs>
                <w:tab w:val="clear" w:pos="851"/>
              </w:tabs>
              <w:spacing w:after="0"/>
              <w:ind w:left="176" w:hanging="142"/>
              <w:contextualSpacing/>
              <w:jc w:val="left"/>
              <w:rPr>
                <w:rFonts w:ascii="Calibri" w:eastAsia="Calibri" w:hAnsi="Calibri"/>
                <w:lang w:eastAsia="en-US"/>
              </w:rPr>
            </w:pPr>
            <w:r w:rsidRPr="00FC3D71">
              <w:rPr>
                <w:rFonts w:ascii="Calibri" w:eastAsia="Calibri" w:hAnsi="Calibri"/>
                <w:lang w:eastAsia="en-US"/>
              </w:rPr>
              <w:t xml:space="preserve">Summary of data key controls and governance </w:t>
            </w:r>
          </w:p>
          <w:p w:rsidR="00FC3D71" w:rsidRPr="00FC3D71" w:rsidRDefault="00FC3D71" w:rsidP="00FC3D71">
            <w:pPr>
              <w:tabs>
                <w:tab w:val="clear" w:pos="851"/>
              </w:tabs>
              <w:spacing w:after="0"/>
              <w:ind w:left="0"/>
              <w:jc w:val="left"/>
              <w:rPr>
                <w:rFonts w:ascii="Calibri" w:eastAsia="Calibri" w:hAnsi="Calibri"/>
                <w:lang w:eastAsia="en-US"/>
              </w:rPr>
            </w:pPr>
          </w:p>
          <w:p w:rsidR="00FC3D71" w:rsidRPr="00FC3D71" w:rsidRDefault="00FC3D71" w:rsidP="00FC3D71">
            <w:pPr>
              <w:tabs>
                <w:tab w:val="clear" w:pos="851"/>
              </w:tabs>
              <w:spacing w:after="0"/>
              <w:ind w:left="0"/>
              <w:jc w:val="left"/>
              <w:rPr>
                <w:rFonts w:ascii="Calibri" w:eastAsia="Calibri" w:hAnsi="Calibri"/>
                <w:lang w:eastAsia="en-US"/>
              </w:rPr>
            </w:pPr>
            <w:r w:rsidRPr="00FC3D71">
              <w:rPr>
                <w:rFonts w:ascii="Calibri" w:eastAsia="Calibri" w:hAnsi="Calibri"/>
                <w:lang w:eastAsia="en-US"/>
              </w:rPr>
              <w:t xml:space="preserve">2 Assessment of statutory obligations and business plan approach </w:t>
            </w:r>
          </w:p>
          <w:p w:rsidR="00FC3D71" w:rsidRPr="00FC3D71" w:rsidRDefault="00FC3D71" w:rsidP="00FC3D71">
            <w:pPr>
              <w:tabs>
                <w:tab w:val="clear" w:pos="851"/>
              </w:tabs>
              <w:spacing w:after="0"/>
              <w:ind w:left="0"/>
              <w:jc w:val="left"/>
              <w:rPr>
                <w:rFonts w:ascii="Calibri" w:eastAsia="Calibri" w:hAnsi="Calibri"/>
                <w:lang w:eastAsia="en-US"/>
              </w:rPr>
            </w:pPr>
            <w:r w:rsidRPr="00FC3D71">
              <w:rPr>
                <w:rFonts w:ascii="Calibri" w:eastAsia="Calibri" w:hAnsi="Calibri"/>
                <w:lang w:eastAsia="en-US"/>
              </w:rPr>
              <w:t xml:space="preserve">3 Disclosure and transparency of corporate structure </w:t>
            </w:r>
          </w:p>
          <w:p w:rsidR="00FC3D71" w:rsidRPr="00FC3D71" w:rsidRDefault="00FC3D71" w:rsidP="00FC3D71">
            <w:pPr>
              <w:tabs>
                <w:tab w:val="clear" w:pos="851"/>
              </w:tabs>
              <w:spacing w:after="0"/>
              <w:ind w:left="0"/>
              <w:jc w:val="left"/>
              <w:rPr>
                <w:rFonts w:ascii="Calibri" w:eastAsia="Calibri" w:hAnsi="Calibri"/>
                <w:lang w:eastAsia="en-US"/>
              </w:rPr>
            </w:pPr>
            <w:r w:rsidRPr="00FC3D71">
              <w:rPr>
                <w:rFonts w:ascii="Calibri" w:eastAsia="Calibri" w:hAnsi="Calibri"/>
                <w:lang w:eastAsia="en-US"/>
              </w:rPr>
              <w:t>4 Board to prepare summary of the ongoing oversight and input into the long terms strategy and Business Plan process. Interim and Final papers.</w:t>
            </w:r>
          </w:p>
          <w:p w:rsidR="00FC3D71" w:rsidRPr="00FC3D71" w:rsidRDefault="00FC3D71" w:rsidP="00FC3D71">
            <w:pPr>
              <w:tabs>
                <w:tab w:val="clear" w:pos="851"/>
              </w:tabs>
              <w:spacing w:after="0"/>
              <w:ind w:left="0"/>
              <w:jc w:val="left"/>
              <w:rPr>
                <w:rFonts w:ascii="Calibri" w:eastAsia="Calibri" w:hAnsi="Calibri"/>
                <w:lang w:eastAsia="en-US"/>
              </w:rPr>
            </w:pPr>
            <w:r w:rsidRPr="00FC3D71">
              <w:rPr>
                <w:rFonts w:ascii="Calibri" w:eastAsia="Calibri" w:hAnsi="Calibri"/>
                <w:lang w:eastAsia="en-US"/>
              </w:rPr>
              <w:t>4a Overarching Strategy</w:t>
            </w:r>
          </w:p>
          <w:p w:rsidR="00FC3D71" w:rsidRPr="00FC3D71" w:rsidRDefault="00FC3D71" w:rsidP="00FC3D71">
            <w:pPr>
              <w:tabs>
                <w:tab w:val="clear" w:pos="851"/>
              </w:tabs>
              <w:spacing w:after="0"/>
              <w:ind w:left="0"/>
              <w:jc w:val="left"/>
              <w:rPr>
                <w:rFonts w:ascii="Calibri" w:eastAsia="Calibri" w:hAnsi="Calibri"/>
                <w:lang w:eastAsia="en-US"/>
              </w:rPr>
            </w:pPr>
            <w:r w:rsidRPr="00FC3D71">
              <w:rPr>
                <w:rFonts w:ascii="Calibri" w:eastAsia="Calibri" w:hAnsi="Calibri"/>
                <w:lang w:eastAsia="en-US"/>
              </w:rPr>
              <w:t>5 Business Plan Summary Position</w:t>
            </w:r>
          </w:p>
        </w:tc>
        <w:tc>
          <w:tcPr>
            <w:tcW w:w="1157" w:type="dxa"/>
          </w:tcPr>
          <w:p w:rsidR="00FC3D71" w:rsidRPr="00FC3D71" w:rsidRDefault="00FC3D71" w:rsidP="00FC3D71">
            <w:pPr>
              <w:tabs>
                <w:tab w:val="clear" w:pos="851"/>
              </w:tabs>
              <w:spacing w:after="0"/>
              <w:ind w:left="0"/>
              <w:jc w:val="left"/>
              <w:rPr>
                <w:rFonts w:ascii="Calibri" w:eastAsia="Calibri" w:hAnsi="Calibri"/>
                <w:lang w:eastAsia="en-US"/>
              </w:rPr>
            </w:pPr>
            <w:r w:rsidRPr="00FC3D71">
              <w:rPr>
                <w:rFonts w:ascii="Calibri" w:eastAsia="Calibri" w:hAnsi="Calibri"/>
                <w:lang w:eastAsia="en-US"/>
              </w:rPr>
              <w:t>SM/</w:t>
            </w:r>
          </w:p>
          <w:p w:rsidR="00FC3D71" w:rsidRPr="00FC3D71" w:rsidRDefault="00FC3D71" w:rsidP="00FC3D71">
            <w:pPr>
              <w:tabs>
                <w:tab w:val="clear" w:pos="851"/>
              </w:tabs>
              <w:spacing w:after="0"/>
              <w:ind w:left="0"/>
              <w:jc w:val="left"/>
              <w:rPr>
                <w:rFonts w:ascii="Calibri" w:eastAsia="Calibri" w:hAnsi="Calibri"/>
                <w:lang w:eastAsia="en-US"/>
              </w:rPr>
            </w:pPr>
            <w:r w:rsidRPr="00FC3D71">
              <w:rPr>
                <w:rFonts w:ascii="Calibri" w:eastAsia="Calibri" w:hAnsi="Calibri"/>
                <w:lang w:eastAsia="en-US"/>
              </w:rPr>
              <w:t>HMGO</w:t>
            </w:r>
          </w:p>
          <w:p w:rsidR="00FC3D71" w:rsidRPr="00FC3D71" w:rsidRDefault="00FC3D71" w:rsidP="00FC3D71">
            <w:pPr>
              <w:tabs>
                <w:tab w:val="clear" w:pos="851"/>
              </w:tabs>
              <w:spacing w:after="0"/>
              <w:ind w:left="0"/>
              <w:jc w:val="left"/>
              <w:rPr>
                <w:rFonts w:ascii="Calibri" w:eastAsia="Calibri" w:hAnsi="Calibri"/>
                <w:lang w:eastAsia="en-US"/>
              </w:rPr>
            </w:pPr>
            <w:r w:rsidRPr="00FC3D71">
              <w:rPr>
                <w:rFonts w:ascii="Calibri" w:eastAsia="Calibri" w:hAnsi="Calibri"/>
                <w:lang w:eastAsia="en-US"/>
              </w:rPr>
              <w:t>RCP/NS</w:t>
            </w:r>
          </w:p>
          <w:p w:rsidR="00FC3D71" w:rsidRPr="00FC3D71" w:rsidRDefault="00FC3D71" w:rsidP="00FC3D71">
            <w:pPr>
              <w:tabs>
                <w:tab w:val="clear" w:pos="851"/>
              </w:tabs>
              <w:spacing w:after="0"/>
              <w:ind w:left="0"/>
              <w:jc w:val="left"/>
              <w:rPr>
                <w:rFonts w:ascii="Calibri" w:eastAsia="Calibri" w:hAnsi="Calibri"/>
                <w:lang w:eastAsia="en-US"/>
              </w:rPr>
            </w:pPr>
          </w:p>
          <w:p w:rsidR="00FC3D71" w:rsidRPr="00FC3D71" w:rsidRDefault="00FC3D71" w:rsidP="00FC3D71">
            <w:pPr>
              <w:tabs>
                <w:tab w:val="clear" w:pos="851"/>
              </w:tabs>
              <w:spacing w:after="0"/>
              <w:ind w:left="0"/>
              <w:jc w:val="left"/>
              <w:rPr>
                <w:rFonts w:ascii="Calibri" w:eastAsia="Calibri" w:hAnsi="Calibri"/>
                <w:lang w:eastAsia="en-US"/>
              </w:rPr>
            </w:pPr>
            <w:r w:rsidRPr="00FC3D71">
              <w:rPr>
                <w:rFonts w:ascii="Calibri" w:eastAsia="Calibri" w:hAnsi="Calibri"/>
                <w:lang w:eastAsia="en-US"/>
              </w:rPr>
              <w:t>HMGO</w:t>
            </w:r>
          </w:p>
          <w:p w:rsidR="00FC3D71" w:rsidRPr="00FC3D71" w:rsidRDefault="00FC3D71" w:rsidP="00FC3D71">
            <w:pPr>
              <w:tabs>
                <w:tab w:val="clear" w:pos="851"/>
              </w:tabs>
              <w:spacing w:after="0"/>
              <w:ind w:left="0"/>
              <w:jc w:val="left"/>
              <w:rPr>
                <w:rFonts w:ascii="Calibri" w:eastAsia="Calibri" w:hAnsi="Calibri"/>
                <w:lang w:eastAsia="en-US"/>
              </w:rPr>
            </w:pPr>
          </w:p>
          <w:p w:rsidR="00FC3D71" w:rsidRPr="00FC3D71" w:rsidRDefault="00FC3D71" w:rsidP="00FC3D71">
            <w:pPr>
              <w:tabs>
                <w:tab w:val="clear" w:pos="851"/>
              </w:tabs>
              <w:spacing w:after="0"/>
              <w:ind w:left="0"/>
              <w:jc w:val="left"/>
              <w:rPr>
                <w:rFonts w:ascii="Calibri" w:eastAsia="Calibri" w:hAnsi="Calibri"/>
                <w:lang w:eastAsia="en-US"/>
              </w:rPr>
            </w:pPr>
            <w:r w:rsidRPr="00FC3D71">
              <w:rPr>
                <w:rFonts w:ascii="Calibri" w:eastAsia="Calibri" w:hAnsi="Calibri"/>
                <w:lang w:eastAsia="en-US"/>
              </w:rPr>
              <w:t>Chairman</w:t>
            </w:r>
          </w:p>
          <w:p w:rsidR="00FC3D71" w:rsidRPr="00FC3D71" w:rsidRDefault="00FC3D71" w:rsidP="00FC3D71">
            <w:pPr>
              <w:tabs>
                <w:tab w:val="clear" w:pos="851"/>
              </w:tabs>
              <w:spacing w:after="0"/>
              <w:ind w:left="0"/>
              <w:jc w:val="left"/>
              <w:rPr>
                <w:rFonts w:ascii="Calibri" w:eastAsia="Calibri" w:hAnsi="Calibri"/>
                <w:lang w:eastAsia="en-US"/>
              </w:rPr>
            </w:pPr>
          </w:p>
          <w:p w:rsidR="00FC3D71" w:rsidRPr="00FC3D71" w:rsidRDefault="00FC3D71" w:rsidP="00FC3D71">
            <w:pPr>
              <w:tabs>
                <w:tab w:val="clear" w:pos="851"/>
              </w:tabs>
              <w:spacing w:after="0"/>
              <w:ind w:left="0"/>
              <w:jc w:val="left"/>
              <w:rPr>
                <w:rFonts w:ascii="Calibri" w:eastAsia="Calibri" w:hAnsi="Calibri"/>
                <w:lang w:eastAsia="en-US"/>
              </w:rPr>
            </w:pPr>
          </w:p>
          <w:p w:rsidR="00FC3D71" w:rsidRPr="00FC3D71" w:rsidRDefault="00FC3D71" w:rsidP="00FC3D71">
            <w:pPr>
              <w:tabs>
                <w:tab w:val="clear" w:pos="851"/>
              </w:tabs>
              <w:spacing w:after="0"/>
              <w:ind w:left="0"/>
              <w:jc w:val="left"/>
              <w:rPr>
                <w:rFonts w:ascii="Calibri" w:eastAsia="Calibri" w:hAnsi="Calibri"/>
                <w:lang w:eastAsia="en-US"/>
              </w:rPr>
            </w:pPr>
            <w:r w:rsidRPr="00FC3D71">
              <w:rPr>
                <w:rFonts w:ascii="Calibri" w:eastAsia="Calibri" w:hAnsi="Calibri"/>
                <w:lang w:eastAsia="en-US"/>
              </w:rPr>
              <w:t>NS</w:t>
            </w:r>
          </w:p>
          <w:p w:rsidR="00FC3D71" w:rsidRPr="00FC3D71" w:rsidRDefault="00FC3D71" w:rsidP="00FC3D71">
            <w:pPr>
              <w:tabs>
                <w:tab w:val="clear" w:pos="851"/>
              </w:tabs>
              <w:spacing w:after="0"/>
              <w:ind w:left="0"/>
              <w:jc w:val="left"/>
              <w:rPr>
                <w:rFonts w:ascii="Calibri" w:eastAsia="Calibri" w:hAnsi="Calibri"/>
                <w:lang w:eastAsia="en-US"/>
              </w:rPr>
            </w:pPr>
            <w:r w:rsidRPr="00FC3D71">
              <w:rPr>
                <w:rFonts w:ascii="Calibri" w:eastAsia="Calibri" w:hAnsi="Calibri"/>
                <w:lang w:eastAsia="en-US"/>
              </w:rPr>
              <w:t>NS</w:t>
            </w:r>
          </w:p>
        </w:tc>
        <w:tc>
          <w:tcPr>
            <w:tcW w:w="1109" w:type="dxa"/>
          </w:tcPr>
          <w:p w:rsidR="00FC3D71" w:rsidRPr="00FC3D71" w:rsidRDefault="00FC3D71" w:rsidP="00FC3D71">
            <w:pPr>
              <w:tabs>
                <w:tab w:val="clear" w:pos="851"/>
              </w:tabs>
              <w:spacing w:after="0"/>
              <w:ind w:left="0"/>
              <w:jc w:val="left"/>
              <w:rPr>
                <w:rFonts w:ascii="Calibri" w:eastAsia="Calibri" w:hAnsi="Calibri"/>
                <w:lang w:eastAsia="en-US"/>
              </w:rPr>
            </w:pPr>
            <w:r w:rsidRPr="00FC3D71">
              <w:rPr>
                <w:rFonts w:ascii="Calibri" w:eastAsia="Calibri" w:hAnsi="Calibri"/>
                <w:lang w:eastAsia="en-US"/>
              </w:rPr>
              <w:t>22 Feb</w:t>
            </w:r>
          </w:p>
          <w:p w:rsidR="00FC3D71" w:rsidRPr="00FC3D71" w:rsidRDefault="00FC3D71" w:rsidP="00FC3D71">
            <w:pPr>
              <w:tabs>
                <w:tab w:val="clear" w:pos="851"/>
              </w:tabs>
              <w:spacing w:after="0"/>
              <w:ind w:left="0"/>
              <w:jc w:val="left"/>
              <w:rPr>
                <w:rFonts w:ascii="Calibri" w:eastAsia="Calibri" w:hAnsi="Calibri"/>
                <w:lang w:eastAsia="en-US"/>
              </w:rPr>
            </w:pPr>
          </w:p>
          <w:p w:rsidR="00FC3D71" w:rsidRPr="00FC3D71" w:rsidRDefault="00FC3D71" w:rsidP="00FC3D71">
            <w:pPr>
              <w:tabs>
                <w:tab w:val="clear" w:pos="851"/>
              </w:tabs>
              <w:spacing w:after="0"/>
              <w:ind w:left="0"/>
              <w:jc w:val="left"/>
              <w:rPr>
                <w:rFonts w:ascii="Calibri" w:eastAsia="Calibri" w:hAnsi="Calibri"/>
                <w:lang w:eastAsia="en-US"/>
              </w:rPr>
            </w:pPr>
            <w:r w:rsidRPr="00FC3D71">
              <w:rPr>
                <w:rFonts w:ascii="Calibri" w:eastAsia="Calibri" w:hAnsi="Calibri"/>
                <w:lang w:eastAsia="en-US"/>
              </w:rPr>
              <w:t>22 Feb</w:t>
            </w:r>
          </w:p>
          <w:p w:rsidR="00FC3D71" w:rsidRPr="00FC3D71" w:rsidRDefault="00FC3D71" w:rsidP="00FC3D71">
            <w:pPr>
              <w:tabs>
                <w:tab w:val="clear" w:pos="851"/>
              </w:tabs>
              <w:spacing w:after="0"/>
              <w:ind w:left="0"/>
              <w:jc w:val="left"/>
              <w:rPr>
                <w:rFonts w:ascii="Calibri" w:eastAsia="Calibri" w:hAnsi="Calibri"/>
                <w:lang w:eastAsia="en-US"/>
              </w:rPr>
            </w:pPr>
          </w:p>
          <w:p w:rsidR="00FC3D71" w:rsidRPr="00FC3D71" w:rsidRDefault="00FC3D71" w:rsidP="00FC3D71">
            <w:pPr>
              <w:tabs>
                <w:tab w:val="clear" w:pos="851"/>
              </w:tabs>
              <w:spacing w:after="0"/>
              <w:ind w:left="0"/>
              <w:jc w:val="left"/>
              <w:rPr>
                <w:rFonts w:ascii="Calibri" w:eastAsia="Calibri" w:hAnsi="Calibri"/>
                <w:lang w:eastAsia="en-US"/>
              </w:rPr>
            </w:pPr>
            <w:r w:rsidRPr="00FC3D71">
              <w:rPr>
                <w:rFonts w:ascii="Calibri" w:eastAsia="Calibri" w:hAnsi="Calibri"/>
                <w:lang w:eastAsia="en-US"/>
              </w:rPr>
              <w:t>22 March</w:t>
            </w:r>
          </w:p>
          <w:p w:rsidR="00FC3D71" w:rsidRPr="00FC3D71" w:rsidRDefault="00FC3D71" w:rsidP="00FC3D71">
            <w:pPr>
              <w:tabs>
                <w:tab w:val="clear" w:pos="851"/>
              </w:tabs>
              <w:spacing w:after="0"/>
              <w:ind w:left="0"/>
              <w:jc w:val="left"/>
              <w:rPr>
                <w:rFonts w:ascii="Calibri" w:eastAsia="Calibri" w:hAnsi="Calibri"/>
                <w:lang w:eastAsia="en-US"/>
              </w:rPr>
            </w:pPr>
            <w:r w:rsidRPr="00FC3D71">
              <w:rPr>
                <w:rFonts w:ascii="Calibri" w:eastAsia="Calibri" w:hAnsi="Calibri"/>
                <w:lang w:eastAsia="en-US"/>
              </w:rPr>
              <w:t>26 April (I)</w:t>
            </w:r>
          </w:p>
          <w:p w:rsidR="00FC3D71" w:rsidRPr="00FC3D71" w:rsidRDefault="00FC3D71" w:rsidP="00FC3D71">
            <w:pPr>
              <w:tabs>
                <w:tab w:val="clear" w:pos="851"/>
              </w:tabs>
              <w:spacing w:after="0"/>
              <w:ind w:left="0"/>
              <w:jc w:val="left"/>
              <w:rPr>
                <w:rFonts w:ascii="Calibri" w:eastAsia="Calibri" w:hAnsi="Calibri"/>
                <w:lang w:eastAsia="en-US"/>
              </w:rPr>
            </w:pPr>
            <w:r w:rsidRPr="00FC3D71">
              <w:rPr>
                <w:rFonts w:ascii="Calibri" w:eastAsia="Calibri" w:hAnsi="Calibri"/>
                <w:lang w:eastAsia="en-US"/>
              </w:rPr>
              <w:t>26 July (F)</w:t>
            </w:r>
          </w:p>
          <w:p w:rsidR="00FC3D71" w:rsidRPr="00FC3D71" w:rsidRDefault="00FC3D71" w:rsidP="00FC3D71">
            <w:pPr>
              <w:tabs>
                <w:tab w:val="clear" w:pos="851"/>
              </w:tabs>
              <w:spacing w:after="0"/>
              <w:ind w:left="0"/>
              <w:jc w:val="left"/>
              <w:rPr>
                <w:rFonts w:ascii="Calibri" w:eastAsia="Calibri" w:hAnsi="Calibri"/>
                <w:lang w:eastAsia="en-US"/>
              </w:rPr>
            </w:pPr>
          </w:p>
          <w:p w:rsidR="00FC3D71" w:rsidRPr="00FC3D71" w:rsidRDefault="00FC3D71" w:rsidP="00FC3D71">
            <w:pPr>
              <w:tabs>
                <w:tab w:val="clear" w:pos="851"/>
              </w:tabs>
              <w:spacing w:after="0"/>
              <w:ind w:left="0"/>
              <w:jc w:val="left"/>
              <w:rPr>
                <w:rFonts w:ascii="Calibri" w:eastAsia="Calibri" w:hAnsi="Calibri"/>
                <w:lang w:eastAsia="en-US"/>
              </w:rPr>
            </w:pPr>
            <w:r w:rsidRPr="00FC3D71">
              <w:rPr>
                <w:rFonts w:ascii="Calibri" w:eastAsia="Calibri" w:hAnsi="Calibri"/>
                <w:lang w:eastAsia="en-US"/>
              </w:rPr>
              <w:t>28 June</w:t>
            </w:r>
          </w:p>
          <w:p w:rsidR="00FC3D71" w:rsidRPr="00FC3D71" w:rsidRDefault="00FC3D71" w:rsidP="00FC3D71">
            <w:pPr>
              <w:tabs>
                <w:tab w:val="clear" w:pos="851"/>
              </w:tabs>
              <w:spacing w:after="0"/>
              <w:ind w:left="0"/>
              <w:jc w:val="left"/>
              <w:rPr>
                <w:rFonts w:ascii="Calibri" w:eastAsia="Calibri" w:hAnsi="Calibri"/>
                <w:lang w:eastAsia="en-US"/>
              </w:rPr>
            </w:pPr>
            <w:r w:rsidRPr="00FC3D71">
              <w:rPr>
                <w:rFonts w:ascii="Calibri" w:eastAsia="Calibri" w:hAnsi="Calibri"/>
                <w:lang w:eastAsia="en-US"/>
              </w:rPr>
              <w:t>24 May</w:t>
            </w:r>
          </w:p>
        </w:tc>
        <w:tc>
          <w:tcPr>
            <w:tcW w:w="1725" w:type="dxa"/>
          </w:tcPr>
          <w:p w:rsidR="00FC3D71" w:rsidRPr="00FC3D71" w:rsidRDefault="00FC3D71" w:rsidP="00FC3D71">
            <w:pPr>
              <w:tabs>
                <w:tab w:val="clear" w:pos="851"/>
              </w:tabs>
              <w:spacing w:after="0"/>
              <w:ind w:left="11"/>
              <w:jc w:val="left"/>
              <w:rPr>
                <w:rFonts w:ascii="Calibri" w:eastAsia="Calibri" w:hAnsi="Calibri"/>
                <w:lang w:eastAsia="en-US"/>
              </w:rPr>
            </w:pPr>
            <w:r w:rsidRPr="00FC3D71">
              <w:rPr>
                <w:rFonts w:ascii="Calibri" w:eastAsia="Calibri" w:hAnsi="Calibri"/>
                <w:lang w:eastAsia="en-US"/>
              </w:rPr>
              <w:t>22 Feb</w:t>
            </w:r>
          </w:p>
          <w:p w:rsidR="00FC3D71" w:rsidRPr="00FC3D71" w:rsidRDefault="00FC3D71" w:rsidP="00FC3D71">
            <w:pPr>
              <w:tabs>
                <w:tab w:val="clear" w:pos="851"/>
              </w:tabs>
              <w:spacing w:after="0"/>
              <w:ind w:left="0"/>
              <w:jc w:val="left"/>
              <w:rPr>
                <w:rFonts w:ascii="Calibri" w:eastAsia="Calibri" w:hAnsi="Calibri"/>
                <w:lang w:eastAsia="en-US"/>
              </w:rPr>
            </w:pPr>
          </w:p>
          <w:p w:rsidR="00FC3D71" w:rsidRPr="00FC3D71" w:rsidRDefault="00FC3D71" w:rsidP="00FC3D71">
            <w:pPr>
              <w:tabs>
                <w:tab w:val="clear" w:pos="851"/>
              </w:tabs>
              <w:spacing w:after="0"/>
              <w:ind w:left="11"/>
              <w:jc w:val="left"/>
              <w:rPr>
                <w:rFonts w:ascii="Calibri" w:eastAsia="Calibri" w:hAnsi="Calibri"/>
                <w:lang w:eastAsia="en-US"/>
              </w:rPr>
            </w:pPr>
            <w:r w:rsidRPr="00FC3D71">
              <w:rPr>
                <w:rFonts w:ascii="Calibri" w:eastAsia="Calibri" w:hAnsi="Calibri"/>
                <w:lang w:eastAsia="en-US"/>
              </w:rPr>
              <w:t>22 Feb</w:t>
            </w:r>
          </w:p>
          <w:p w:rsidR="00FC3D71" w:rsidRPr="00FC3D71" w:rsidRDefault="00FC3D71" w:rsidP="00FC3D71">
            <w:pPr>
              <w:tabs>
                <w:tab w:val="clear" w:pos="851"/>
              </w:tabs>
              <w:spacing w:after="0"/>
              <w:ind w:left="11"/>
              <w:jc w:val="left"/>
              <w:rPr>
                <w:rFonts w:ascii="Calibri" w:eastAsia="Calibri" w:hAnsi="Calibri"/>
                <w:lang w:eastAsia="en-US"/>
              </w:rPr>
            </w:pPr>
          </w:p>
          <w:p w:rsidR="00FC3D71" w:rsidRPr="00FC3D71" w:rsidRDefault="00FC3D71" w:rsidP="00FC3D71">
            <w:pPr>
              <w:tabs>
                <w:tab w:val="clear" w:pos="851"/>
              </w:tabs>
              <w:spacing w:after="0"/>
              <w:ind w:left="11"/>
              <w:jc w:val="left"/>
              <w:rPr>
                <w:rFonts w:ascii="Calibri" w:eastAsia="Calibri" w:hAnsi="Calibri"/>
                <w:lang w:eastAsia="en-US"/>
              </w:rPr>
            </w:pPr>
          </w:p>
          <w:p w:rsidR="00FC3D71" w:rsidRPr="00FC3D71" w:rsidRDefault="00FC3D71" w:rsidP="00FC3D71">
            <w:pPr>
              <w:tabs>
                <w:tab w:val="clear" w:pos="851"/>
              </w:tabs>
              <w:spacing w:after="0"/>
              <w:ind w:left="11"/>
              <w:jc w:val="left"/>
              <w:rPr>
                <w:rFonts w:ascii="Calibri" w:eastAsia="Calibri" w:hAnsi="Calibri"/>
                <w:lang w:eastAsia="en-US"/>
              </w:rPr>
            </w:pPr>
          </w:p>
          <w:p w:rsidR="00FC3D71" w:rsidRPr="00FC3D71" w:rsidRDefault="00FC3D71" w:rsidP="00FC3D71">
            <w:pPr>
              <w:tabs>
                <w:tab w:val="clear" w:pos="851"/>
              </w:tabs>
              <w:spacing w:after="0"/>
              <w:ind w:left="11"/>
              <w:jc w:val="left"/>
              <w:rPr>
                <w:rFonts w:ascii="Calibri" w:eastAsia="Calibri" w:hAnsi="Calibri"/>
                <w:lang w:eastAsia="en-US"/>
              </w:rPr>
            </w:pPr>
            <w:r w:rsidRPr="00FC3D71">
              <w:rPr>
                <w:rFonts w:ascii="Calibri" w:eastAsia="Calibri" w:hAnsi="Calibri"/>
                <w:lang w:eastAsia="en-US"/>
              </w:rPr>
              <w:t>24 May, 28 June, 26 July</w:t>
            </w:r>
          </w:p>
          <w:p w:rsidR="00FC3D71" w:rsidRPr="00FC3D71" w:rsidRDefault="00FC3D71" w:rsidP="00FC3D71">
            <w:pPr>
              <w:tabs>
                <w:tab w:val="clear" w:pos="851"/>
              </w:tabs>
              <w:spacing w:after="0"/>
              <w:ind w:left="11"/>
              <w:jc w:val="left"/>
              <w:rPr>
                <w:rFonts w:ascii="Calibri" w:eastAsia="Calibri" w:hAnsi="Calibri"/>
                <w:lang w:eastAsia="en-US"/>
              </w:rPr>
            </w:pPr>
          </w:p>
          <w:p w:rsidR="00FC3D71" w:rsidRPr="00FC3D71" w:rsidRDefault="00FC3D71" w:rsidP="00FC3D71">
            <w:pPr>
              <w:tabs>
                <w:tab w:val="clear" w:pos="851"/>
              </w:tabs>
              <w:spacing w:after="0"/>
              <w:ind w:left="11"/>
              <w:jc w:val="left"/>
              <w:rPr>
                <w:rFonts w:ascii="Calibri" w:eastAsia="Calibri" w:hAnsi="Calibri"/>
                <w:lang w:eastAsia="en-US"/>
              </w:rPr>
            </w:pPr>
            <w:r w:rsidRPr="00FC3D71">
              <w:rPr>
                <w:rFonts w:ascii="Calibri" w:eastAsia="Calibri" w:hAnsi="Calibri"/>
                <w:lang w:eastAsia="en-US"/>
              </w:rPr>
              <w:t>28 June</w:t>
            </w:r>
          </w:p>
          <w:p w:rsidR="00FC3D71" w:rsidRPr="00FC3D71" w:rsidRDefault="00FC3D71" w:rsidP="00FC3D71">
            <w:pPr>
              <w:tabs>
                <w:tab w:val="clear" w:pos="851"/>
              </w:tabs>
              <w:spacing w:after="0"/>
              <w:ind w:left="11"/>
              <w:jc w:val="left"/>
              <w:rPr>
                <w:rFonts w:ascii="Calibri" w:eastAsia="Calibri" w:hAnsi="Calibri"/>
                <w:lang w:eastAsia="en-US"/>
              </w:rPr>
            </w:pPr>
            <w:r w:rsidRPr="00FC3D71">
              <w:rPr>
                <w:rFonts w:ascii="Calibri" w:eastAsia="Calibri" w:hAnsi="Calibri"/>
                <w:lang w:eastAsia="en-US"/>
              </w:rPr>
              <w:t>24 May</w:t>
            </w:r>
          </w:p>
        </w:tc>
      </w:tr>
      <w:tr w:rsidR="00FC3D71" w:rsidRPr="00FC3D71" w:rsidTr="00BC4CFE">
        <w:tc>
          <w:tcPr>
            <w:tcW w:w="1696" w:type="dxa"/>
          </w:tcPr>
          <w:p w:rsidR="00FC3D71" w:rsidRPr="00FC3D71" w:rsidRDefault="00FC3D71" w:rsidP="00FC3D71">
            <w:pPr>
              <w:tabs>
                <w:tab w:val="clear" w:pos="851"/>
              </w:tabs>
              <w:spacing w:after="0"/>
              <w:ind w:left="0"/>
              <w:jc w:val="left"/>
              <w:rPr>
                <w:rFonts w:ascii="Calibri" w:eastAsia="Calibri" w:hAnsi="Calibri"/>
                <w:b/>
                <w:lang w:eastAsia="en-US"/>
              </w:rPr>
            </w:pPr>
            <w:r w:rsidRPr="00FC3D71">
              <w:rPr>
                <w:rFonts w:ascii="Calibri" w:eastAsia="Calibri" w:hAnsi="Calibri"/>
                <w:b/>
                <w:lang w:eastAsia="en-US"/>
              </w:rPr>
              <w:t>Customer engagement</w:t>
            </w:r>
          </w:p>
        </w:tc>
        <w:tc>
          <w:tcPr>
            <w:tcW w:w="5247" w:type="dxa"/>
          </w:tcPr>
          <w:p w:rsidR="00FC3D71" w:rsidRPr="00FC3D71" w:rsidRDefault="00FC3D71" w:rsidP="00FC3D71">
            <w:pPr>
              <w:tabs>
                <w:tab w:val="clear" w:pos="851"/>
              </w:tabs>
              <w:spacing w:after="0"/>
              <w:ind w:left="0"/>
              <w:jc w:val="left"/>
              <w:rPr>
                <w:rFonts w:ascii="Calibri" w:eastAsia="Calibri" w:hAnsi="Calibri"/>
                <w:lang w:eastAsia="en-US"/>
              </w:rPr>
            </w:pPr>
            <w:r w:rsidRPr="00FC3D71">
              <w:rPr>
                <w:rFonts w:ascii="Calibri" w:eastAsia="Calibri" w:hAnsi="Calibri"/>
                <w:lang w:eastAsia="en-US"/>
              </w:rPr>
              <w:t>5 Customer engagement activity.</w:t>
            </w:r>
          </w:p>
          <w:p w:rsidR="00FC3D71" w:rsidRPr="00FC3D71" w:rsidRDefault="00FC3D71" w:rsidP="00FC3D71">
            <w:pPr>
              <w:tabs>
                <w:tab w:val="clear" w:pos="851"/>
              </w:tabs>
              <w:spacing w:after="0"/>
              <w:ind w:left="0"/>
              <w:jc w:val="left"/>
              <w:rPr>
                <w:rFonts w:ascii="Calibri" w:eastAsia="Calibri" w:hAnsi="Calibri"/>
                <w:lang w:eastAsia="en-US"/>
              </w:rPr>
            </w:pPr>
            <w:r w:rsidRPr="00FC3D71">
              <w:rPr>
                <w:rFonts w:ascii="Calibri" w:eastAsia="Calibri" w:hAnsi="Calibri"/>
                <w:lang w:eastAsia="en-US"/>
              </w:rPr>
              <w:t>See also 8 (outcomes), 12 (resilience)</w:t>
            </w:r>
          </w:p>
          <w:p w:rsidR="00FC3D71" w:rsidRPr="00FC3D71" w:rsidRDefault="00FC3D71" w:rsidP="00FC3D71">
            <w:pPr>
              <w:tabs>
                <w:tab w:val="clear" w:pos="851"/>
              </w:tabs>
              <w:spacing w:after="0"/>
              <w:ind w:left="0"/>
              <w:jc w:val="left"/>
              <w:rPr>
                <w:rFonts w:ascii="Calibri" w:eastAsia="Calibri" w:hAnsi="Calibri"/>
                <w:lang w:eastAsia="en-US"/>
              </w:rPr>
            </w:pPr>
            <w:r w:rsidRPr="00FC3D71">
              <w:rPr>
                <w:rFonts w:ascii="Calibri" w:eastAsia="Calibri" w:hAnsi="Calibri"/>
                <w:lang w:eastAsia="en-US"/>
              </w:rPr>
              <w:t>5a CCG Action List</w:t>
            </w:r>
          </w:p>
          <w:p w:rsidR="00FC3D71" w:rsidRPr="00FC3D71" w:rsidRDefault="00FC3D71" w:rsidP="00FC3D71">
            <w:pPr>
              <w:tabs>
                <w:tab w:val="clear" w:pos="851"/>
              </w:tabs>
              <w:spacing w:after="0"/>
              <w:ind w:left="0"/>
              <w:jc w:val="left"/>
              <w:rPr>
                <w:rFonts w:ascii="Calibri" w:eastAsia="Calibri" w:hAnsi="Calibri"/>
                <w:lang w:eastAsia="en-US"/>
              </w:rPr>
            </w:pPr>
            <w:r w:rsidRPr="00FC3D71">
              <w:rPr>
                <w:rFonts w:ascii="Calibri" w:eastAsia="Calibri" w:hAnsi="Calibri"/>
                <w:lang w:eastAsia="en-US"/>
              </w:rPr>
              <w:t>5b Acceptability Testing</w:t>
            </w:r>
          </w:p>
        </w:tc>
        <w:tc>
          <w:tcPr>
            <w:tcW w:w="1157" w:type="dxa"/>
          </w:tcPr>
          <w:p w:rsidR="00FC3D71" w:rsidRPr="00FC3D71" w:rsidRDefault="00FC3D71" w:rsidP="00FC3D71">
            <w:pPr>
              <w:tabs>
                <w:tab w:val="clear" w:pos="851"/>
              </w:tabs>
              <w:spacing w:after="0"/>
              <w:ind w:left="0"/>
              <w:jc w:val="left"/>
              <w:rPr>
                <w:rFonts w:ascii="Calibri" w:eastAsia="Calibri" w:hAnsi="Calibri"/>
                <w:lang w:eastAsia="en-US"/>
              </w:rPr>
            </w:pPr>
            <w:r w:rsidRPr="00FC3D71">
              <w:rPr>
                <w:rFonts w:ascii="Calibri" w:eastAsia="Calibri" w:hAnsi="Calibri"/>
                <w:lang w:eastAsia="en-US"/>
              </w:rPr>
              <w:t>PAB</w:t>
            </w:r>
          </w:p>
        </w:tc>
        <w:tc>
          <w:tcPr>
            <w:tcW w:w="1109" w:type="dxa"/>
          </w:tcPr>
          <w:p w:rsidR="00FC3D71" w:rsidRPr="00FC3D71" w:rsidRDefault="00FC3D71" w:rsidP="00FC3D71">
            <w:pPr>
              <w:tabs>
                <w:tab w:val="clear" w:pos="851"/>
              </w:tabs>
              <w:spacing w:after="0"/>
              <w:ind w:left="0"/>
              <w:jc w:val="left"/>
              <w:rPr>
                <w:rFonts w:ascii="Calibri" w:eastAsia="Calibri" w:hAnsi="Calibri"/>
                <w:lang w:eastAsia="en-US"/>
              </w:rPr>
            </w:pPr>
            <w:r w:rsidRPr="00FC3D71">
              <w:rPr>
                <w:rFonts w:ascii="Calibri" w:eastAsia="Calibri" w:hAnsi="Calibri"/>
                <w:lang w:eastAsia="en-US"/>
              </w:rPr>
              <w:t>Monthly</w:t>
            </w:r>
          </w:p>
        </w:tc>
        <w:tc>
          <w:tcPr>
            <w:tcW w:w="1725" w:type="dxa"/>
          </w:tcPr>
          <w:p w:rsidR="00FC3D71" w:rsidRPr="00FC3D71" w:rsidRDefault="00FC3D71" w:rsidP="00FC3D71">
            <w:pPr>
              <w:tabs>
                <w:tab w:val="clear" w:pos="851"/>
              </w:tabs>
              <w:spacing w:after="0"/>
              <w:ind w:left="0"/>
              <w:jc w:val="left"/>
              <w:rPr>
                <w:rFonts w:ascii="Calibri" w:eastAsia="Calibri" w:hAnsi="Calibri"/>
                <w:lang w:eastAsia="en-US"/>
              </w:rPr>
            </w:pPr>
            <w:r w:rsidRPr="00FC3D71">
              <w:rPr>
                <w:rFonts w:ascii="Calibri" w:eastAsia="Calibri" w:hAnsi="Calibri"/>
                <w:lang w:eastAsia="en-US"/>
              </w:rPr>
              <w:t>Monthly</w:t>
            </w:r>
          </w:p>
          <w:p w:rsidR="00FC3D71" w:rsidRPr="00FC3D71" w:rsidRDefault="00FC3D71" w:rsidP="00FC3D71">
            <w:pPr>
              <w:tabs>
                <w:tab w:val="clear" w:pos="851"/>
              </w:tabs>
              <w:spacing w:after="0"/>
              <w:ind w:left="0"/>
              <w:jc w:val="left"/>
              <w:rPr>
                <w:rFonts w:ascii="Calibri" w:eastAsia="Calibri" w:hAnsi="Calibri"/>
                <w:lang w:eastAsia="en-US"/>
              </w:rPr>
            </w:pPr>
          </w:p>
          <w:p w:rsidR="00FC3D71" w:rsidRPr="00FC3D71" w:rsidRDefault="00FC3D71" w:rsidP="00FC3D71">
            <w:pPr>
              <w:tabs>
                <w:tab w:val="clear" w:pos="851"/>
              </w:tabs>
              <w:spacing w:after="0"/>
              <w:ind w:left="0"/>
              <w:jc w:val="left"/>
              <w:rPr>
                <w:rFonts w:ascii="Calibri" w:eastAsia="Calibri" w:hAnsi="Calibri"/>
                <w:lang w:eastAsia="en-US"/>
              </w:rPr>
            </w:pPr>
            <w:r w:rsidRPr="00FC3D71">
              <w:rPr>
                <w:rFonts w:ascii="Calibri" w:eastAsia="Calibri" w:hAnsi="Calibri"/>
                <w:lang w:eastAsia="en-US"/>
              </w:rPr>
              <w:t>28 June, 26 July</w:t>
            </w:r>
          </w:p>
          <w:p w:rsidR="00FC3D71" w:rsidRPr="00FC3D71" w:rsidRDefault="00FC3D71" w:rsidP="00FC3D71">
            <w:pPr>
              <w:tabs>
                <w:tab w:val="clear" w:pos="851"/>
              </w:tabs>
              <w:spacing w:after="0"/>
              <w:ind w:left="0"/>
              <w:jc w:val="left"/>
              <w:rPr>
                <w:rFonts w:ascii="Calibri" w:eastAsia="Calibri" w:hAnsi="Calibri"/>
                <w:lang w:eastAsia="en-US"/>
              </w:rPr>
            </w:pPr>
            <w:r w:rsidRPr="00FC3D71">
              <w:rPr>
                <w:rFonts w:ascii="Calibri" w:eastAsia="Calibri" w:hAnsi="Calibri"/>
                <w:lang w:eastAsia="en-US"/>
              </w:rPr>
              <w:t>30 Aug</w:t>
            </w:r>
          </w:p>
        </w:tc>
      </w:tr>
      <w:tr w:rsidR="00FC3D71" w:rsidRPr="00FC3D71" w:rsidTr="00BC4CFE">
        <w:tc>
          <w:tcPr>
            <w:tcW w:w="1696" w:type="dxa"/>
          </w:tcPr>
          <w:p w:rsidR="00FC3D71" w:rsidRPr="00FC3D71" w:rsidRDefault="00FC3D71" w:rsidP="00FC3D71">
            <w:pPr>
              <w:tabs>
                <w:tab w:val="clear" w:pos="851"/>
              </w:tabs>
              <w:spacing w:after="0"/>
              <w:ind w:left="0"/>
              <w:jc w:val="left"/>
              <w:rPr>
                <w:rFonts w:ascii="Calibri" w:eastAsia="Calibri" w:hAnsi="Calibri"/>
                <w:b/>
                <w:lang w:eastAsia="en-US"/>
              </w:rPr>
            </w:pPr>
            <w:r w:rsidRPr="00FC3D71">
              <w:rPr>
                <w:rFonts w:ascii="Calibri" w:eastAsia="Calibri" w:hAnsi="Calibri"/>
                <w:b/>
                <w:lang w:eastAsia="en-US"/>
              </w:rPr>
              <w:t>Affordability</w:t>
            </w:r>
          </w:p>
        </w:tc>
        <w:tc>
          <w:tcPr>
            <w:tcW w:w="5247" w:type="dxa"/>
          </w:tcPr>
          <w:p w:rsidR="00FC3D71" w:rsidRPr="00FC3D71" w:rsidRDefault="00FC3D71" w:rsidP="00FC3D71">
            <w:pPr>
              <w:tabs>
                <w:tab w:val="clear" w:pos="851"/>
              </w:tabs>
              <w:spacing w:after="0"/>
              <w:ind w:left="0"/>
              <w:jc w:val="left"/>
              <w:rPr>
                <w:rFonts w:ascii="Calibri" w:eastAsia="Calibri" w:hAnsi="Calibri"/>
                <w:lang w:eastAsia="en-US"/>
              </w:rPr>
            </w:pPr>
            <w:r w:rsidRPr="00FC3D71">
              <w:rPr>
                <w:rFonts w:ascii="Calibri" w:eastAsia="Calibri" w:hAnsi="Calibri"/>
                <w:lang w:eastAsia="en-US"/>
              </w:rPr>
              <w:t>6 Work supporting bill levels, profile and social tariff.</w:t>
            </w:r>
          </w:p>
        </w:tc>
        <w:tc>
          <w:tcPr>
            <w:tcW w:w="1157" w:type="dxa"/>
          </w:tcPr>
          <w:p w:rsidR="00FC3D71" w:rsidRPr="00FC3D71" w:rsidRDefault="00FC3D71" w:rsidP="00FC3D71">
            <w:pPr>
              <w:tabs>
                <w:tab w:val="clear" w:pos="851"/>
              </w:tabs>
              <w:spacing w:after="0"/>
              <w:ind w:left="0"/>
              <w:jc w:val="left"/>
              <w:rPr>
                <w:rFonts w:ascii="Calibri" w:eastAsia="Calibri" w:hAnsi="Calibri"/>
                <w:lang w:eastAsia="en-US"/>
              </w:rPr>
            </w:pPr>
            <w:r w:rsidRPr="00FC3D71">
              <w:rPr>
                <w:rFonts w:ascii="Calibri" w:eastAsia="Calibri" w:hAnsi="Calibri"/>
                <w:lang w:eastAsia="en-US"/>
              </w:rPr>
              <w:t>HMGO/</w:t>
            </w:r>
          </w:p>
          <w:p w:rsidR="00FC3D71" w:rsidRPr="00FC3D71" w:rsidRDefault="00FC3D71" w:rsidP="00FC3D71">
            <w:pPr>
              <w:tabs>
                <w:tab w:val="clear" w:pos="851"/>
              </w:tabs>
              <w:spacing w:after="0"/>
              <w:ind w:left="0"/>
              <w:jc w:val="left"/>
              <w:rPr>
                <w:rFonts w:ascii="Calibri" w:eastAsia="Calibri" w:hAnsi="Calibri"/>
                <w:lang w:eastAsia="en-US"/>
              </w:rPr>
            </w:pPr>
            <w:r w:rsidRPr="00FC3D71">
              <w:rPr>
                <w:rFonts w:ascii="Calibri" w:eastAsia="Calibri" w:hAnsi="Calibri"/>
                <w:lang w:eastAsia="en-US"/>
              </w:rPr>
              <w:t>PAB</w:t>
            </w:r>
          </w:p>
        </w:tc>
        <w:tc>
          <w:tcPr>
            <w:tcW w:w="1109" w:type="dxa"/>
          </w:tcPr>
          <w:p w:rsidR="00FC3D71" w:rsidRPr="00FC3D71" w:rsidRDefault="00FC3D71" w:rsidP="00FC3D71">
            <w:pPr>
              <w:tabs>
                <w:tab w:val="clear" w:pos="851"/>
              </w:tabs>
              <w:spacing w:after="0"/>
              <w:ind w:left="0"/>
              <w:jc w:val="left"/>
              <w:rPr>
                <w:rFonts w:ascii="Calibri" w:eastAsia="Calibri" w:hAnsi="Calibri"/>
                <w:lang w:eastAsia="en-US"/>
              </w:rPr>
            </w:pPr>
            <w:r w:rsidRPr="00FC3D71">
              <w:rPr>
                <w:rFonts w:ascii="Calibri" w:eastAsia="Calibri" w:hAnsi="Calibri"/>
                <w:lang w:eastAsia="en-US"/>
              </w:rPr>
              <w:t>24 May</w:t>
            </w:r>
          </w:p>
        </w:tc>
        <w:tc>
          <w:tcPr>
            <w:tcW w:w="1725" w:type="dxa"/>
          </w:tcPr>
          <w:p w:rsidR="00FC3D71" w:rsidRPr="00FC3D71" w:rsidRDefault="00FC3D71" w:rsidP="00FC3D71">
            <w:pPr>
              <w:tabs>
                <w:tab w:val="clear" w:pos="851"/>
              </w:tabs>
              <w:spacing w:after="0"/>
              <w:ind w:left="11"/>
              <w:jc w:val="left"/>
              <w:rPr>
                <w:rFonts w:ascii="Calibri" w:eastAsia="Calibri" w:hAnsi="Calibri"/>
                <w:lang w:eastAsia="en-US"/>
              </w:rPr>
            </w:pPr>
            <w:r w:rsidRPr="00FC3D71">
              <w:rPr>
                <w:rFonts w:ascii="Calibri" w:eastAsia="Calibri" w:hAnsi="Calibri"/>
                <w:lang w:eastAsia="en-US"/>
              </w:rPr>
              <w:t>28 July, 9 Aug</w:t>
            </w:r>
          </w:p>
          <w:p w:rsidR="00FC3D71" w:rsidRPr="00FC3D71" w:rsidRDefault="00FC3D71" w:rsidP="00FC3D71">
            <w:pPr>
              <w:tabs>
                <w:tab w:val="clear" w:pos="851"/>
              </w:tabs>
              <w:spacing w:after="0"/>
              <w:ind w:left="11"/>
              <w:jc w:val="left"/>
              <w:rPr>
                <w:rFonts w:ascii="Calibri" w:eastAsia="Calibri" w:hAnsi="Calibri"/>
                <w:lang w:eastAsia="en-US"/>
              </w:rPr>
            </w:pPr>
            <w:r w:rsidRPr="00FC3D71">
              <w:rPr>
                <w:rFonts w:ascii="Calibri" w:eastAsia="Calibri" w:hAnsi="Calibri"/>
                <w:lang w:eastAsia="en-US"/>
              </w:rPr>
              <w:t>30 Aug</w:t>
            </w:r>
          </w:p>
        </w:tc>
      </w:tr>
      <w:tr w:rsidR="00FC3D71" w:rsidRPr="00FC3D71" w:rsidTr="00BC4CFE">
        <w:tc>
          <w:tcPr>
            <w:tcW w:w="1696" w:type="dxa"/>
          </w:tcPr>
          <w:p w:rsidR="00FC3D71" w:rsidRPr="00FC3D71" w:rsidRDefault="00FC3D71" w:rsidP="00FC3D71">
            <w:pPr>
              <w:tabs>
                <w:tab w:val="clear" w:pos="851"/>
              </w:tabs>
              <w:spacing w:after="0"/>
              <w:ind w:left="0"/>
              <w:jc w:val="left"/>
              <w:rPr>
                <w:rFonts w:ascii="Calibri" w:eastAsia="Calibri" w:hAnsi="Calibri"/>
                <w:b/>
                <w:lang w:eastAsia="en-US"/>
              </w:rPr>
            </w:pPr>
            <w:r w:rsidRPr="00FC3D71">
              <w:rPr>
                <w:rFonts w:ascii="Calibri" w:eastAsia="Calibri" w:hAnsi="Calibri"/>
                <w:b/>
                <w:lang w:eastAsia="en-US"/>
              </w:rPr>
              <w:t>Outcomes</w:t>
            </w:r>
          </w:p>
        </w:tc>
        <w:tc>
          <w:tcPr>
            <w:tcW w:w="5247" w:type="dxa"/>
          </w:tcPr>
          <w:p w:rsidR="00FC3D71" w:rsidRPr="00FC3D71" w:rsidRDefault="00FC3D71" w:rsidP="00FC3D71">
            <w:pPr>
              <w:tabs>
                <w:tab w:val="clear" w:pos="851"/>
              </w:tabs>
              <w:spacing w:after="0"/>
              <w:ind w:left="0"/>
              <w:jc w:val="left"/>
              <w:rPr>
                <w:rFonts w:ascii="Calibri" w:eastAsia="Calibri" w:hAnsi="Calibri"/>
                <w:lang w:eastAsia="en-US"/>
              </w:rPr>
            </w:pPr>
            <w:r w:rsidRPr="00FC3D71">
              <w:rPr>
                <w:rFonts w:ascii="Calibri" w:eastAsia="Calibri" w:hAnsi="Calibri"/>
                <w:lang w:eastAsia="en-US"/>
              </w:rPr>
              <w:t>7 Outcome and ODI proposals including rewards &amp; penalties</w:t>
            </w:r>
          </w:p>
          <w:p w:rsidR="00FC3D71" w:rsidRPr="00FC3D71" w:rsidRDefault="00FC3D71" w:rsidP="00FC3D71">
            <w:pPr>
              <w:tabs>
                <w:tab w:val="clear" w:pos="851"/>
              </w:tabs>
              <w:spacing w:after="0"/>
              <w:ind w:left="0"/>
              <w:jc w:val="left"/>
              <w:rPr>
                <w:rFonts w:ascii="Calibri" w:eastAsia="Calibri" w:hAnsi="Calibri"/>
                <w:lang w:eastAsia="en-US"/>
              </w:rPr>
            </w:pPr>
            <w:r w:rsidRPr="00FC3D71">
              <w:rPr>
                <w:rFonts w:ascii="Calibri" w:eastAsia="Calibri" w:hAnsi="Calibri"/>
                <w:lang w:eastAsia="en-US"/>
              </w:rPr>
              <w:t>8 Customer engagement activity against Outcomes and Performance Commitments.</w:t>
            </w:r>
          </w:p>
          <w:p w:rsidR="00FC3D71" w:rsidRPr="00FC3D71" w:rsidRDefault="00FC3D71" w:rsidP="00FC3D71">
            <w:pPr>
              <w:tabs>
                <w:tab w:val="clear" w:pos="851"/>
              </w:tabs>
              <w:spacing w:after="0"/>
              <w:ind w:left="0"/>
              <w:jc w:val="left"/>
              <w:rPr>
                <w:rFonts w:ascii="Calibri" w:eastAsia="Calibri" w:hAnsi="Calibri"/>
                <w:lang w:eastAsia="en-US"/>
              </w:rPr>
            </w:pPr>
            <w:r w:rsidRPr="00FC3D71">
              <w:rPr>
                <w:rFonts w:ascii="Calibri" w:eastAsia="Calibri" w:hAnsi="Calibri"/>
                <w:lang w:eastAsia="en-US"/>
              </w:rPr>
              <w:t>9 Company’s planned approach to reporting on PCs &amp; ODIs.</w:t>
            </w:r>
          </w:p>
          <w:p w:rsidR="00FC3D71" w:rsidRPr="00FC3D71" w:rsidRDefault="00FC3D71" w:rsidP="00FC3D71">
            <w:pPr>
              <w:tabs>
                <w:tab w:val="clear" w:pos="851"/>
              </w:tabs>
              <w:spacing w:after="0"/>
              <w:ind w:left="0"/>
              <w:jc w:val="left"/>
              <w:rPr>
                <w:rFonts w:ascii="Calibri" w:eastAsia="Calibri" w:hAnsi="Calibri"/>
                <w:lang w:eastAsia="en-US"/>
              </w:rPr>
            </w:pPr>
            <w:r w:rsidRPr="00FC3D71">
              <w:rPr>
                <w:rFonts w:ascii="Calibri" w:eastAsia="Calibri" w:hAnsi="Calibri"/>
                <w:lang w:eastAsia="en-US"/>
              </w:rPr>
              <w:t>10 Supporting PC levels (stretch targets).</w:t>
            </w:r>
          </w:p>
          <w:p w:rsidR="00FC3D71" w:rsidRPr="00FC3D71" w:rsidRDefault="00FC3D71" w:rsidP="00FC3D71">
            <w:pPr>
              <w:tabs>
                <w:tab w:val="clear" w:pos="851"/>
              </w:tabs>
              <w:spacing w:after="0"/>
              <w:ind w:left="0"/>
              <w:jc w:val="left"/>
              <w:rPr>
                <w:rFonts w:ascii="Calibri" w:eastAsia="Calibri" w:hAnsi="Calibri"/>
                <w:lang w:eastAsia="en-US"/>
              </w:rPr>
            </w:pPr>
          </w:p>
          <w:p w:rsidR="00FC3D71" w:rsidRPr="00FC3D71" w:rsidRDefault="00FC3D71" w:rsidP="00FC3D71">
            <w:pPr>
              <w:tabs>
                <w:tab w:val="clear" w:pos="851"/>
              </w:tabs>
              <w:spacing w:after="0"/>
              <w:ind w:left="0"/>
              <w:jc w:val="left"/>
              <w:rPr>
                <w:rFonts w:ascii="Calibri" w:eastAsia="Calibri" w:hAnsi="Calibri"/>
                <w:lang w:eastAsia="en-US"/>
              </w:rPr>
            </w:pPr>
            <w:r w:rsidRPr="00FC3D71">
              <w:rPr>
                <w:rFonts w:ascii="Calibri" w:eastAsia="Calibri" w:hAnsi="Calibri"/>
                <w:lang w:eastAsia="en-US"/>
              </w:rPr>
              <w:t>10a Paper covering results of research on Rewards and Penalties</w:t>
            </w:r>
          </w:p>
        </w:tc>
        <w:tc>
          <w:tcPr>
            <w:tcW w:w="1157" w:type="dxa"/>
          </w:tcPr>
          <w:p w:rsidR="00FC3D71" w:rsidRPr="00FC3D71" w:rsidRDefault="00FC3D71" w:rsidP="00FC3D71">
            <w:pPr>
              <w:tabs>
                <w:tab w:val="clear" w:pos="851"/>
              </w:tabs>
              <w:spacing w:after="0"/>
              <w:ind w:left="0"/>
              <w:jc w:val="left"/>
              <w:rPr>
                <w:rFonts w:ascii="Calibri" w:eastAsia="Calibri" w:hAnsi="Calibri"/>
                <w:lang w:eastAsia="en-US"/>
              </w:rPr>
            </w:pPr>
            <w:r w:rsidRPr="00FC3D71">
              <w:rPr>
                <w:rFonts w:ascii="Calibri" w:eastAsia="Calibri" w:hAnsi="Calibri"/>
                <w:lang w:eastAsia="en-US"/>
              </w:rPr>
              <w:t>SM</w:t>
            </w:r>
          </w:p>
          <w:p w:rsidR="00FC3D71" w:rsidRPr="00FC3D71" w:rsidRDefault="00FC3D71" w:rsidP="00FC3D71">
            <w:pPr>
              <w:tabs>
                <w:tab w:val="clear" w:pos="851"/>
              </w:tabs>
              <w:spacing w:after="0"/>
              <w:ind w:left="0"/>
              <w:jc w:val="left"/>
              <w:rPr>
                <w:rFonts w:ascii="Calibri" w:eastAsia="Calibri" w:hAnsi="Calibri"/>
                <w:lang w:eastAsia="en-US"/>
              </w:rPr>
            </w:pPr>
          </w:p>
          <w:p w:rsidR="00FC3D71" w:rsidRPr="00FC3D71" w:rsidRDefault="00FC3D71" w:rsidP="00FC3D71">
            <w:pPr>
              <w:tabs>
                <w:tab w:val="clear" w:pos="851"/>
              </w:tabs>
              <w:spacing w:after="0"/>
              <w:ind w:left="0"/>
              <w:jc w:val="left"/>
              <w:rPr>
                <w:rFonts w:ascii="Calibri" w:eastAsia="Calibri" w:hAnsi="Calibri"/>
                <w:lang w:eastAsia="en-US"/>
              </w:rPr>
            </w:pPr>
            <w:r w:rsidRPr="00FC3D71">
              <w:rPr>
                <w:rFonts w:ascii="Calibri" w:eastAsia="Calibri" w:hAnsi="Calibri"/>
                <w:lang w:eastAsia="en-US"/>
              </w:rPr>
              <w:t>SM</w:t>
            </w:r>
          </w:p>
          <w:p w:rsidR="00FC3D71" w:rsidRPr="00FC3D71" w:rsidRDefault="00FC3D71" w:rsidP="00FC3D71">
            <w:pPr>
              <w:tabs>
                <w:tab w:val="clear" w:pos="851"/>
              </w:tabs>
              <w:spacing w:after="0"/>
              <w:ind w:left="0"/>
              <w:jc w:val="left"/>
              <w:rPr>
                <w:rFonts w:ascii="Calibri" w:eastAsia="Calibri" w:hAnsi="Calibri"/>
                <w:lang w:eastAsia="en-US"/>
              </w:rPr>
            </w:pPr>
          </w:p>
          <w:p w:rsidR="00FC3D71" w:rsidRPr="00FC3D71" w:rsidRDefault="00FC3D71" w:rsidP="00FC3D71">
            <w:pPr>
              <w:tabs>
                <w:tab w:val="clear" w:pos="851"/>
              </w:tabs>
              <w:spacing w:after="0"/>
              <w:ind w:left="0"/>
              <w:jc w:val="left"/>
              <w:rPr>
                <w:rFonts w:ascii="Calibri" w:eastAsia="Calibri" w:hAnsi="Calibri"/>
                <w:lang w:eastAsia="en-US"/>
              </w:rPr>
            </w:pPr>
            <w:r w:rsidRPr="00FC3D71">
              <w:rPr>
                <w:rFonts w:ascii="Calibri" w:eastAsia="Calibri" w:hAnsi="Calibri"/>
                <w:lang w:eastAsia="en-US"/>
              </w:rPr>
              <w:t>SM</w:t>
            </w:r>
          </w:p>
          <w:p w:rsidR="00FC3D71" w:rsidRPr="00FC3D71" w:rsidRDefault="00FC3D71" w:rsidP="00FC3D71">
            <w:pPr>
              <w:tabs>
                <w:tab w:val="clear" w:pos="851"/>
              </w:tabs>
              <w:spacing w:after="0"/>
              <w:ind w:left="0"/>
              <w:jc w:val="left"/>
              <w:rPr>
                <w:rFonts w:ascii="Calibri" w:eastAsia="Calibri" w:hAnsi="Calibri"/>
                <w:lang w:eastAsia="en-US"/>
              </w:rPr>
            </w:pPr>
            <w:r w:rsidRPr="00FC3D71">
              <w:rPr>
                <w:rFonts w:ascii="Calibri" w:eastAsia="Calibri" w:hAnsi="Calibri"/>
                <w:lang w:eastAsia="en-US"/>
              </w:rPr>
              <w:t>SM</w:t>
            </w:r>
          </w:p>
        </w:tc>
        <w:tc>
          <w:tcPr>
            <w:tcW w:w="1109" w:type="dxa"/>
          </w:tcPr>
          <w:p w:rsidR="00FC3D71" w:rsidRPr="00FC3D71" w:rsidRDefault="00FC3D71" w:rsidP="00FC3D71">
            <w:pPr>
              <w:tabs>
                <w:tab w:val="clear" w:pos="851"/>
              </w:tabs>
              <w:spacing w:after="0"/>
              <w:ind w:left="0"/>
              <w:jc w:val="left"/>
              <w:rPr>
                <w:rFonts w:ascii="Calibri" w:eastAsia="Calibri" w:hAnsi="Calibri"/>
                <w:lang w:eastAsia="en-US"/>
              </w:rPr>
            </w:pPr>
            <w:r w:rsidRPr="00FC3D71">
              <w:rPr>
                <w:rFonts w:ascii="Calibri" w:eastAsia="Calibri" w:hAnsi="Calibri"/>
                <w:lang w:eastAsia="en-US"/>
              </w:rPr>
              <w:t>26 April</w:t>
            </w:r>
          </w:p>
          <w:p w:rsidR="00FC3D71" w:rsidRPr="00FC3D71" w:rsidRDefault="00FC3D71" w:rsidP="00FC3D71">
            <w:pPr>
              <w:tabs>
                <w:tab w:val="clear" w:pos="851"/>
              </w:tabs>
              <w:spacing w:after="0"/>
              <w:ind w:left="0"/>
              <w:jc w:val="left"/>
              <w:rPr>
                <w:rFonts w:ascii="Calibri" w:eastAsia="Calibri" w:hAnsi="Calibri"/>
                <w:lang w:eastAsia="en-US"/>
              </w:rPr>
            </w:pPr>
          </w:p>
          <w:p w:rsidR="00FC3D71" w:rsidRPr="00FC3D71" w:rsidRDefault="00FC3D71" w:rsidP="00FC3D71">
            <w:pPr>
              <w:tabs>
                <w:tab w:val="clear" w:pos="851"/>
              </w:tabs>
              <w:spacing w:after="0"/>
              <w:ind w:left="0"/>
              <w:jc w:val="left"/>
              <w:rPr>
                <w:rFonts w:ascii="Calibri" w:eastAsia="Calibri" w:hAnsi="Calibri"/>
                <w:lang w:eastAsia="en-US"/>
              </w:rPr>
            </w:pPr>
            <w:r w:rsidRPr="00FC3D71">
              <w:rPr>
                <w:rFonts w:ascii="Calibri" w:eastAsia="Calibri" w:hAnsi="Calibri"/>
                <w:lang w:eastAsia="en-US"/>
              </w:rPr>
              <w:t>22 Feb</w:t>
            </w:r>
          </w:p>
          <w:p w:rsidR="00FC3D71" w:rsidRPr="00FC3D71" w:rsidRDefault="00FC3D71" w:rsidP="00FC3D71">
            <w:pPr>
              <w:tabs>
                <w:tab w:val="clear" w:pos="851"/>
              </w:tabs>
              <w:spacing w:after="0"/>
              <w:ind w:left="0"/>
              <w:jc w:val="left"/>
              <w:rPr>
                <w:rFonts w:ascii="Calibri" w:eastAsia="Calibri" w:hAnsi="Calibri"/>
                <w:lang w:eastAsia="en-US"/>
              </w:rPr>
            </w:pPr>
          </w:p>
          <w:p w:rsidR="00FC3D71" w:rsidRPr="00FC3D71" w:rsidRDefault="00FC3D71" w:rsidP="00FC3D71">
            <w:pPr>
              <w:tabs>
                <w:tab w:val="clear" w:pos="851"/>
              </w:tabs>
              <w:spacing w:after="0"/>
              <w:ind w:left="0"/>
              <w:jc w:val="left"/>
              <w:rPr>
                <w:rFonts w:ascii="Calibri" w:eastAsia="Calibri" w:hAnsi="Calibri"/>
                <w:lang w:eastAsia="en-US"/>
              </w:rPr>
            </w:pPr>
            <w:r w:rsidRPr="00FC3D71">
              <w:rPr>
                <w:rFonts w:ascii="Calibri" w:eastAsia="Calibri" w:hAnsi="Calibri"/>
                <w:lang w:eastAsia="en-US"/>
              </w:rPr>
              <w:t>26 April</w:t>
            </w:r>
          </w:p>
          <w:p w:rsidR="00FC3D71" w:rsidRPr="00FC3D71" w:rsidRDefault="00FC3D71" w:rsidP="00FC3D71">
            <w:pPr>
              <w:tabs>
                <w:tab w:val="clear" w:pos="851"/>
              </w:tabs>
              <w:spacing w:after="0"/>
              <w:ind w:left="0"/>
              <w:jc w:val="left"/>
              <w:rPr>
                <w:rFonts w:ascii="Calibri" w:eastAsia="Calibri" w:hAnsi="Calibri"/>
                <w:lang w:eastAsia="en-US"/>
              </w:rPr>
            </w:pPr>
            <w:r w:rsidRPr="00FC3D71">
              <w:rPr>
                <w:rFonts w:ascii="Calibri" w:eastAsia="Calibri" w:hAnsi="Calibri"/>
                <w:lang w:eastAsia="en-US"/>
              </w:rPr>
              <w:t>26 April</w:t>
            </w:r>
          </w:p>
          <w:p w:rsidR="00FC3D71" w:rsidRPr="00FC3D71" w:rsidRDefault="00FC3D71" w:rsidP="00FC3D71">
            <w:pPr>
              <w:tabs>
                <w:tab w:val="clear" w:pos="851"/>
              </w:tabs>
              <w:spacing w:after="0"/>
              <w:ind w:left="0"/>
              <w:jc w:val="left"/>
              <w:rPr>
                <w:rFonts w:ascii="Calibri" w:eastAsia="Calibri" w:hAnsi="Calibri"/>
                <w:lang w:eastAsia="en-US"/>
              </w:rPr>
            </w:pPr>
            <w:r w:rsidRPr="00FC3D71">
              <w:rPr>
                <w:rFonts w:ascii="Calibri" w:eastAsia="Calibri" w:hAnsi="Calibri"/>
                <w:lang w:eastAsia="en-US"/>
              </w:rPr>
              <w:t>26 April</w:t>
            </w:r>
          </w:p>
        </w:tc>
        <w:tc>
          <w:tcPr>
            <w:tcW w:w="1725" w:type="dxa"/>
          </w:tcPr>
          <w:p w:rsidR="00FC3D71" w:rsidRPr="00FC3D71" w:rsidRDefault="00FC3D71" w:rsidP="00FC3D71">
            <w:pPr>
              <w:tabs>
                <w:tab w:val="clear" w:pos="851"/>
              </w:tabs>
              <w:spacing w:after="0"/>
              <w:ind w:left="11"/>
              <w:jc w:val="left"/>
              <w:rPr>
                <w:rFonts w:ascii="Calibri" w:eastAsia="Calibri" w:hAnsi="Calibri"/>
                <w:lang w:eastAsia="en-US"/>
              </w:rPr>
            </w:pPr>
            <w:r w:rsidRPr="00FC3D71">
              <w:rPr>
                <w:rFonts w:ascii="Calibri" w:eastAsia="Calibri" w:hAnsi="Calibri"/>
                <w:lang w:eastAsia="en-US"/>
              </w:rPr>
              <w:t>26 April, 28 June, 26 July</w:t>
            </w:r>
          </w:p>
          <w:p w:rsidR="00FC3D71" w:rsidRPr="00FC3D71" w:rsidRDefault="00FC3D71" w:rsidP="00FC3D71">
            <w:pPr>
              <w:tabs>
                <w:tab w:val="clear" w:pos="851"/>
              </w:tabs>
              <w:spacing w:after="0"/>
              <w:ind w:left="11"/>
              <w:jc w:val="left"/>
              <w:rPr>
                <w:rFonts w:ascii="Calibri" w:eastAsia="Calibri" w:hAnsi="Calibri"/>
                <w:lang w:eastAsia="en-US"/>
              </w:rPr>
            </w:pPr>
          </w:p>
          <w:p w:rsidR="00FC3D71" w:rsidRPr="00FC3D71" w:rsidRDefault="00FC3D71" w:rsidP="00FC3D71">
            <w:pPr>
              <w:tabs>
                <w:tab w:val="clear" w:pos="851"/>
              </w:tabs>
              <w:spacing w:after="0"/>
              <w:ind w:left="11"/>
              <w:jc w:val="left"/>
              <w:rPr>
                <w:rFonts w:ascii="Calibri" w:eastAsia="Calibri" w:hAnsi="Calibri"/>
                <w:lang w:eastAsia="en-US"/>
              </w:rPr>
            </w:pPr>
            <w:r w:rsidRPr="00FC3D71">
              <w:rPr>
                <w:rFonts w:ascii="Calibri" w:eastAsia="Calibri" w:hAnsi="Calibri"/>
                <w:lang w:eastAsia="en-US"/>
              </w:rPr>
              <w:t>22 Feb</w:t>
            </w:r>
          </w:p>
          <w:p w:rsidR="00FC3D71" w:rsidRPr="00FC3D71" w:rsidRDefault="00FC3D71" w:rsidP="00FC3D71">
            <w:pPr>
              <w:tabs>
                <w:tab w:val="clear" w:pos="851"/>
              </w:tabs>
              <w:spacing w:after="0"/>
              <w:ind w:left="11"/>
              <w:jc w:val="left"/>
              <w:rPr>
                <w:rFonts w:ascii="Calibri" w:eastAsia="Calibri" w:hAnsi="Calibri"/>
                <w:lang w:eastAsia="en-US"/>
              </w:rPr>
            </w:pPr>
          </w:p>
          <w:p w:rsidR="00FC3D71" w:rsidRPr="00FC3D71" w:rsidRDefault="00FC3D71" w:rsidP="00FC3D71">
            <w:pPr>
              <w:tabs>
                <w:tab w:val="clear" w:pos="851"/>
              </w:tabs>
              <w:spacing w:after="0"/>
              <w:ind w:left="11"/>
              <w:jc w:val="left"/>
              <w:rPr>
                <w:rFonts w:ascii="Calibri" w:eastAsia="Calibri" w:hAnsi="Calibri"/>
                <w:lang w:eastAsia="en-US"/>
              </w:rPr>
            </w:pPr>
            <w:r w:rsidRPr="00FC3D71">
              <w:rPr>
                <w:rFonts w:ascii="Calibri" w:eastAsia="Calibri" w:hAnsi="Calibri"/>
                <w:lang w:eastAsia="en-US"/>
              </w:rPr>
              <w:t>26 April</w:t>
            </w:r>
          </w:p>
          <w:p w:rsidR="00FC3D71" w:rsidRPr="00FC3D71" w:rsidRDefault="00FC3D71" w:rsidP="00FC3D71">
            <w:pPr>
              <w:tabs>
                <w:tab w:val="clear" w:pos="851"/>
              </w:tabs>
              <w:spacing w:after="0"/>
              <w:ind w:left="11"/>
              <w:jc w:val="left"/>
              <w:rPr>
                <w:rFonts w:ascii="Calibri" w:eastAsia="Calibri" w:hAnsi="Calibri"/>
                <w:lang w:eastAsia="en-US"/>
              </w:rPr>
            </w:pPr>
            <w:r w:rsidRPr="00FC3D71">
              <w:rPr>
                <w:rFonts w:ascii="Calibri" w:eastAsia="Calibri" w:hAnsi="Calibri"/>
                <w:lang w:eastAsia="en-US"/>
              </w:rPr>
              <w:t>26 April</w:t>
            </w:r>
          </w:p>
          <w:p w:rsidR="00FC3D71" w:rsidRPr="00FC3D71" w:rsidRDefault="00FC3D71" w:rsidP="00FC3D71">
            <w:pPr>
              <w:tabs>
                <w:tab w:val="clear" w:pos="851"/>
              </w:tabs>
              <w:spacing w:after="0"/>
              <w:ind w:left="11"/>
              <w:jc w:val="left"/>
              <w:rPr>
                <w:rFonts w:ascii="Calibri" w:eastAsia="Calibri" w:hAnsi="Calibri"/>
                <w:lang w:eastAsia="en-US"/>
              </w:rPr>
            </w:pPr>
            <w:r w:rsidRPr="00FC3D71">
              <w:rPr>
                <w:rFonts w:ascii="Calibri" w:eastAsia="Calibri" w:hAnsi="Calibri"/>
                <w:lang w:eastAsia="en-US"/>
              </w:rPr>
              <w:t>26 April, 28 June, 26 July</w:t>
            </w:r>
          </w:p>
          <w:p w:rsidR="00FC3D71" w:rsidRPr="00FC3D71" w:rsidRDefault="00FC3D71" w:rsidP="00FC3D71">
            <w:pPr>
              <w:tabs>
                <w:tab w:val="clear" w:pos="851"/>
              </w:tabs>
              <w:spacing w:after="0"/>
              <w:ind w:left="11"/>
              <w:jc w:val="left"/>
              <w:rPr>
                <w:rFonts w:ascii="Calibri" w:eastAsia="Calibri" w:hAnsi="Calibri"/>
                <w:lang w:eastAsia="en-US"/>
              </w:rPr>
            </w:pPr>
            <w:r w:rsidRPr="00FC3D71">
              <w:rPr>
                <w:rFonts w:ascii="Calibri" w:eastAsia="Calibri" w:hAnsi="Calibri"/>
                <w:lang w:eastAsia="en-US"/>
              </w:rPr>
              <w:t>26 April, 24 May, 26 July</w:t>
            </w:r>
          </w:p>
        </w:tc>
      </w:tr>
      <w:tr w:rsidR="00FC3D71" w:rsidRPr="00FC3D71" w:rsidTr="00BC4CFE">
        <w:tc>
          <w:tcPr>
            <w:tcW w:w="1696" w:type="dxa"/>
          </w:tcPr>
          <w:p w:rsidR="00FC3D71" w:rsidRPr="00FC3D71" w:rsidRDefault="00FC3D71" w:rsidP="00FC3D71">
            <w:pPr>
              <w:tabs>
                <w:tab w:val="clear" w:pos="851"/>
              </w:tabs>
              <w:spacing w:after="0"/>
              <w:ind w:left="0"/>
              <w:jc w:val="left"/>
              <w:rPr>
                <w:rFonts w:ascii="Calibri" w:eastAsia="Calibri" w:hAnsi="Calibri"/>
                <w:b/>
                <w:lang w:eastAsia="en-US"/>
              </w:rPr>
            </w:pPr>
            <w:r w:rsidRPr="00FC3D71">
              <w:rPr>
                <w:rFonts w:ascii="Calibri" w:eastAsia="Calibri" w:hAnsi="Calibri"/>
                <w:b/>
                <w:lang w:eastAsia="en-US"/>
              </w:rPr>
              <w:t>Resilience</w:t>
            </w:r>
          </w:p>
        </w:tc>
        <w:tc>
          <w:tcPr>
            <w:tcW w:w="5247" w:type="dxa"/>
          </w:tcPr>
          <w:p w:rsidR="00FC3D71" w:rsidRPr="00FC3D71" w:rsidRDefault="00FC3D71" w:rsidP="00FC3D71">
            <w:pPr>
              <w:tabs>
                <w:tab w:val="clear" w:pos="851"/>
              </w:tabs>
              <w:spacing w:after="0"/>
              <w:ind w:left="0"/>
              <w:jc w:val="left"/>
              <w:rPr>
                <w:rFonts w:ascii="Calibri" w:eastAsia="Calibri" w:hAnsi="Calibri"/>
                <w:lang w:eastAsia="en-US"/>
              </w:rPr>
            </w:pPr>
            <w:r w:rsidRPr="00FC3D71">
              <w:rPr>
                <w:rFonts w:ascii="Calibri" w:eastAsia="Calibri" w:hAnsi="Calibri"/>
                <w:lang w:eastAsia="en-US"/>
              </w:rPr>
              <w:t xml:space="preserve">11a Papers covering; operational resilience, </w:t>
            </w:r>
          </w:p>
          <w:p w:rsidR="00FC3D71" w:rsidRPr="00FC3D71" w:rsidRDefault="00FC3D71" w:rsidP="00FC3D71">
            <w:pPr>
              <w:tabs>
                <w:tab w:val="clear" w:pos="851"/>
              </w:tabs>
              <w:spacing w:after="0"/>
              <w:ind w:left="0"/>
              <w:jc w:val="left"/>
              <w:rPr>
                <w:rFonts w:ascii="Calibri" w:eastAsia="Calibri" w:hAnsi="Calibri"/>
                <w:lang w:eastAsia="en-US"/>
              </w:rPr>
            </w:pPr>
          </w:p>
          <w:p w:rsidR="00FC3D71" w:rsidRPr="00FC3D71" w:rsidRDefault="00FC3D71" w:rsidP="00FC3D71">
            <w:pPr>
              <w:tabs>
                <w:tab w:val="clear" w:pos="851"/>
              </w:tabs>
              <w:spacing w:after="0"/>
              <w:ind w:left="0"/>
              <w:jc w:val="left"/>
              <w:rPr>
                <w:rFonts w:ascii="Calibri" w:eastAsia="Calibri" w:hAnsi="Calibri"/>
                <w:lang w:eastAsia="en-US"/>
              </w:rPr>
            </w:pPr>
            <w:r w:rsidRPr="00FC3D71">
              <w:rPr>
                <w:rFonts w:ascii="Calibri" w:eastAsia="Calibri" w:hAnsi="Calibri"/>
                <w:lang w:eastAsia="en-US"/>
              </w:rPr>
              <w:t>11b financial resilience (scenario modelling),</w:t>
            </w:r>
          </w:p>
          <w:p w:rsidR="00FC3D71" w:rsidRPr="00FC3D71" w:rsidRDefault="00FC3D71" w:rsidP="00FC3D71">
            <w:pPr>
              <w:tabs>
                <w:tab w:val="clear" w:pos="851"/>
              </w:tabs>
              <w:spacing w:after="0"/>
              <w:ind w:left="0"/>
              <w:jc w:val="left"/>
              <w:rPr>
                <w:rFonts w:ascii="Calibri" w:eastAsia="Calibri" w:hAnsi="Calibri"/>
                <w:lang w:eastAsia="en-US"/>
              </w:rPr>
            </w:pPr>
          </w:p>
          <w:p w:rsidR="00FC3D71" w:rsidRPr="00FC3D71" w:rsidRDefault="00FC3D71" w:rsidP="00FC3D71">
            <w:pPr>
              <w:tabs>
                <w:tab w:val="clear" w:pos="851"/>
              </w:tabs>
              <w:spacing w:after="0"/>
              <w:ind w:left="0"/>
              <w:jc w:val="left"/>
              <w:rPr>
                <w:rFonts w:ascii="Calibri" w:eastAsia="Calibri" w:hAnsi="Calibri"/>
                <w:lang w:eastAsia="en-US"/>
              </w:rPr>
            </w:pPr>
            <w:r w:rsidRPr="00FC3D71">
              <w:rPr>
                <w:rFonts w:ascii="Calibri" w:eastAsia="Calibri" w:hAnsi="Calibri"/>
                <w:lang w:eastAsia="en-US"/>
              </w:rPr>
              <w:t>11c and overall “resilience in the round” – reports from individual Non Exec</w:t>
            </w:r>
          </w:p>
          <w:p w:rsidR="00FC3D71" w:rsidRPr="00FC3D71" w:rsidRDefault="00FC3D71" w:rsidP="00FC3D71">
            <w:pPr>
              <w:tabs>
                <w:tab w:val="clear" w:pos="851"/>
              </w:tabs>
              <w:spacing w:after="0"/>
              <w:ind w:left="0"/>
              <w:jc w:val="left"/>
              <w:rPr>
                <w:rFonts w:ascii="Calibri" w:eastAsia="Calibri" w:hAnsi="Calibri"/>
                <w:lang w:eastAsia="en-US"/>
              </w:rPr>
            </w:pPr>
            <w:r w:rsidRPr="00FC3D71">
              <w:rPr>
                <w:rFonts w:ascii="Calibri" w:eastAsia="Calibri" w:hAnsi="Calibri"/>
                <w:lang w:eastAsia="en-US"/>
              </w:rPr>
              <w:t>12 Review of customer engagement activity in relation to resilience.</w:t>
            </w:r>
          </w:p>
        </w:tc>
        <w:tc>
          <w:tcPr>
            <w:tcW w:w="1157" w:type="dxa"/>
          </w:tcPr>
          <w:p w:rsidR="00FC3D71" w:rsidRPr="00FC3D71" w:rsidRDefault="00FC3D71" w:rsidP="00FC3D71">
            <w:pPr>
              <w:tabs>
                <w:tab w:val="clear" w:pos="851"/>
              </w:tabs>
              <w:spacing w:after="0"/>
              <w:ind w:left="0"/>
              <w:jc w:val="left"/>
              <w:rPr>
                <w:rFonts w:ascii="Calibri" w:eastAsia="Calibri" w:hAnsi="Calibri"/>
                <w:lang w:eastAsia="en-US"/>
              </w:rPr>
            </w:pPr>
            <w:r w:rsidRPr="00FC3D71">
              <w:rPr>
                <w:rFonts w:ascii="Calibri" w:eastAsia="Calibri" w:hAnsi="Calibri"/>
                <w:lang w:eastAsia="en-US"/>
              </w:rPr>
              <w:t>RCP/NS</w:t>
            </w:r>
          </w:p>
          <w:p w:rsidR="00FC3D71" w:rsidRPr="00FC3D71" w:rsidRDefault="00FC3D71" w:rsidP="00FC3D71">
            <w:pPr>
              <w:tabs>
                <w:tab w:val="clear" w:pos="851"/>
              </w:tabs>
              <w:spacing w:after="0"/>
              <w:ind w:left="0"/>
              <w:jc w:val="left"/>
              <w:rPr>
                <w:rFonts w:ascii="Calibri" w:eastAsia="Calibri" w:hAnsi="Calibri"/>
                <w:lang w:eastAsia="en-US"/>
              </w:rPr>
            </w:pPr>
          </w:p>
          <w:p w:rsidR="00FC3D71" w:rsidRPr="00FC3D71" w:rsidRDefault="00FC3D71" w:rsidP="00FC3D71">
            <w:pPr>
              <w:tabs>
                <w:tab w:val="clear" w:pos="851"/>
              </w:tabs>
              <w:spacing w:after="0"/>
              <w:ind w:left="0"/>
              <w:jc w:val="left"/>
              <w:rPr>
                <w:rFonts w:ascii="Calibri" w:eastAsia="Calibri" w:hAnsi="Calibri"/>
                <w:lang w:eastAsia="en-US"/>
              </w:rPr>
            </w:pPr>
            <w:r w:rsidRPr="00FC3D71">
              <w:rPr>
                <w:rFonts w:ascii="Calibri" w:eastAsia="Calibri" w:hAnsi="Calibri"/>
                <w:lang w:eastAsia="en-US"/>
              </w:rPr>
              <w:t>HMGO</w:t>
            </w:r>
          </w:p>
          <w:p w:rsidR="00FC3D71" w:rsidRPr="00FC3D71" w:rsidRDefault="00FC3D71" w:rsidP="00FC3D71">
            <w:pPr>
              <w:tabs>
                <w:tab w:val="clear" w:pos="851"/>
              </w:tabs>
              <w:spacing w:after="0"/>
              <w:ind w:left="0"/>
              <w:jc w:val="left"/>
              <w:rPr>
                <w:rFonts w:ascii="Calibri" w:eastAsia="Calibri" w:hAnsi="Calibri"/>
                <w:lang w:eastAsia="en-US"/>
              </w:rPr>
            </w:pPr>
          </w:p>
          <w:p w:rsidR="00FC3D71" w:rsidRPr="00FC3D71" w:rsidRDefault="00FC3D71" w:rsidP="00FC3D71">
            <w:pPr>
              <w:tabs>
                <w:tab w:val="clear" w:pos="851"/>
              </w:tabs>
              <w:spacing w:after="0"/>
              <w:ind w:left="0"/>
              <w:jc w:val="left"/>
              <w:rPr>
                <w:rFonts w:ascii="Calibri" w:eastAsia="Calibri" w:hAnsi="Calibri"/>
                <w:lang w:eastAsia="en-US"/>
              </w:rPr>
            </w:pPr>
            <w:r w:rsidRPr="00FC3D71">
              <w:rPr>
                <w:rFonts w:ascii="Calibri" w:eastAsia="Calibri" w:hAnsi="Calibri"/>
                <w:lang w:eastAsia="en-US"/>
              </w:rPr>
              <w:t>MJ</w:t>
            </w:r>
          </w:p>
          <w:p w:rsidR="00FC3D71" w:rsidRPr="00FC3D71" w:rsidRDefault="00FC3D71" w:rsidP="00FC3D71">
            <w:pPr>
              <w:tabs>
                <w:tab w:val="clear" w:pos="851"/>
              </w:tabs>
              <w:spacing w:after="0"/>
              <w:ind w:left="0"/>
              <w:jc w:val="left"/>
              <w:rPr>
                <w:rFonts w:ascii="Calibri" w:eastAsia="Calibri" w:hAnsi="Calibri"/>
                <w:lang w:eastAsia="en-US"/>
              </w:rPr>
            </w:pPr>
          </w:p>
          <w:p w:rsidR="00FC3D71" w:rsidRPr="00FC3D71" w:rsidRDefault="00FC3D71" w:rsidP="00FC3D71">
            <w:pPr>
              <w:tabs>
                <w:tab w:val="clear" w:pos="851"/>
              </w:tabs>
              <w:spacing w:after="0"/>
              <w:ind w:left="0"/>
              <w:jc w:val="left"/>
              <w:rPr>
                <w:rFonts w:ascii="Calibri" w:eastAsia="Calibri" w:hAnsi="Calibri"/>
                <w:lang w:eastAsia="en-US"/>
              </w:rPr>
            </w:pPr>
            <w:r w:rsidRPr="00FC3D71">
              <w:rPr>
                <w:rFonts w:ascii="Calibri" w:eastAsia="Calibri" w:hAnsi="Calibri"/>
                <w:lang w:eastAsia="en-US"/>
              </w:rPr>
              <w:t>SM</w:t>
            </w:r>
          </w:p>
        </w:tc>
        <w:tc>
          <w:tcPr>
            <w:tcW w:w="1109" w:type="dxa"/>
          </w:tcPr>
          <w:p w:rsidR="00FC3D71" w:rsidRPr="00FC3D71" w:rsidRDefault="00FC3D71" w:rsidP="00FC3D71">
            <w:pPr>
              <w:tabs>
                <w:tab w:val="clear" w:pos="851"/>
              </w:tabs>
              <w:spacing w:after="0"/>
              <w:ind w:left="0"/>
              <w:jc w:val="left"/>
              <w:rPr>
                <w:rFonts w:ascii="Calibri" w:eastAsia="Calibri" w:hAnsi="Calibri"/>
                <w:lang w:eastAsia="en-US"/>
              </w:rPr>
            </w:pPr>
            <w:r w:rsidRPr="00FC3D71">
              <w:rPr>
                <w:rFonts w:ascii="Calibri" w:eastAsia="Calibri" w:hAnsi="Calibri"/>
                <w:lang w:eastAsia="en-US"/>
              </w:rPr>
              <w:t>22 Feb</w:t>
            </w:r>
          </w:p>
          <w:p w:rsidR="00FC3D71" w:rsidRPr="00FC3D71" w:rsidRDefault="00FC3D71" w:rsidP="00FC3D71">
            <w:pPr>
              <w:tabs>
                <w:tab w:val="clear" w:pos="851"/>
              </w:tabs>
              <w:spacing w:after="0"/>
              <w:ind w:left="0"/>
              <w:jc w:val="left"/>
              <w:rPr>
                <w:rFonts w:ascii="Calibri" w:eastAsia="Calibri" w:hAnsi="Calibri"/>
                <w:lang w:eastAsia="en-US"/>
              </w:rPr>
            </w:pPr>
          </w:p>
          <w:p w:rsidR="00FC3D71" w:rsidRPr="00FC3D71" w:rsidRDefault="00FC3D71" w:rsidP="00FC3D71">
            <w:pPr>
              <w:tabs>
                <w:tab w:val="clear" w:pos="851"/>
              </w:tabs>
              <w:spacing w:after="0"/>
              <w:ind w:left="0"/>
              <w:jc w:val="left"/>
              <w:rPr>
                <w:rFonts w:ascii="Calibri" w:eastAsia="Calibri" w:hAnsi="Calibri"/>
                <w:lang w:eastAsia="en-US"/>
              </w:rPr>
            </w:pPr>
            <w:r w:rsidRPr="00FC3D71">
              <w:rPr>
                <w:rFonts w:ascii="Calibri" w:eastAsia="Calibri" w:hAnsi="Calibri"/>
                <w:lang w:eastAsia="en-US"/>
              </w:rPr>
              <w:t>22 March</w:t>
            </w:r>
          </w:p>
          <w:p w:rsidR="00FC3D71" w:rsidRPr="00FC3D71" w:rsidRDefault="00FC3D71" w:rsidP="00FC3D71">
            <w:pPr>
              <w:tabs>
                <w:tab w:val="clear" w:pos="851"/>
              </w:tabs>
              <w:spacing w:after="0"/>
              <w:ind w:left="0"/>
              <w:jc w:val="left"/>
              <w:rPr>
                <w:rFonts w:ascii="Calibri" w:eastAsia="Calibri" w:hAnsi="Calibri"/>
                <w:lang w:eastAsia="en-US"/>
              </w:rPr>
            </w:pPr>
            <w:r w:rsidRPr="00FC3D71">
              <w:rPr>
                <w:rFonts w:ascii="Calibri" w:eastAsia="Calibri" w:hAnsi="Calibri"/>
                <w:lang w:eastAsia="en-US"/>
              </w:rPr>
              <w:t>26 April</w:t>
            </w:r>
          </w:p>
          <w:p w:rsidR="00FC3D71" w:rsidRPr="00FC3D71" w:rsidRDefault="00FC3D71" w:rsidP="00FC3D71">
            <w:pPr>
              <w:tabs>
                <w:tab w:val="clear" w:pos="851"/>
              </w:tabs>
              <w:spacing w:after="0"/>
              <w:ind w:left="0"/>
              <w:jc w:val="left"/>
              <w:rPr>
                <w:rFonts w:ascii="Calibri" w:eastAsia="Calibri" w:hAnsi="Calibri"/>
                <w:lang w:eastAsia="en-US"/>
              </w:rPr>
            </w:pPr>
            <w:r w:rsidRPr="00FC3D71">
              <w:rPr>
                <w:rFonts w:ascii="Calibri" w:eastAsia="Calibri" w:hAnsi="Calibri"/>
                <w:lang w:eastAsia="en-US"/>
              </w:rPr>
              <w:t>26 April</w:t>
            </w:r>
          </w:p>
          <w:p w:rsidR="00FC3D71" w:rsidRPr="00FC3D71" w:rsidRDefault="00FC3D71" w:rsidP="00FC3D71">
            <w:pPr>
              <w:tabs>
                <w:tab w:val="clear" w:pos="851"/>
              </w:tabs>
              <w:spacing w:after="0"/>
              <w:ind w:left="0"/>
              <w:jc w:val="left"/>
              <w:rPr>
                <w:rFonts w:ascii="Calibri" w:eastAsia="Calibri" w:hAnsi="Calibri"/>
                <w:lang w:eastAsia="en-US"/>
              </w:rPr>
            </w:pPr>
          </w:p>
          <w:p w:rsidR="00FC3D71" w:rsidRPr="00FC3D71" w:rsidRDefault="00FC3D71" w:rsidP="00FC3D71">
            <w:pPr>
              <w:tabs>
                <w:tab w:val="clear" w:pos="851"/>
              </w:tabs>
              <w:spacing w:after="0"/>
              <w:ind w:left="0"/>
              <w:jc w:val="left"/>
              <w:rPr>
                <w:rFonts w:ascii="Calibri" w:eastAsia="Calibri" w:hAnsi="Calibri"/>
                <w:lang w:eastAsia="en-US"/>
              </w:rPr>
            </w:pPr>
          </w:p>
          <w:p w:rsidR="00FC3D71" w:rsidRPr="00FC3D71" w:rsidRDefault="00FC3D71" w:rsidP="00FC3D71">
            <w:pPr>
              <w:tabs>
                <w:tab w:val="clear" w:pos="851"/>
              </w:tabs>
              <w:spacing w:after="0"/>
              <w:ind w:left="0"/>
              <w:jc w:val="left"/>
              <w:rPr>
                <w:rFonts w:ascii="Calibri" w:eastAsia="Calibri" w:hAnsi="Calibri"/>
                <w:lang w:eastAsia="en-US"/>
              </w:rPr>
            </w:pPr>
            <w:r w:rsidRPr="00FC3D71">
              <w:rPr>
                <w:rFonts w:ascii="Calibri" w:eastAsia="Calibri" w:hAnsi="Calibri"/>
                <w:lang w:eastAsia="en-US"/>
              </w:rPr>
              <w:t>24 May</w:t>
            </w:r>
          </w:p>
        </w:tc>
        <w:tc>
          <w:tcPr>
            <w:tcW w:w="1725" w:type="dxa"/>
          </w:tcPr>
          <w:p w:rsidR="00FC3D71" w:rsidRPr="00FC3D71" w:rsidRDefault="00FC3D71" w:rsidP="00FC3D71">
            <w:pPr>
              <w:tabs>
                <w:tab w:val="clear" w:pos="851"/>
              </w:tabs>
              <w:spacing w:after="0"/>
              <w:ind w:left="11"/>
              <w:jc w:val="left"/>
              <w:rPr>
                <w:rFonts w:ascii="Calibri" w:eastAsia="Calibri" w:hAnsi="Calibri"/>
                <w:lang w:eastAsia="en-US"/>
              </w:rPr>
            </w:pPr>
            <w:r w:rsidRPr="00FC3D71">
              <w:rPr>
                <w:rFonts w:ascii="Calibri" w:eastAsia="Calibri" w:hAnsi="Calibri"/>
                <w:lang w:eastAsia="en-US"/>
              </w:rPr>
              <w:t>22 Feb, 26 April, 28 June</w:t>
            </w:r>
          </w:p>
          <w:p w:rsidR="00FC3D71" w:rsidRPr="00FC3D71" w:rsidRDefault="00FC3D71" w:rsidP="00FC3D71">
            <w:pPr>
              <w:tabs>
                <w:tab w:val="clear" w:pos="851"/>
              </w:tabs>
              <w:spacing w:after="0"/>
              <w:ind w:left="11"/>
              <w:jc w:val="left"/>
              <w:rPr>
                <w:rFonts w:ascii="Calibri" w:eastAsia="Calibri" w:hAnsi="Calibri"/>
                <w:lang w:eastAsia="en-US"/>
              </w:rPr>
            </w:pPr>
            <w:r w:rsidRPr="00FC3D71">
              <w:rPr>
                <w:rFonts w:ascii="Calibri" w:eastAsia="Calibri" w:hAnsi="Calibri"/>
                <w:lang w:eastAsia="en-US"/>
              </w:rPr>
              <w:t>30 Aug</w:t>
            </w:r>
          </w:p>
          <w:p w:rsidR="00FC3D71" w:rsidRPr="00FC3D71" w:rsidRDefault="00FC3D71" w:rsidP="00FC3D71">
            <w:pPr>
              <w:tabs>
                <w:tab w:val="clear" w:pos="851"/>
              </w:tabs>
              <w:spacing w:after="0"/>
              <w:ind w:left="11"/>
              <w:jc w:val="left"/>
              <w:rPr>
                <w:rFonts w:ascii="Calibri" w:eastAsia="Calibri" w:hAnsi="Calibri"/>
                <w:lang w:eastAsia="en-US"/>
              </w:rPr>
            </w:pPr>
            <w:r w:rsidRPr="00FC3D71">
              <w:rPr>
                <w:rFonts w:ascii="Calibri" w:eastAsia="Calibri" w:hAnsi="Calibri"/>
                <w:lang w:eastAsia="en-US"/>
              </w:rPr>
              <w:t>22 March,24 May</w:t>
            </w:r>
          </w:p>
          <w:p w:rsidR="00FC3D71" w:rsidRPr="00FC3D71" w:rsidRDefault="00FC3D71" w:rsidP="00FC3D71">
            <w:pPr>
              <w:tabs>
                <w:tab w:val="clear" w:pos="851"/>
              </w:tabs>
              <w:spacing w:after="0"/>
              <w:ind w:left="11"/>
              <w:jc w:val="left"/>
              <w:rPr>
                <w:rFonts w:ascii="Calibri" w:eastAsia="Calibri" w:hAnsi="Calibri"/>
                <w:lang w:eastAsia="en-US"/>
              </w:rPr>
            </w:pPr>
            <w:r w:rsidRPr="00FC3D71">
              <w:rPr>
                <w:rFonts w:ascii="Calibri" w:eastAsia="Calibri" w:hAnsi="Calibri"/>
                <w:lang w:eastAsia="en-US"/>
              </w:rPr>
              <w:t>24 May, 28 June</w:t>
            </w:r>
          </w:p>
          <w:p w:rsidR="00FC3D71" w:rsidRPr="00FC3D71" w:rsidRDefault="00FC3D71" w:rsidP="00FC3D71">
            <w:pPr>
              <w:tabs>
                <w:tab w:val="clear" w:pos="851"/>
              </w:tabs>
              <w:spacing w:after="0"/>
              <w:ind w:left="11"/>
              <w:jc w:val="left"/>
              <w:rPr>
                <w:rFonts w:ascii="Calibri" w:eastAsia="Calibri" w:hAnsi="Calibri"/>
                <w:lang w:eastAsia="en-US"/>
              </w:rPr>
            </w:pPr>
          </w:p>
          <w:p w:rsidR="00FC3D71" w:rsidRPr="00FC3D71" w:rsidRDefault="00FC3D71" w:rsidP="00FC3D71">
            <w:pPr>
              <w:tabs>
                <w:tab w:val="clear" w:pos="851"/>
              </w:tabs>
              <w:spacing w:after="0"/>
              <w:ind w:left="11"/>
              <w:jc w:val="left"/>
              <w:rPr>
                <w:rFonts w:ascii="Calibri" w:eastAsia="Calibri" w:hAnsi="Calibri"/>
                <w:lang w:eastAsia="en-US"/>
              </w:rPr>
            </w:pPr>
            <w:r w:rsidRPr="00FC3D71">
              <w:rPr>
                <w:rFonts w:ascii="Calibri" w:eastAsia="Calibri" w:hAnsi="Calibri"/>
                <w:lang w:eastAsia="en-US"/>
              </w:rPr>
              <w:t>24 May</w:t>
            </w:r>
          </w:p>
        </w:tc>
      </w:tr>
      <w:tr w:rsidR="00FC3D71" w:rsidRPr="00FC3D71" w:rsidTr="00BC4CFE">
        <w:tc>
          <w:tcPr>
            <w:tcW w:w="1696" w:type="dxa"/>
          </w:tcPr>
          <w:p w:rsidR="00FC3D71" w:rsidRPr="00FC3D71" w:rsidRDefault="00FC3D71" w:rsidP="00FC3D71">
            <w:pPr>
              <w:tabs>
                <w:tab w:val="clear" w:pos="851"/>
              </w:tabs>
              <w:spacing w:after="0"/>
              <w:ind w:left="0"/>
              <w:jc w:val="left"/>
              <w:rPr>
                <w:rFonts w:ascii="Calibri" w:eastAsia="Calibri" w:hAnsi="Calibri"/>
                <w:b/>
                <w:lang w:eastAsia="en-US"/>
              </w:rPr>
            </w:pPr>
            <w:r w:rsidRPr="00FC3D71">
              <w:rPr>
                <w:rFonts w:ascii="Calibri" w:eastAsia="Calibri" w:hAnsi="Calibri"/>
                <w:b/>
                <w:lang w:eastAsia="en-US"/>
              </w:rPr>
              <w:t>Cost assessments and Capital Programme</w:t>
            </w:r>
          </w:p>
        </w:tc>
        <w:tc>
          <w:tcPr>
            <w:tcW w:w="5247" w:type="dxa"/>
          </w:tcPr>
          <w:p w:rsidR="00FC3D71" w:rsidRPr="00FC3D71" w:rsidRDefault="00FC3D71" w:rsidP="00FC3D71">
            <w:pPr>
              <w:tabs>
                <w:tab w:val="clear" w:pos="851"/>
              </w:tabs>
              <w:spacing w:after="0"/>
              <w:ind w:left="0"/>
              <w:jc w:val="left"/>
              <w:rPr>
                <w:rFonts w:ascii="Calibri" w:eastAsia="Calibri" w:hAnsi="Calibri"/>
                <w:lang w:eastAsia="en-US"/>
              </w:rPr>
            </w:pPr>
            <w:r w:rsidRPr="00FC3D71">
              <w:rPr>
                <w:rFonts w:ascii="Calibri" w:eastAsia="Calibri" w:hAnsi="Calibri"/>
                <w:lang w:eastAsia="en-US"/>
              </w:rPr>
              <w:t>13 Company challenges in relation to cost and efficiency including overall TOTEX benchmarking.</w:t>
            </w:r>
          </w:p>
          <w:p w:rsidR="00FC3D71" w:rsidRPr="00FC3D71" w:rsidRDefault="00FC3D71" w:rsidP="00FC3D71">
            <w:pPr>
              <w:tabs>
                <w:tab w:val="clear" w:pos="851"/>
              </w:tabs>
              <w:spacing w:after="0"/>
              <w:ind w:left="0"/>
              <w:jc w:val="left"/>
              <w:rPr>
                <w:rFonts w:ascii="Calibri" w:eastAsia="Calibri" w:hAnsi="Calibri"/>
                <w:lang w:eastAsia="en-US"/>
              </w:rPr>
            </w:pPr>
            <w:r w:rsidRPr="00FC3D71">
              <w:rPr>
                <w:rFonts w:ascii="Calibri" w:eastAsia="Calibri" w:hAnsi="Calibri"/>
                <w:lang w:eastAsia="en-US"/>
              </w:rPr>
              <w:t>14 Specific papers covering large investment proposals;</w:t>
            </w:r>
          </w:p>
          <w:p w:rsidR="00FC3D71" w:rsidRPr="00FC3D71" w:rsidRDefault="00FC3D71" w:rsidP="00FC3D71">
            <w:pPr>
              <w:numPr>
                <w:ilvl w:val="0"/>
                <w:numId w:val="5"/>
              </w:numPr>
              <w:tabs>
                <w:tab w:val="clear" w:pos="851"/>
              </w:tabs>
              <w:spacing w:after="0"/>
              <w:contextualSpacing/>
              <w:jc w:val="left"/>
              <w:rPr>
                <w:rFonts w:ascii="Calibri" w:eastAsia="Calibri" w:hAnsi="Calibri"/>
                <w:lang w:eastAsia="en-US"/>
              </w:rPr>
            </w:pPr>
            <w:r w:rsidRPr="00FC3D71">
              <w:rPr>
                <w:rFonts w:ascii="Calibri" w:eastAsia="Calibri" w:hAnsi="Calibri"/>
                <w:lang w:eastAsia="en-US"/>
              </w:rPr>
              <w:t>Overall CAPEX plan</w:t>
            </w:r>
          </w:p>
          <w:p w:rsidR="00FC3D71" w:rsidRPr="00FC3D71" w:rsidRDefault="00FC3D71" w:rsidP="00FC3D71">
            <w:pPr>
              <w:tabs>
                <w:tab w:val="clear" w:pos="851"/>
              </w:tabs>
              <w:spacing w:after="0"/>
              <w:ind w:left="720"/>
              <w:contextualSpacing/>
              <w:jc w:val="left"/>
              <w:rPr>
                <w:rFonts w:ascii="Calibri" w:eastAsia="Calibri" w:hAnsi="Calibri"/>
                <w:lang w:eastAsia="en-US"/>
              </w:rPr>
            </w:pPr>
          </w:p>
          <w:p w:rsidR="00FC3D71" w:rsidRPr="00FC3D71" w:rsidRDefault="00FC3D71" w:rsidP="00FC3D71">
            <w:pPr>
              <w:numPr>
                <w:ilvl w:val="0"/>
                <w:numId w:val="5"/>
              </w:numPr>
              <w:tabs>
                <w:tab w:val="clear" w:pos="851"/>
              </w:tabs>
              <w:spacing w:after="0"/>
              <w:contextualSpacing/>
              <w:jc w:val="left"/>
              <w:rPr>
                <w:rFonts w:ascii="Calibri" w:eastAsia="Calibri" w:hAnsi="Calibri"/>
                <w:lang w:eastAsia="en-US"/>
              </w:rPr>
            </w:pPr>
            <w:r w:rsidRPr="00FC3D71">
              <w:rPr>
                <w:rFonts w:ascii="Calibri" w:eastAsia="Calibri" w:hAnsi="Calibri"/>
                <w:lang w:eastAsia="en-US"/>
              </w:rPr>
              <w:t>Havant Thicket</w:t>
            </w:r>
          </w:p>
          <w:p w:rsidR="00FC3D71" w:rsidRPr="00FC3D71" w:rsidRDefault="00FC3D71" w:rsidP="00FC3D71">
            <w:pPr>
              <w:tabs>
                <w:tab w:val="clear" w:pos="851"/>
              </w:tabs>
              <w:spacing w:after="0"/>
              <w:ind w:left="720"/>
              <w:contextualSpacing/>
              <w:jc w:val="left"/>
              <w:rPr>
                <w:rFonts w:ascii="Calibri" w:eastAsia="Calibri" w:hAnsi="Calibri"/>
                <w:lang w:eastAsia="en-US"/>
              </w:rPr>
            </w:pPr>
          </w:p>
          <w:p w:rsidR="00FC3D71" w:rsidRPr="00FC3D71" w:rsidRDefault="00FC3D71" w:rsidP="00FC3D71">
            <w:pPr>
              <w:numPr>
                <w:ilvl w:val="0"/>
                <w:numId w:val="5"/>
              </w:numPr>
              <w:tabs>
                <w:tab w:val="clear" w:pos="851"/>
              </w:tabs>
              <w:spacing w:after="0"/>
              <w:contextualSpacing/>
              <w:jc w:val="left"/>
              <w:rPr>
                <w:rFonts w:ascii="Calibri" w:eastAsia="Calibri" w:hAnsi="Calibri"/>
                <w:lang w:eastAsia="en-US"/>
              </w:rPr>
            </w:pPr>
            <w:r w:rsidRPr="00FC3D71">
              <w:rPr>
                <w:rFonts w:ascii="Calibri" w:eastAsia="Calibri" w:hAnsi="Calibri"/>
                <w:lang w:eastAsia="en-US"/>
              </w:rPr>
              <w:t>Catchment management</w:t>
            </w:r>
          </w:p>
          <w:p w:rsidR="00FC3D71" w:rsidRPr="00FC3D71" w:rsidRDefault="00FC3D71" w:rsidP="00FC3D71">
            <w:pPr>
              <w:tabs>
                <w:tab w:val="clear" w:pos="851"/>
              </w:tabs>
              <w:spacing w:after="0"/>
              <w:ind w:left="0"/>
              <w:jc w:val="left"/>
              <w:rPr>
                <w:rFonts w:ascii="Calibri" w:eastAsia="Calibri" w:hAnsi="Calibri"/>
                <w:lang w:eastAsia="en-US"/>
              </w:rPr>
            </w:pPr>
          </w:p>
          <w:p w:rsidR="00FC3D71" w:rsidRPr="00FC3D71" w:rsidRDefault="00FC3D71" w:rsidP="00FC3D71">
            <w:pPr>
              <w:numPr>
                <w:ilvl w:val="0"/>
                <w:numId w:val="5"/>
              </w:numPr>
              <w:tabs>
                <w:tab w:val="clear" w:pos="851"/>
              </w:tabs>
              <w:spacing w:after="0"/>
              <w:contextualSpacing/>
              <w:jc w:val="left"/>
              <w:rPr>
                <w:rFonts w:ascii="Calibri" w:eastAsia="Calibri" w:hAnsi="Calibri"/>
                <w:lang w:eastAsia="en-US"/>
              </w:rPr>
            </w:pPr>
            <w:r w:rsidRPr="00FC3D71">
              <w:rPr>
                <w:rFonts w:ascii="Calibri" w:eastAsia="Calibri" w:hAnsi="Calibri"/>
                <w:lang w:eastAsia="en-US"/>
              </w:rPr>
              <w:t>Infrastructure renewals</w:t>
            </w:r>
          </w:p>
          <w:p w:rsidR="00FC3D71" w:rsidRPr="00FC3D71" w:rsidRDefault="00FC3D71" w:rsidP="00FC3D71">
            <w:pPr>
              <w:tabs>
                <w:tab w:val="clear" w:pos="851"/>
              </w:tabs>
              <w:spacing w:after="0"/>
              <w:ind w:left="0"/>
              <w:jc w:val="left"/>
              <w:rPr>
                <w:rFonts w:ascii="Calibri" w:eastAsia="Calibri" w:hAnsi="Calibri"/>
                <w:lang w:eastAsia="en-US"/>
              </w:rPr>
            </w:pPr>
          </w:p>
          <w:p w:rsidR="00FC3D71" w:rsidRPr="00FC3D71" w:rsidRDefault="00FC3D71" w:rsidP="00FC3D71">
            <w:pPr>
              <w:numPr>
                <w:ilvl w:val="0"/>
                <w:numId w:val="5"/>
              </w:numPr>
              <w:tabs>
                <w:tab w:val="clear" w:pos="851"/>
              </w:tabs>
              <w:spacing w:after="0"/>
              <w:contextualSpacing/>
              <w:jc w:val="left"/>
              <w:rPr>
                <w:rFonts w:ascii="Calibri" w:eastAsia="Calibri" w:hAnsi="Calibri"/>
                <w:lang w:eastAsia="en-US"/>
              </w:rPr>
            </w:pPr>
            <w:r w:rsidRPr="00FC3D71">
              <w:rPr>
                <w:rFonts w:ascii="Calibri" w:eastAsia="Calibri" w:hAnsi="Calibri"/>
                <w:lang w:eastAsia="en-US"/>
              </w:rPr>
              <w:t>Water quality investments</w:t>
            </w:r>
          </w:p>
          <w:p w:rsidR="00FC3D71" w:rsidRPr="00FC3D71" w:rsidRDefault="00FC3D71" w:rsidP="00FC3D71">
            <w:pPr>
              <w:tabs>
                <w:tab w:val="clear" w:pos="851"/>
              </w:tabs>
              <w:spacing w:after="0"/>
              <w:ind w:left="0"/>
              <w:jc w:val="left"/>
              <w:rPr>
                <w:rFonts w:ascii="Calibri" w:eastAsia="Calibri" w:hAnsi="Calibri"/>
                <w:lang w:eastAsia="en-US"/>
              </w:rPr>
            </w:pPr>
          </w:p>
          <w:p w:rsidR="00FC3D71" w:rsidRPr="00FC3D71" w:rsidRDefault="00FC3D71" w:rsidP="00FC3D71">
            <w:pPr>
              <w:numPr>
                <w:ilvl w:val="0"/>
                <w:numId w:val="5"/>
              </w:numPr>
              <w:tabs>
                <w:tab w:val="clear" w:pos="851"/>
              </w:tabs>
              <w:spacing w:after="0"/>
              <w:contextualSpacing/>
              <w:jc w:val="left"/>
              <w:rPr>
                <w:rFonts w:ascii="Calibri" w:eastAsia="Calibri" w:hAnsi="Calibri"/>
                <w:lang w:eastAsia="en-US"/>
              </w:rPr>
            </w:pPr>
            <w:r w:rsidRPr="00FC3D71">
              <w:rPr>
                <w:rFonts w:ascii="Calibri" w:eastAsia="Calibri" w:hAnsi="Calibri"/>
                <w:lang w:eastAsia="en-US"/>
              </w:rPr>
              <w:t>Resilience schemes</w:t>
            </w:r>
          </w:p>
          <w:p w:rsidR="00FC3D71" w:rsidRPr="00FC3D71" w:rsidRDefault="00FC3D71" w:rsidP="00FC3D71">
            <w:pPr>
              <w:tabs>
                <w:tab w:val="clear" w:pos="851"/>
              </w:tabs>
              <w:spacing w:after="0"/>
              <w:ind w:left="720"/>
              <w:contextualSpacing/>
              <w:jc w:val="left"/>
              <w:rPr>
                <w:rFonts w:ascii="Calibri" w:eastAsia="Calibri" w:hAnsi="Calibri"/>
                <w:lang w:eastAsia="en-US"/>
              </w:rPr>
            </w:pPr>
          </w:p>
          <w:p w:rsidR="00FC3D71" w:rsidRPr="00FC3D71" w:rsidRDefault="00FC3D71" w:rsidP="00FC3D71">
            <w:pPr>
              <w:tabs>
                <w:tab w:val="clear" w:pos="851"/>
              </w:tabs>
              <w:spacing w:after="0"/>
              <w:ind w:left="0"/>
              <w:jc w:val="left"/>
              <w:rPr>
                <w:rFonts w:ascii="Calibri" w:eastAsia="Calibri" w:hAnsi="Calibri"/>
                <w:lang w:eastAsia="en-US"/>
              </w:rPr>
            </w:pPr>
            <w:r w:rsidRPr="00FC3D71">
              <w:rPr>
                <w:rFonts w:ascii="Calibri" w:eastAsia="Calibri" w:hAnsi="Calibri"/>
                <w:lang w:eastAsia="en-US"/>
              </w:rPr>
              <w:t xml:space="preserve">14a Enhancements costs adjusted claims </w:t>
            </w:r>
          </w:p>
          <w:p w:rsidR="00FC3D71" w:rsidRPr="00FC3D71" w:rsidRDefault="00FC3D71" w:rsidP="00FC3D71">
            <w:pPr>
              <w:tabs>
                <w:tab w:val="clear" w:pos="851"/>
              </w:tabs>
              <w:spacing w:after="0"/>
              <w:ind w:left="0"/>
              <w:jc w:val="left"/>
              <w:rPr>
                <w:rFonts w:ascii="Calibri" w:eastAsia="Calibri" w:hAnsi="Calibri"/>
                <w:lang w:eastAsia="en-US"/>
              </w:rPr>
            </w:pPr>
          </w:p>
          <w:p w:rsidR="00FC3D71" w:rsidRPr="00FC3D71" w:rsidRDefault="00FC3D71" w:rsidP="00FC3D71">
            <w:pPr>
              <w:tabs>
                <w:tab w:val="clear" w:pos="851"/>
              </w:tabs>
              <w:spacing w:after="0"/>
              <w:ind w:left="0"/>
              <w:jc w:val="left"/>
              <w:rPr>
                <w:rFonts w:ascii="Calibri" w:eastAsia="Calibri" w:hAnsi="Calibri"/>
                <w:lang w:eastAsia="en-US"/>
              </w:rPr>
            </w:pPr>
            <w:r w:rsidRPr="00FC3D71">
              <w:rPr>
                <w:rFonts w:ascii="Calibri" w:eastAsia="Calibri" w:hAnsi="Calibri"/>
                <w:lang w:eastAsia="en-US"/>
              </w:rPr>
              <w:t>14b Atkins report on capital programme</w:t>
            </w:r>
          </w:p>
          <w:p w:rsidR="00FC3D71" w:rsidRPr="00FC3D71" w:rsidRDefault="00FC3D71" w:rsidP="00FC3D71">
            <w:pPr>
              <w:tabs>
                <w:tab w:val="clear" w:pos="851"/>
              </w:tabs>
              <w:spacing w:after="0"/>
              <w:ind w:left="0"/>
              <w:jc w:val="left"/>
              <w:rPr>
                <w:rFonts w:ascii="Calibri" w:eastAsia="Calibri" w:hAnsi="Calibri"/>
                <w:lang w:eastAsia="en-US"/>
              </w:rPr>
            </w:pPr>
          </w:p>
        </w:tc>
        <w:tc>
          <w:tcPr>
            <w:tcW w:w="1157" w:type="dxa"/>
          </w:tcPr>
          <w:p w:rsidR="00FC3D71" w:rsidRPr="00FC3D71" w:rsidRDefault="00FC3D71" w:rsidP="00FC3D71">
            <w:pPr>
              <w:tabs>
                <w:tab w:val="clear" w:pos="851"/>
              </w:tabs>
              <w:spacing w:after="0"/>
              <w:ind w:left="0"/>
              <w:jc w:val="left"/>
              <w:rPr>
                <w:rFonts w:ascii="Calibri" w:eastAsia="Calibri" w:hAnsi="Calibri"/>
                <w:lang w:eastAsia="en-US"/>
              </w:rPr>
            </w:pPr>
            <w:r w:rsidRPr="00FC3D71">
              <w:rPr>
                <w:rFonts w:ascii="Calibri" w:eastAsia="Calibri" w:hAnsi="Calibri"/>
                <w:lang w:eastAsia="en-US"/>
              </w:rPr>
              <w:t>NS</w:t>
            </w:r>
          </w:p>
          <w:p w:rsidR="00FC3D71" w:rsidRPr="00FC3D71" w:rsidRDefault="00FC3D71" w:rsidP="00FC3D71">
            <w:pPr>
              <w:tabs>
                <w:tab w:val="clear" w:pos="851"/>
              </w:tabs>
              <w:spacing w:after="0"/>
              <w:ind w:left="0"/>
              <w:jc w:val="left"/>
              <w:rPr>
                <w:rFonts w:ascii="Calibri" w:eastAsia="Calibri" w:hAnsi="Calibri"/>
                <w:lang w:eastAsia="en-US"/>
              </w:rPr>
            </w:pPr>
          </w:p>
          <w:p w:rsidR="00FC3D71" w:rsidRPr="00FC3D71" w:rsidRDefault="00FC3D71" w:rsidP="00FC3D71">
            <w:pPr>
              <w:tabs>
                <w:tab w:val="clear" w:pos="851"/>
              </w:tabs>
              <w:spacing w:after="0"/>
              <w:ind w:left="0"/>
              <w:jc w:val="left"/>
              <w:rPr>
                <w:rFonts w:ascii="Calibri" w:eastAsia="Calibri" w:hAnsi="Calibri"/>
                <w:lang w:eastAsia="en-US"/>
              </w:rPr>
            </w:pPr>
            <w:r w:rsidRPr="00FC3D71">
              <w:rPr>
                <w:rFonts w:ascii="Calibri" w:eastAsia="Calibri" w:hAnsi="Calibri"/>
                <w:lang w:eastAsia="en-US"/>
              </w:rPr>
              <w:t>RCP/</w:t>
            </w:r>
          </w:p>
          <w:p w:rsidR="00FC3D71" w:rsidRPr="00FC3D71" w:rsidRDefault="00FC3D71" w:rsidP="00FC3D71">
            <w:pPr>
              <w:tabs>
                <w:tab w:val="clear" w:pos="851"/>
              </w:tabs>
              <w:spacing w:after="0"/>
              <w:ind w:left="0"/>
              <w:jc w:val="left"/>
              <w:rPr>
                <w:rFonts w:ascii="Calibri" w:eastAsia="Calibri" w:hAnsi="Calibri"/>
                <w:lang w:eastAsia="en-US"/>
              </w:rPr>
            </w:pPr>
            <w:r w:rsidRPr="00FC3D71">
              <w:rPr>
                <w:rFonts w:ascii="Calibri" w:eastAsia="Calibri" w:hAnsi="Calibri"/>
                <w:lang w:eastAsia="en-US"/>
              </w:rPr>
              <w:t>MM</w:t>
            </w:r>
          </w:p>
        </w:tc>
        <w:tc>
          <w:tcPr>
            <w:tcW w:w="1109" w:type="dxa"/>
          </w:tcPr>
          <w:p w:rsidR="00FC3D71" w:rsidRPr="00FC3D71" w:rsidRDefault="00FC3D71" w:rsidP="00FC3D71">
            <w:pPr>
              <w:tabs>
                <w:tab w:val="clear" w:pos="851"/>
              </w:tabs>
              <w:spacing w:after="0"/>
              <w:ind w:left="0"/>
              <w:jc w:val="left"/>
              <w:rPr>
                <w:rFonts w:ascii="Calibri" w:eastAsia="Calibri" w:hAnsi="Calibri"/>
                <w:lang w:eastAsia="en-US"/>
              </w:rPr>
            </w:pPr>
            <w:r w:rsidRPr="00FC3D71">
              <w:rPr>
                <w:rFonts w:ascii="Calibri" w:eastAsia="Calibri" w:hAnsi="Calibri"/>
                <w:lang w:eastAsia="en-US"/>
              </w:rPr>
              <w:t>April/May</w:t>
            </w:r>
          </w:p>
          <w:p w:rsidR="00FC3D71" w:rsidRPr="00FC3D71" w:rsidRDefault="00FC3D71" w:rsidP="00FC3D71">
            <w:pPr>
              <w:tabs>
                <w:tab w:val="clear" w:pos="851"/>
              </w:tabs>
              <w:spacing w:after="0"/>
              <w:ind w:left="0"/>
              <w:jc w:val="left"/>
              <w:rPr>
                <w:rFonts w:ascii="Calibri" w:eastAsia="Calibri" w:hAnsi="Calibri"/>
                <w:lang w:eastAsia="en-US"/>
              </w:rPr>
            </w:pPr>
          </w:p>
          <w:p w:rsidR="00FC3D71" w:rsidRPr="00FC3D71" w:rsidRDefault="00FC3D71" w:rsidP="00FC3D71">
            <w:pPr>
              <w:tabs>
                <w:tab w:val="clear" w:pos="851"/>
              </w:tabs>
              <w:spacing w:after="0"/>
              <w:ind w:left="0"/>
              <w:jc w:val="left"/>
              <w:rPr>
                <w:rFonts w:ascii="Calibri" w:eastAsia="Calibri" w:hAnsi="Calibri"/>
                <w:lang w:eastAsia="en-US"/>
              </w:rPr>
            </w:pPr>
          </w:p>
          <w:p w:rsidR="00FC3D71" w:rsidRPr="00FC3D71" w:rsidRDefault="00FC3D71" w:rsidP="00FC3D71">
            <w:pPr>
              <w:tabs>
                <w:tab w:val="clear" w:pos="851"/>
              </w:tabs>
              <w:spacing w:after="0"/>
              <w:ind w:left="0"/>
              <w:jc w:val="left"/>
              <w:rPr>
                <w:rFonts w:ascii="Calibri" w:eastAsia="Calibri" w:hAnsi="Calibri"/>
                <w:lang w:eastAsia="en-US"/>
              </w:rPr>
            </w:pPr>
            <w:r w:rsidRPr="00FC3D71">
              <w:rPr>
                <w:rFonts w:ascii="Calibri" w:eastAsia="Calibri" w:hAnsi="Calibri"/>
                <w:lang w:eastAsia="en-US"/>
              </w:rPr>
              <w:t>25 Jan</w:t>
            </w:r>
          </w:p>
          <w:p w:rsidR="00FC3D71" w:rsidRPr="00FC3D71" w:rsidRDefault="00FC3D71" w:rsidP="00FC3D71">
            <w:pPr>
              <w:tabs>
                <w:tab w:val="clear" w:pos="851"/>
              </w:tabs>
              <w:spacing w:after="0"/>
              <w:ind w:left="0"/>
              <w:jc w:val="left"/>
              <w:rPr>
                <w:rFonts w:ascii="Calibri" w:eastAsia="Calibri" w:hAnsi="Calibri"/>
                <w:lang w:eastAsia="en-US"/>
              </w:rPr>
            </w:pPr>
            <w:r w:rsidRPr="00FC3D71">
              <w:rPr>
                <w:rFonts w:ascii="Calibri" w:eastAsia="Calibri" w:hAnsi="Calibri"/>
                <w:lang w:eastAsia="en-US"/>
              </w:rPr>
              <w:t>22 March</w:t>
            </w:r>
          </w:p>
          <w:p w:rsidR="00FC3D71" w:rsidRPr="00FC3D71" w:rsidRDefault="00FC3D71" w:rsidP="00FC3D71">
            <w:pPr>
              <w:tabs>
                <w:tab w:val="clear" w:pos="851"/>
              </w:tabs>
              <w:spacing w:after="0"/>
              <w:ind w:left="0"/>
              <w:jc w:val="left"/>
              <w:rPr>
                <w:rFonts w:ascii="Calibri" w:eastAsia="Calibri" w:hAnsi="Calibri"/>
                <w:lang w:eastAsia="en-US"/>
              </w:rPr>
            </w:pPr>
          </w:p>
          <w:p w:rsidR="00FC3D71" w:rsidRPr="00FC3D71" w:rsidRDefault="00FC3D71" w:rsidP="00FC3D71">
            <w:pPr>
              <w:tabs>
                <w:tab w:val="clear" w:pos="851"/>
              </w:tabs>
              <w:spacing w:after="0"/>
              <w:ind w:left="0"/>
              <w:jc w:val="left"/>
              <w:rPr>
                <w:rFonts w:ascii="Calibri" w:eastAsia="Calibri" w:hAnsi="Calibri"/>
                <w:lang w:eastAsia="en-US"/>
              </w:rPr>
            </w:pPr>
            <w:r w:rsidRPr="00FC3D71">
              <w:rPr>
                <w:rFonts w:ascii="Calibri" w:eastAsia="Calibri" w:hAnsi="Calibri"/>
                <w:lang w:eastAsia="en-US"/>
              </w:rPr>
              <w:t>22 March</w:t>
            </w:r>
          </w:p>
          <w:p w:rsidR="00FC3D71" w:rsidRPr="00FC3D71" w:rsidRDefault="00FC3D71" w:rsidP="00FC3D71">
            <w:pPr>
              <w:tabs>
                <w:tab w:val="clear" w:pos="851"/>
              </w:tabs>
              <w:spacing w:after="0"/>
              <w:ind w:left="0"/>
              <w:jc w:val="left"/>
              <w:rPr>
                <w:rFonts w:ascii="Calibri" w:eastAsia="Calibri" w:hAnsi="Calibri"/>
                <w:lang w:eastAsia="en-US"/>
              </w:rPr>
            </w:pPr>
          </w:p>
          <w:p w:rsidR="00FC3D71" w:rsidRPr="00FC3D71" w:rsidRDefault="00FC3D71" w:rsidP="00FC3D71">
            <w:pPr>
              <w:tabs>
                <w:tab w:val="clear" w:pos="851"/>
              </w:tabs>
              <w:spacing w:after="0"/>
              <w:ind w:left="0"/>
              <w:jc w:val="left"/>
              <w:rPr>
                <w:rFonts w:ascii="Calibri" w:eastAsia="Calibri" w:hAnsi="Calibri"/>
                <w:lang w:eastAsia="en-US"/>
              </w:rPr>
            </w:pPr>
            <w:r w:rsidRPr="00FC3D71">
              <w:rPr>
                <w:rFonts w:ascii="Calibri" w:eastAsia="Calibri" w:hAnsi="Calibri"/>
                <w:lang w:eastAsia="en-US"/>
              </w:rPr>
              <w:t>22 March</w:t>
            </w:r>
          </w:p>
          <w:p w:rsidR="00FC3D71" w:rsidRPr="00FC3D71" w:rsidRDefault="00FC3D71" w:rsidP="00FC3D71">
            <w:pPr>
              <w:tabs>
                <w:tab w:val="clear" w:pos="851"/>
              </w:tabs>
              <w:spacing w:after="0"/>
              <w:ind w:left="0"/>
              <w:jc w:val="left"/>
              <w:rPr>
                <w:rFonts w:ascii="Calibri" w:eastAsia="Calibri" w:hAnsi="Calibri"/>
                <w:lang w:eastAsia="en-US"/>
              </w:rPr>
            </w:pPr>
          </w:p>
          <w:p w:rsidR="00FC3D71" w:rsidRPr="00FC3D71" w:rsidRDefault="00FC3D71" w:rsidP="00FC3D71">
            <w:pPr>
              <w:tabs>
                <w:tab w:val="clear" w:pos="851"/>
              </w:tabs>
              <w:spacing w:after="0"/>
              <w:ind w:left="0"/>
              <w:jc w:val="left"/>
              <w:rPr>
                <w:rFonts w:ascii="Calibri" w:eastAsia="Calibri" w:hAnsi="Calibri"/>
                <w:lang w:eastAsia="en-US"/>
              </w:rPr>
            </w:pPr>
            <w:r w:rsidRPr="00FC3D71">
              <w:rPr>
                <w:rFonts w:ascii="Calibri" w:eastAsia="Calibri" w:hAnsi="Calibri"/>
                <w:lang w:eastAsia="en-US"/>
              </w:rPr>
              <w:t>22 March</w:t>
            </w:r>
          </w:p>
          <w:p w:rsidR="00FC3D71" w:rsidRPr="00FC3D71" w:rsidRDefault="00FC3D71" w:rsidP="00FC3D71">
            <w:pPr>
              <w:tabs>
                <w:tab w:val="clear" w:pos="851"/>
              </w:tabs>
              <w:spacing w:after="0"/>
              <w:ind w:left="0"/>
              <w:jc w:val="left"/>
              <w:rPr>
                <w:rFonts w:ascii="Calibri" w:eastAsia="Calibri" w:hAnsi="Calibri"/>
                <w:lang w:eastAsia="en-US"/>
              </w:rPr>
            </w:pPr>
          </w:p>
          <w:p w:rsidR="00FC3D71" w:rsidRPr="00FC3D71" w:rsidRDefault="00FC3D71" w:rsidP="00FC3D71">
            <w:pPr>
              <w:tabs>
                <w:tab w:val="clear" w:pos="851"/>
              </w:tabs>
              <w:spacing w:after="0"/>
              <w:ind w:left="0"/>
              <w:jc w:val="left"/>
              <w:rPr>
                <w:rFonts w:ascii="Calibri" w:eastAsia="Calibri" w:hAnsi="Calibri"/>
                <w:lang w:eastAsia="en-US"/>
              </w:rPr>
            </w:pPr>
            <w:r w:rsidRPr="00FC3D71">
              <w:rPr>
                <w:rFonts w:ascii="Calibri" w:eastAsia="Calibri" w:hAnsi="Calibri"/>
                <w:lang w:eastAsia="en-US"/>
              </w:rPr>
              <w:t>22 March</w:t>
            </w:r>
          </w:p>
          <w:p w:rsidR="00FC3D71" w:rsidRPr="00FC3D71" w:rsidRDefault="00FC3D71" w:rsidP="00FC3D71">
            <w:pPr>
              <w:tabs>
                <w:tab w:val="clear" w:pos="851"/>
              </w:tabs>
              <w:spacing w:after="0"/>
              <w:ind w:left="0"/>
              <w:jc w:val="left"/>
              <w:rPr>
                <w:rFonts w:ascii="Calibri" w:eastAsia="Calibri" w:hAnsi="Calibri"/>
                <w:lang w:eastAsia="en-US"/>
              </w:rPr>
            </w:pPr>
          </w:p>
          <w:p w:rsidR="00FC3D71" w:rsidRPr="00FC3D71" w:rsidRDefault="00FC3D71" w:rsidP="00FC3D71">
            <w:pPr>
              <w:tabs>
                <w:tab w:val="clear" w:pos="851"/>
              </w:tabs>
              <w:spacing w:after="0"/>
              <w:ind w:left="0"/>
              <w:jc w:val="left"/>
              <w:rPr>
                <w:rFonts w:ascii="Calibri" w:eastAsia="Calibri" w:hAnsi="Calibri"/>
                <w:lang w:eastAsia="en-US"/>
              </w:rPr>
            </w:pPr>
          </w:p>
          <w:p w:rsidR="00FC3D71" w:rsidRPr="00FC3D71" w:rsidRDefault="00FC3D71" w:rsidP="00FC3D71">
            <w:pPr>
              <w:tabs>
                <w:tab w:val="clear" w:pos="851"/>
              </w:tabs>
              <w:spacing w:after="0"/>
              <w:ind w:left="0"/>
              <w:jc w:val="left"/>
              <w:rPr>
                <w:rFonts w:ascii="Calibri" w:eastAsia="Calibri" w:hAnsi="Calibri"/>
                <w:lang w:eastAsia="en-US"/>
              </w:rPr>
            </w:pPr>
            <w:r w:rsidRPr="00FC3D71">
              <w:rPr>
                <w:rFonts w:ascii="Calibri" w:eastAsia="Calibri" w:hAnsi="Calibri"/>
                <w:lang w:eastAsia="en-US"/>
              </w:rPr>
              <w:t>28 June</w:t>
            </w:r>
          </w:p>
        </w:tc>
        <w:tc>
          <w:tcPr>
            <w:tcW w:w="1725" w:type="dxa"/>
          </w:tcPr>
          <w:p w:rsidR="00FC3D71" w:rsidRPr="00FC3D71" w:rsidRDefault="00FC3D71" w:rsidP="00FC3D71">
            <w:pPr>
              <w:tabs>
                <w:tab w:val="clear" w:pos="851"/>
              </w:tabs>
              <w:spacing w:after="0"/>
              <w:ind w:left="11"/>
              <w:jc w:val="left"/>
              <w:rPr>
                <w:rFonts w:ascii="Calibri" w:eastAsia="Calibri" w:hAnsi="Calibri"/>
                <w:lang w:eastAsia="en-US"/>
              </w:rPr>
            </w:pPr>
            <w:r w:rsidRPr="00FC3D71">
              <w:rPr>
                <w:rFonts w:ascii="Calibri" w:eastAsia="Calibri" w:hAnsi="Calibri"/>
                <w:lang w:eastAsia="en-US"/>
              </w:rPr>
              <w:t>25 Jan, 28 June, 26 July</w:t>
            </w:r>
          </w:p>
          <w:p w:rsidR="00FC3D71" w:rsidRPr="00FC3D71" w:rsidRDefault="00FC3D71" w:rsidP="00FC3D71">
            <w:pPr>
              <w:tabs>
                <w:tab w:val="clear" w:pos="851"/>
              </w:tabs>
              <w:spacing w:after="0"/>
              <w:ind w:left="11"/>
              <w:jc w:val="left"/>
              <w:rPr>
                <w:rFonts w:ascii="Calibri" w:eastAsia="Calibri" w:hAnsi="Calibri"/>
                <w:lang w:eastAsia="en-US"/>
              </w:rPr>
            </w:pPr>
          </w:p>
          <w:p w:rsidR="00FC3D71" w:rsidRPr="00FC3D71" w:rsidRDefault="00FC3D71" w:rsidP="00FC3D71">
            <w:pPr>
              <w:tabs>
                <w:tab w:val="clear" w:pos="851"/>
              </w:tabs>
              <w:spacing w:after="0"/>
              <w:ind w:left="11"/>
              <w:jc w:val="left"/>
              <w:rPr>
                <w:rFonts w:ascii="Calibri" w:eastAsia="Calibri" w:hAnsi="Calibri"/>
                <w:lang w:eastAsia="en-US"/>
              </w:rPr>
            </w:pPr>
            <w:r w:rsidRPr="00FC3D71">
              <w:rPr>
                <w:rFonts w:ascii="Calibri" w:eastAsia="Calibri" w:hAnsi="Calibri"/>
                <w:lang w:eastAsia="en-US"/>
              </w:rPr>
              <w:t>25 Jan</w:t>
            </w:r>
          </w:p>
          <w:p w:rsidR="00FC3D71" w:rsidRPr="00FC3D71" w:rsidRDefault="00FC3D71" w:rsidP="00FC3D71">
            <w:pPr>
              <w:tabs>
                <w:tab w:val="clear" w:pos="851"/>
              </w:tabs>
              <w:spacing w:after="0"/>
              <w:ind w:left="11"/>
              <w:jc w:val="left"/>
              <w:rPr>
                <w:rFonts w:ascii="Calibri" w:eastAsia="Calibri" w:hAnsi="Calibri"/>
                <w:lang w:eastAsia="en-US"/>
              </w:rPr>
            </w:pPr>
            <w:r w:rsidRPr="00FC3D71">
              <w:rPr>
                <w:rFonts w:ascii="Calibri" w:eastAsia="Calibri" w:hAnsi="Calibri"/>
                <w:lang w:eastAsia="en-US"/>
              </w:rPr>
              <w:t>22 March,26 April, 28 June</w:t>
            </w:r>
          </w:p>
          <w:p w:rsidR="00FC3D71" w:rsidRPr="00FC3D71" w:rsidRDefault="00FC3D71" w:rsidP="00FC3D71">
            <w:pPr>
              <w:tabs>
                <w:tab w:val="clear" w:pos="851"/>
              </w:tabs>
              <w:spacing w:after="0"/>
              <w:ind w:left="11"/>
              <w:jc w:val="left"/>
              <w:rPr>
                <w:rFonts w:ascii="Calibri" w:eastAsia="Calibri" w:hAnsi="Calibri"/>
                <w:lang w:eastAsia="en-US"/>
              </w:rPr>
            </w:pPr>
            <w:r w:rsidRPr="00FC3D71">
              <w:rPr>
                <w:rFonts w:ascii="Calibri" w:eastAsia="Calibri" w:hAnsi="Calibri"/>
                <w:lang w:eastAsia="en-US"/>
              </w:rPr>
              <w:t>22 March,22 June, 9Aug</w:t>
            </w:r>
          </w:p>
          <w:p w:rsidR="00FC3D71" w:rsidRPr="00FC3D71" w:rsidRDefault="00FC3D71" w:rsidP="00FC3D71">
            <w:pPr>
              <w:tabs>
                <w:tab w:val="clear" w:pos="851"/>
              </w:tabs>
              <w:spacing w:after="0"/>
              <w:ind w:left="11"/>
              <w:jc w:val="left"/>
              <w:rPr>
                <w:rFonts w:ascii="Calibri" w:eastAsia="Calibri" w:hAnsi="Calibri"/>
                <w:lang w:eastAsia="en-US"/>
              </w:rPr>
            </w:pPr>
            <w:r w:rsidRPr="00FC3D71">
              <w:rPr>
                <w:rFonts w:ascii="Calibri" w:eastAsia="Calibri" w:hAnsi="Calibri"/>
                <w:lang w:eastAsia="en-US"/>
              </w:rPr>
              <w:t>22 March,28 June</w:t>
            </w:r>
          </w:p>
          <w:p w:rsidR="00FC3D71" w:rsidRPr="00FC3D71" w:rsidRDefault="00FC3D71" w:rsidP="00FC3D71">
            <w:pPr>
              <w:tabs>
                <w:tab w:val="clear" w:pos="851"/>
              </w:tabs>
              <w:spacing w:after="0"/>
              <w:ind w:left="11"/>
              <w:jc w:val="left"/>
              <w:rPr>
                <w:rFonts w:ascii="Calibri" w:eastAsia="Calibri" w:hAnsi="Calibri"/>
                <w:lang w:eastAsia="en-US"/>
              </w:rPr>
            </w:pPr>
            <w:r w:rsidRPr="00FC3D71">
              <w:rPr>
                <w:rFonts w:ascii="Calibri" w:eastAsia="Calibri" w:hAnsi="Calibri"/>
                <w:lang w:eastAsia="en-US"/>
              </w:rPr>
              <w:t>22 March,28 June</w:t>
            </w:r>
          </w:p>
          <w:p w:rsidR="00FC3D71" w:rsidRPr="00FC3D71" w:rsidRDefault="00FC3D71" w:rsidP="00FC3D71">
            <w:pPr>
              <w:tabs>
                <w:tab w:val="clear" w:pos="851"/>
              </w:tabs>
              <w:spacing w:after="0"/>
              <w:ind w:left="11"/>
              <w:jc w:val="left"/>
              <w:rPr>
                <w:rFonts w:ascii="Calibri" w:eastAsia="Calibri" w:hAnsi="Calibri"/>
                <w:lang w:eastAsia="en-US"/>
              </w:rPr>
            </w:pPr>
            <w:r w:rsidRPr="00FC3D71">
              <w:rPr>
                <w:rFonts w:ascii="Calibri" w:eastAsia="Calibri" w:hAnsi="Calibri"/>
                <w:lang w:eastAsia="en-US"/>
              </w:rPr>
              <w:t>22 March,</w:t>
            </w:r>
          </w:p>
          <w:p w:rsidR="00FC3D71" w:rsidRPr="00FC3D71" w:rsidRDefault="00FC3D71" w:rsidP="00FC3D71">
            <w:pPr>
              <w:tabs>
                <w:tab w:val="clear" w:pos="851"/>
              </w:tabs>
              <w:spacing w:after="0"/>
              <w:ind w:left="11"/>
              <w:jc w:val="left"/>
              <w:rPr>
                <w:rFonts w:ascii="Calibri" w:eastAsia="Calibri" w:hAnsi="Calibri"/>
                <w:lang w:eastAsia="en-US"/>
              </w:rPr>
            </w:pPr>
            <w:r w:rsidRPr="00FC3D71">
              <w:rPr>
                <w:rFonts w:ascii="Calibri" w:eastAsia="Calibri" w:hAnsi="Calibri"/>
                <w:lang w:eastAsia="en-US"/>
              </w:rPr>
              <w:t>28 June</w:t>
            </w:r>
          </w:p>
          <w:p w:rsidR="00FC3D71" w:rsidRPr="00FC3D71" w:rsidRDefault="00FC3D71" w:rsidP="00FC3D71">
            <w:pPr>
              <w:tabs>
                <w:tab w:val="clear" w:pos="851"/>
              </w:tabs>
              <w:spacing w:after="0"/>
              <w:ind w:left="11"/>
              <w:jc w:val="left"/>
              <w:rPr>
                <w:rFonts w:ascii="Calibri" w:eastAsia="Calibri" w:hAnsi="Calibri"/>
                <w:lang w:eastAsia="en-US"/>
              </w:rPr>
            </w:pPr>
          </w:p>
          <w:p w:rsidR="00FC3D71" w:rsidRPr="00FC3D71" w:rsidRDefault="00FC3D71" w:rsidP="00FC3D71">
            <w:pPr>
              <w:tabs>
                <w:tab w:val="clear" w:pos="851"/>
              </w:tabs>
              <w:spacing w:after="0"/>
              <w:ind w:left="11"/>
              <w:jc w:val="left"/>
              <w:rPr>
                <w:rFonts w:ascii="Calibri" w:eastAsia="Calibri" w:hAnsi="Calibri"/>
                <w:lang w:eastAsia="en-US"/>
              </w:rPr>
            </w:pPr>
            <w:r w:rsidRPr="00FC3D71">
              <w:rPr>
                <w:rFonts w:ascii="Calibri" w:eastAsia="Calibri" w:hAnsi="Calibri"/>
                <w:lang w:eastAsia="en-US"/>
              </w:rPr>
              <w:t>28 June</w:t>
            </w:r>
          </w:p>
          <w:p w:rsidR="00FC3D71" w:rsidRPr="00FC3D71" w:rsidRDefault="00FC3D71" w:rsidP="00FC3D71">
            <w:pPr>
              <w:tabs>
                <w:tab w:val="clear" w:pos="851"/>
              </w:tabs>
              <w:spacing w:after="0"/>
              <w:ind w:left="11"/>
              <w:jc w:val="left"/>
              <w:rPr>
                <w:rFonts w:ascii="Calibri" w:eastAsia="Calibri" w:hAnsi="Calibri"/>
                <w:lang w:eastAsia="en-US"/>
              </w:rPr>
            </w:pPr>
          </w:p>
          <w:p w:rsidR="00FC3D71" w:rsidRPr="00FC3D71" w:rsidRDefault="00FC3D71" w:rsidP="00FC3D71">
            <w:pPr>
              <w:tabs>
                <w:tab w:val="clear" w:pos="851"/>
              </w:tabs>
              <w:spacing w:after="0"/>
              <w:ind w:left="11"/>
              <w:jc w:val="left"/>
              <w:rPr>
                <w:rFonts w:ascii="Calibri" w:eastAsia="Calibri" w:hAnsi="Calibri"/>
                <w:lang w:eastAsia="en-US"/>
              </w:rPr>
            </w:pPr>
            <w:r w:rsidRPr="00FC3D71">
              <w:rPr>
                <w:rFonts w:ascii="Calibri" w:eastAsia="Calibri" w:hAnsi="Calibri"/>
                <w:lang w:eastAsia="en-US"/>
              </w:rPr>
              <w:t>26 April, 26 July</w:t>
            </w:r>
          </w:p>
          <w:p w:rsidR="00FC3D71" w:rsidRPr="00FC3D71" w:rsidRDefault="00FC3D71" w:rsidP="00FC3D71">
            <w:pPr>
              <w:tabs>
                <w:tab w:val="clear" w:pos="851"/>
              </w:tabs>
              <w:spacing w:after="0"/>
              <w:ind w:left="11"/>
              <w:jc w:val="left"/>
              <w:rPr>
                <w:rFonts w:ascii="Calibri" w:eastAsia="Calibri" w:hAnsi="Calibri"/>
                <w:lang w:eastAsia="en-US"/>
              </w:rPr>
            </w:pPr>
          </w:p>
          <w:p w:rsidR="00FC3D71" w:rsidRPr="00FC3D71" w:rsidRDefault="00FC3D71" w:rsidP="00FC3D71">
            <w:pPr>
              <w:tabs>
                <w:tab w:val="clear" w:pos="851"/>
              </w:tabs>
              <w:spacing w:after="0"/>
              <w:ind w:left="11"/>
              <w:jc w:val="left"/>
              <w:rPr>
                <w:rFonts w:ascii="Calibri" w:eastAsia="Calibri" w:hAnsi="Calibri"/>
                <w:lang w:eastAsia="en-US"/>
              </w:rPr>
            </w:pPr>
            <w:r w:rsidRPr="00FC3D71">
              <w:rPr>
                <w:rFonts w:ascii="Calibri" w:eastAsia="Calibri" w:hAnsi="Calibri"/>
                <w:lang w:eastAsia="en-US"/>
              </w:rPr>
              <w:t>26 July</w:t>
            </w:r>
          </w:p>
          <w:p w:rsidR="00FC3D71" w:rsidRPr="00FC3D71" w:rsidRDefault="00FC3D71" w:rsidP="00FC3D71">
            <w:pPr>
              <w:tabs>
                <w:tab w:val="clear" w:pos="851"/>
              </w:tabs>
              <w:spacing w:after="0"/>
              <w:ind w:left="11"/>
              <w:jc w:val="left"/>
              <w:rPr>
                <w:rFonts w:ascii="Calibri" w:eastAsia="Calibri" w:hAnsi="Calibri"/>
                <w:lang w:eastAsia="en-US"/>
              </w:rPr>
            </w:pPr>
          </w:p>
        </w:tc>
      </w:tr>
      <w:tr w:rsidR="00FC3D71" w:rsidRPr="00FC3D71" w:rsidTr="00BC4CFE">
        <w:tc>
          <w:tcPr>
            <w:tcW w:w="1696" w:type="dxa"/>
          </w:tcPr>
          <w:p w:rsidR="00FC3D71" w:rsidRPr="00FC3D71" w:rsidRDefault="00FC3D71" w:rsidP="00FC3D71">
            <w:pPr>
              <w:tabs>
                <w:tab w:val="clear" w:pos="851"/>
              </w:tabs>
              <w:spacing w:after="0"/>
              <w:ind w:left="0"/>
              <w:jc w:val="left"/>
              <w:rPr>
                <w:rFonts w:ascii="Calibri" w:eastAsia="Calibri" w:hAnsi="Calibri"/>
                <w:b/>
                <w:lang w:eastAsia="en-US"/>
              </w:rPr>
            </w:pPr>
            <w:r w:rsidRPr="00FC3D71">
              <w:rPr>
                <w:rFonts w:ascii="Calibri" w:eastAsia="Calibri" w:hAnsi="Calibri"/>
                <w:b/>
                <w:lang w:eastAsia="en-US"/>
              </w:rPr>
              <w:t>Risk &amp; Return</w:t>
            </w:r>
          </w:p>
        </w:tc>
        <w:tc>
          <w:tcPr>
            <w:tcW w:w="5247" w:type="dxa"/>
          </w:tcPr>
          <w:p w:rsidR="00FC3D71" w:rsidRPr="00FC3D71" w:rsidRDefault="00FC3D71" w:rsidP="00FC3D71">
            <w:pPr>
              <w:tabs>
                <w:tab w:val="clear" w:pos="851"/>
              </w:tabs>
              <w:spacing w:after="0"/>
              <w:ind w:left="0"/>
              <w:jc w:val="left"/>
              <w:rPr>
                <w:rFonts w:ascii="Calibri" w:eastAsia="Calibri" w:hAnsi="Calibri"/>
                <w:lang w:eastAsia="en-US"/>
              </w:rPr>
            </w:pPr>
            <w:r w:rsidRPr="00FC3D71">
              <w:rPr>
                <w:rFonts w:ascii="Calibri" w:eastAsia="Calibri" w:hAnsi="Calibri"/>
                <w:lang w:eastAsia="en-US"/>
              </w:rPr>
              <w:t>15 Board review of Company paper summarising PR19 delivery risk and mitigation plans (including impact on ODI outturn and RORE assessment).</w:t>
            </w:r>
          </w:p>
        </w:tc>
        <w:tc>
          <w:tcPr>
            <w:tcW w:w="1157" w:type="dxa"/>
          </w:tcPr>
          <w:p w:rsidR="00FC3D71" w:rsidRPr="00FC3D71" w:rsidRDefault="00FC3D71" w:rsidP="00FC3D71">
            <w:pPr>
              <w:tabs>
                <w:tab w:val="clear" w:pos="851"/>
              </w:tabs>
              <w:spacing w:after="0"/>
              <w:ind w:left="0"/>
              <w:jc w:val="left"/>
              <w:rPr>
                <w:rFonts w:ascii="Calibri" w:eastAsia="Calibri" w:hAnsi="Calibri"/>
                <w:lang w:eastAsia="en-US"/>
              </w:rPr>
            </w:pPr>
            <w:r w:rsidRPr="00FC3D71">
              <w:rPr>
                <w:rFonts w:ascii="Calibri" w:eastAsia="Calibri" w:hAnsi="Calibri"/>
                <w:lang w:eastAsia="en-US"/>
              </w:rPr>
              <w:t>RCP/NS</w:t>
            </w:r>
          </w:p>
        </w:tc>
        <w:tc>
          <w:tcPr>
            <w:tcW w:w="1109" w:type="dxa"/>
          </w:tcPr>
          <w:p w:rsidR="00FC3D71" w:rsidRPr="00FC3D71" w:rsidRDefault="00FC3D71" w:rsidP="00FC3D71">
            <w:pPr>
              <w:tabs>
                <w:tab w:val="clear" w:pos="851"/>
              </w:tabs>
              <w:spacing w:after="0"/>
              <w:ind w:left="0"/>
              <w:jc w:val="left"/>
              <w:rPr>
                <w:rFonts w:ascii="Calibri" w:eastAsia="Calibri" w:hAnsi="Calibri"/>
                <w:lang w:eastAsia="en-US"/>
              </w:rPr>
            </w:pPr>
            <w:r w:rsidRPr="00FC3D71">
              <w:rPr>
                <w:rFonts w:ascii="Calibri" w:eastAsia="Calibri" w:hAnsi="Calibri"/>
                <w:lang w:eastAsia="en-US"/>
              </w:rPr>
              <w:t>24 May</w:t>
            </w:r>
          </w:p>
        </w:tc>
        <w:tc>
          <w:tcPr>
            <w:tcW w:w="1725" w:type="dxa"/>
          </w:tcPr>
          <w:p w:rsidR="00FC3D71" w:rsidRPr="00FC3D71" w:rsidRDefault="00FC3D71" w:rsidP="00FC3D71">
            <w:pPr>
              <w:tabs>
                <w:tab w:val="clear" w:pos="851"/>
              </w:tabs>
              <w:spacing w:after="0"/>
              <w:ind w:left="11"/>
              <w:jc w:val="left"/>
              <w:rPr>
                <w:rFonts w:ascii="Calibri" w:eastAsia="Calibri" w:hAnsi="Calibri"/>
                <w:lang w:eastAsia="en-US"/>
              </w:rPr>
            </w:pPr>
            <w:r w:rsidRPr="00FC3D71">
              <w:rPr>
                <w:rFonts w:ascii="Calibri" w:eastAsia="Calibri" w:hAnsi="Calibri"/>
                <w:lang w:eastAsia="en-US"/>
              </w:rPr>
              <w:t>28 June, 26 July, 9 Aug, 30 Aug</w:t>
            </w:r>
          </w:p>
        </w:tc>
      </w:tr>
      <w:tr w:rsidR="00FC3D71" w:rsidRPr="00FC3D71" w:rsidTr="00BC4CFE">
        <w:tc>
          <w:tcPr>
            <w:tcW w:w="1696" w:type="dxa"/>
          </w:tcPr>
          <w:p w:rsidR="00FC3D71" w:rsidRPr="00FC3D71" w:rsidRDefault="00FC3D71" w:rsidP="00FC3D71">
            <w:pPr>
              <w:tabs>
                <w:tab w:val="clear" w:pos="851"/>
              </w:tabs>
              <w:spacing w:after="0"/>
              <w:ind w:left="0"/>
              <w:jc w:val="left"/>
              <w:rPr>
                <w:rFonts w:ascii="Calibri" w:eastAsia="Calibri" w:hAnsi="Calibri"/>
                <w:b/>
                <w:lang w:eastAsia="en-US"/>
              </w:rPr>
            </w:pPr>
            <w:r w:rsidRPr="00FC3D71">
              <w:rPr>
                <w:rFonts w:ascii="Calibri" w:eastAsia="Calibri" w:hAnsi="Calibri"/>
                <w:b/>
                <w:lang w:eastAsia="en-US"/>
              </w:rPr>
              <w:t>Financability</w:t>
            </w:r>
          </w:p>
        </w:tc>
        <w:tc>
          <w:tcPr>
            <w:tcW w:w="5247" w:type="dxa"/>
          </w:tcPr>
          <w:p w:rsidR="00FC3D71" w:rsidRPr="00FC3D71" w:rsidRDefault="00FC3D71" w:rsidP="00FC3D71">
            <w:pPr>
              <w:tabs>
                <w:tab w:val="clear" w:pos="851"/>
              </w:tabs>
              <w:spacing w:after="0"/>
              <w:ind w:left="0"/>
              <w:jc w:val="left"/>
              <w:rPr>
                <w:rFonts w:ascii="Calibri" w:eastAsia="Calibri" w:hAnsi="Calibri"/>
                <w:lang w:eastAsia="en-US"/>
              </w:rPr>
            </w:pPr>
            <w:r w:rsidRPr="00FC3D71">
              <w:rPr>
                <w:rFonts w:ascii="Calibri" w:eastAsia="Calibri" w:hAnsi="Calibri"/>
                <w:lang w:eastAsia="en-US"/>
              </w:rPr>
              <w:t>16 Approach to assessment of financeability (Principles &amp; Results).</w:t>
            </w:r>
          </w:p>
          <w:p w:rsidR="00FC3D71" w:rsidRPr="00FC3D71" w:rsidRDefault="00FC3D71" w:rsidP="00FC3D71">
            <w:pPr>
              <w:tabs>
                <w:tab w:val="clear" w:pos="851"/>
              </w:tabs>
              <w:spacing w:after="0"/>
              <w:ind w:left="0"/>
              <w:jc w:val="left"/>
              <w:rPr>
                <w:rFonts w:ascii="Calibri" w:eastAsia="Calibri" w:hAnsi="Calibri"/>
                <w:lang w:eastAsia="en-US"/>
              </w:rPr>
            </w:pPr>
            <w:r w:rsidRPr="00FC3D71">
              <w:rPr>
                <w:rFonts w:ascii="Calibri" w:eastAsia="Calibri" w:hAnsi="Calibri"/>
                <w:lang w:eastAsia="en-US"/>
              </w:rPr>
              <w:t>17 Review of the Company’s modelling and sensitivity analysis of financial outturn including key ratios (in line with Business Plan guidance and Ofwat Scenarios).</w:t>
            </w:r>
          </w:p>
          <w:p w:rsidR="00FC3D71" w:rsidRPr="00FC3D71" w:rsidRDefault="00FC3D71" w:rsidP="00FC3D71">
            <w:pPr>
              <w:tabs>
                <w:tab w:val="clear" w:pos="851"/>
              </w:tabs>
              <w:spacing w:after="0"/>
              <w:ind w:left="0"/>
              <w:jc w:val="left"/>
              <w:rPr>
                <w:rFonts w:ascii="Calibri" w:eastAsia="Calibri" w:hAnsi="Calibri"/>
                <w:lang w:eastAsia="en-US"/>
              </w:rPr>
            </w:pPr>
          </w:p>
          <w:p w:rsidR="00FC3D71" w:rsidRPr="00FC3D71" w:rsidRDefault="00FC3D71" w:rsidP="00FC3D71">
            <w:pPr>
              <w:tabs>
                <w:tab w:val="clear" w:pos="851"/>
              </w:tabs>
              <w:spacing w:after="0"/>
              <w:ind w:left="0"/>
              <w:jc w:val="left"/>
              <w:rPr>
                <w:rFonts w:ascii="Calibri" w:eastAsia="Calibri" w:hAnsi="Calibri"/>
                <w:lang w:eastAsia="en-US"/>
              </w:rPr>
            </w:pPr>
            <w:r w:rsidRPr="00FC3D71">
              <w:rPr>
                <w:rFonts w:ascii="Calibri" w:eastAsia="Calibri" w:hAnsi="Calibri"/>
                <w:lang w:eastAsia="en-US"/>
              </w:rPr>
              <w:t>18 Customer engagement covering Bill Profiles, PAYG adjustment and Small Company Premium</w:t>
            </w:r>
          </w:p>
        </w:tc>
        <w:tc>
          <w:tcPr>
            <w:tcW w:w="1157" w:type="dxa"/>
          </w:tcPr>
          <w:p w:rsidR="00FC3D71" w:rsidRPr="00FC3D71" w:rsidRDefault="00FC3D71" w:rsidP="00FC3D71">
            <w:pPr>
              <w:tabs>
                <w:tab w:val="clear" w:pos="851"/>
              </w:tabs>
              <w:spacing w:after="0"/>
              <w:ind w:left="0"/>
              <w:jc w:val="left"/>
              <w:rPr>
                <w:rFonts w:ascii="Calibri" w:eastAsia="Calibri" w:hAnsi="Calibri"/>
                <w:lang w:eastAsia="en-US"/>
              </w:rPr>
            </w:pPr>
            <w:r w:rsidRPr="00FC3D71">
              <w:rPr>
                <w:rFonts w:ascii="Calibri" w:eastAsia="Calibri" w:hAnsi="Calibri"/>
                <w:lang w:eastAsia="en-US"/>
              </w:rPr>
              <w:t>HMGO</w:t>
            </w:r>
          </w:p>
          <w:p w:rsidR="00FC3D71" w:rsidRPr="00FC3D71" w:rsidRDefault="00FC3D71" w:rsidP="00FC3D71">
            <w:pPr>
              <w:tabs>
                <w:tab w:val="clear" w:pos="851"/>
              </w:tabs>
              <w:spacing w:after="0"/>
              <w:ind w:left="0"/>
              <w:jc w:val="left"/>
              <w:rPr>
                <w:rFonts w:ascii="Calibri" w:eastAsia="Calibri" w:hAnsi="Calibri"/>
                <w:lang w:eastAsia="en-US"/>
              </w:rPr>
            </w:pPr>
          </w:p>
          <w:p w:rsidR="00FC3D71" w:rsidRPr="00FC3D71" w:rsidRDefault="00FC3D71" w:rsidP="00FC3D71">
            <w:pPr>
              <w:tabs>
                <w:tab w:val="clear" w:pos="851"/>
              </w:tabs>
              <w:spacing w:after="0"/>
              <w:ind w:left="0"/>
              <w:jc w:val="left"/>
              <w:rPr>
                <w:rFonts w:ascii="Calibri" w:eastAsia="Calibri" w:hAnsi="Calibri"/>
                <w:lang w:eastAsia="en-US"/>
              </w:rPr>
            </w:pPr>
            <w:r w:rsidRPr="00FC3D71">
              <w:rPr>
                <w:rFonts w:ascii="Calibri" w:eastAsia="Calibri" w:hAnsi="Calibri"/>
                <w:lang w:eastAsia="en-US"/>
              </w:rPr>
              <w:t>HMGO</w:t>
            </w:r>
          </w:p>
          <w:p w:rsidR="00FC3D71" w:rsidRPr="00FC3D71" w:rsidRDefault="00FC3D71" w:rsidP="00FC3D71">
            <w:pPr>
              <w:tabs>
                <w:tab w:val="clear" w:pos="851"/>
              </w:tabs>
              <w:spacing w:after="0"/>
              <w:ind w:left="0"/>
              <w:jc w:val="left"/>
              <w:rPr>
                <w:rFonts w:ascii="Calibri" w:eastAsia="Calibri" w:hAnsi="Calibri"/>
                <w:lang w:eastAsia="en-US"/>
              </w:rPr>
            </w:pPr>
          </w:p>
          <w:p w:rsidR="00FC3D71" w:rsidRPr="00FC3D71" w:rsidRDefault="00FC3D71" w:rsidP="00FC3D71">
            <w:pPr>
              <w:tabs>
                <w:tab w:val="clear" w:pos="851"/>
              </w:tabs>
              <w:spacing w:after="0"/>
              <w:ind w:left="0"/>
              <w:jc w:val="left"/>
              <w:rPr>
                <w:rFonts w:ascii="Calibri" w:eastAsia="Calibri" w:hAnsi="Calibri"/>
                <w:lang w:eastAsia="en-US"/>
              </w:rPr>
            </w:pPr>
          </w:p>
          <w:p w:rsidR="00FC3D71" w:rsidRPr="00FC3D71" w:rsidRDefault="00FC3D71" w:rsidP="00FC3D71">
            <w:pPr>
              <w:tabs>
                <w:tab w:val="clear" w:pos="851"/>
              </w:tabs>
              <w:spacing w:after="0"/>
              <w:ind w:left="0"/>
              <w:jc w:val="left"/>
              <w:rPr>
                <w:rFonts w:ascii="Calibri" w:eastAsia="Calibri" w:hAnsi="Calibri"/>
                <w:lang w:eastAsia="en-US"/>
              </w:rPr>
            </w:pPr>
            <w:r w:rsidRPr="00FC3D71">
              <w:rPr>
                <w:rFonts w:ascii="Calibri" w:eastAsia="Calibri" w:hAnsi="Calibri"/>
                <w:lang w:eastAsia="en-US"/>
              </w:rPr>
              <w:t>HMGO</w:t>
            </w:r>
          </w:p>
        </w:tc>
        <w:tc>
          <w:tcPr>
            <w:tcW w:w="1109" w:type="dxa"/>
          </w:tcPr>
          <w:p w:rsidR="00FC3D71" w:rsidRPr="00FC3D71" w:rsidRDefault="00FC3D71" w:rsidP="00FC3D71">
            <w:pPr>
              <w:tabs>
                <w:tab w:val="clear" w:pos="851"/>
              </w:tabs>
              <w:spacing w:after="0"/>
              <w:ind w:left="0"/>
              <w:jc w:val="left"/>
              <w:rPr>
                <w:rFonts w:ascii="Calibri" w:eastAsia="Calibri" w:hAnsi="Calibri"/>
                <w:lang w:eastAsia="en-US"/>
              </w:rPr>
            </w:pPr>
            <w:r w:rsidRPr="00FC3D71">
              <w:rPr>
                <w:rFonts w:ascii="Calibri" w:eastAsia="Calibri" w:hAnsi="Calibri"/>
                <w:lang w:eastAsia="en-US"/>
              </w:rPr>
              <w:t>25 Jan (P)</w:t>
            </w:r>
          </w:p>
          <w:p w:rsidR="00FC3D71" w:rsidRPr="00FC3D71" w:rsidRDefault="00FC3D71" w:rsidP="00FC3D71">
            <w:pPr>
              <w:tabs>
                <w:tab w:val="clear" w:pos="851"/>
              </w:tabs>
              <w:spacing w:after="0"/>
              <w:ind w:left="0"/>
              <w:jc w:val="left"/>
              <w:rPr>
                <w:rFonts w:ascii="Calibri" w:eastAsia="Calibri" w:hAnsi="Calibri"/>
                <w:lang w:eastAsia="en-US"/>
              </w:rPr>
            </w:pPr>
            <w:r w:rsidRPr="00FC3D71">
              <w:rPr>
                <w:rFonts w:ascii="Calibri" w:eastAsia="Calibri" w:hAnsi="Calibri"/>
                <w:lang w:eastAsia="en-US"/>
              </w:rPr>
              <w:t>28 June (R)</w:t>
            </w:r>
          </w:p>
          <w:p w:rsidR="00FC3D71" w:rsidRPr="00FC3D71" w:rsidRDefault="00FC3D71" w:rsidP="00FC3D71">
            <w:pPr>
              <w:tabs>
                <w:tab w:val="clear" w:pos="851"/>
              </w:tabs>
              <w:spacing w:after="0"/>
              <w:ind w:left="0"/>
              <w:jc w:val="left"/>
              <w:rPr>
                <w:rFonts w:ascii="Calibri" w:eastAsia="Calibri" w:hAnsi="Calibri"/>
                <w:lang w:eastAsia="en-US"/>
              </w:rPr>
            </w:pPr>
            <w:r w:rsidRPr="00FC3D71">
              <w:rPr>
                <w:rFonts w:ascii="Calibri" w:eastAsia="Calibri" w:hAnsi="Calibri"/>
                <w:lang w:eastAsia="en-US"/>
              </w:rPr>
              <w:t>28 June</w:t>
            </w:r>
          </w:p>
          <w:p w:rsidR="00FC3D71" w:rsidRPr="00FC3D71" w:rsidRDefault="00FC3D71" w:rsidP="00FC3D71">
            <w:pPr>
              <w:tabs>
                <w:tab w:val="clear" w:pos="851"/>
              </w:tabs>
              <w:spacing w:after="0"/>
              <w:ind w:left="0"/>
              <w:jc w:val="left"/>
              <w:rPr>
                <w:rFonts w:ascii="Calibri" w:eastAsia="Calibri" w:hAnsi="Calibri"/>
                <w:lang w:eastAsia="en-US"/>
              </w:rPr>
            </w:pPr>
          </w:p>
          <w:p w:rsidR="00FC3D71" w:rsidRPr="00FC3D71" w:rsidRDefault="00FC3D71" w:rsidP="00FC3D71">
            <w:pPr>
              <w:tabs>
                <w:tab w:val="clear" w:pos="851"/>
              </w:tabs>
              <w:spacing w:after="0"/>
              <w:ind w:left="0"/>
              <w:jc w:val="left"/>
              <w:rPr>
                <w:rFonts w:ascii="Calibri" w:eastAsia="Calibri" w:hAnsi="Calibri"/>
                <w:lang w:eastAsia="en-US"/>
              </w:rPr>
            </w:pPr>
          </w:p>
          <w:p w:rsidR="00FC3D71" w:rsidRPr="00FC3D71" w:rsidRDefault="00FC3D71" w:rsidP="00FC3D71">
            <w:pPr>
              <w:tabs>
                <w:tab w:val="clear" w:pos="851"/>
              </w:tabs>
              <w:spacing w:after="0"/>
              <w:ind w:left="0"/>
              <w:jc w:val="left"/>
              <w:rPr>
                <w:rFonts w:ascii="Calibri" w:eastAsia="Calibri" w:hAnsi="Calibri"/>
                <w:lang w:eastAsia="en-US"/>
              </w:rPr>
            </w:pPr>
            <w:r w:rsidRPr="00FC3D71">
              <w:rPr>
                <w:rFonts w:ascii="Calibri" w:eastAsia="Calibri" w:hAnsi="Calibri"/>
                <w:lang w:eastAsia="en-US"/>
              </w:rPr>
              <w:t>24 May &amp; 28 June</w:t>
            </w:r>
          </w:p>
        </w:tc>
        <w:tc>
          <w:tcPr>
            <w:tcW w:w="1725" w:type="dxa"/>
          </w:tcPr>
          <w:p w:rsidR="00FC3D71" w:rsidRPr="00FC3D71" w:rsidRDefault="00FC3D71" w:rsidP="00FC3D71">
            <w:pPr>
              <w:tabs>
                <w:tab w:val="clear" w:pos="851"/>
              </w:tabs>
              <w:spacing w:after="0"/>
              <w:ind w:left="11"/>
              <w:jc w:val="left"/>
              <w:rPr>
                <w:rFonts w:ascii="Calibri" w:eastAsia="Calibri" w:hAnsi="Calibri"/>
                <w:lang w:eastAsia="en-US"/>
              </w:rPr>
            </w:pPr>
            <w:r w:rsidRPr="00FC3D71">
              <w:rPr>
                <w:rFonts w:ascii="Calibri" w:eastAsia="Calibri" w:hAnsi="Calibri"/>
                <w:lang w:eastAsia="en-US"/>
              </w:rPr>
              <w:t>25 Jan, 9 Aug</w:t>
            </w:r>
          </w:p>
          <w:p w:rsidR="00FC3D71" w:rsidRPr="00FC3D71" w:rsidRDefault="00FC3D71" w:rsidP="00FC3D71">
            <w:pPr>
              <w:tabs>
                <w:tab w:val="clear" w:pos="851"/>
              </w:tabs>
              <w:spacing w:after="0"/>
              <w:ind w:left="11"/>
              <w:jc w:val="left"/>
              <w:rPr>
                <w:rFonts w:ascii="Calibri" w:eastAsia="Calibri" w:hAnsi="Calibri"/>
                <w:lang w:eastAsia="en-US"/>
              </w:rPr>
            </w:pPr>
            <w:r w:rsidRPr="00FC3D71">
              <w:rPr>
                <w:rFonts w:ascii="Calibri" w:eastAsia="Calibri" w:hAnsi="Calibri"/>
                <w:lang w:eastAsia="en-US"/>
              </w:rPr>
              <w:t>26 July, 30 Aug</w:t>
            </w:r>
          </w:p>
          <w:p w:rsidR="00FC3D71" w:rsidRPr="00FC3D71" w:rsidRDefault="00FC3D71" w:rsidP="00FC3D71">
            <w:pPr>
              <w:tabs>
                <w:tab w:val="clear" w:pos="851"/>
              </w:tabs>
              <w:spacing w:after="0"/>
              <w:ind w:left="11"/>
              <w:jc w:val="left"/>
              <w:rPr>
                <w:rFonts w:ascii="Calibri" w:eastAsia="Calibri" w:hAnsi="Calibri"/>
                <w:lang w:eastAsia="en-US"/>
              </w:rPr>
            </w:pPr>
          </w:p>
          <w:p w:rsidR="00FC3D71" w:rsidRPr="00FC3D71" w:rsidRDefault="00FC3D71" w:rsidP="00FC3D71">
            <w:pPr>
              <w:tabs>
                <w:tab w:val="clear" w:pos="851"/>
              </w:tabs>
              <w:spacing w:after="0"/>
              <w:ind w:left="11"/>
              <w:jc w:val="left"/>
              <w:rPr>
                <w:rFonts w:ascii="Calibri" w:eastAsia="Calibri" w:hAnsi="Calibri"/>
                <w:lang w:eastAsia="en-US"/>
              </w:rPr>
            </w:pPr>
            <w:r w:rsidRPr="00FC3D71">
              <w:rPr>
                <w:rFonts w:ascii="Calibri" w:eastAsia="Calibri" w:hAnsi="Calibri"/>
                <w:lang w:eastAsia="en-US"/>
              </w:rPr>
              <w:t>16 Aug, 30 Aug</w:t>
            </w:r>
          </w:p>
          <w:p w:rsidR="00FC3D71" w:rsidRPr="00FC3D71" w:rsidRDefault="00FC3D71" w:rsidP="00FC3D71">
            <w:pPr>
              <w:tabs>
                <w:tab w:val="clear" w:pos="851"/>
              </w:tabs>
              <w:spacing w:after="0"/>
              <w:ind w:left="11"/>
              <w:jc w:val="left"/>
              <w:rPr>
                <w:rFonts w:ascii="Calibri" w:eastAsia="Calibri" w:hAnsi="Calibri"/>
                <w:lang w:eastAsia="en-US"/>
              </w:rPr>
            </w:pPr>
          </w:p>
          <w:p w:rsidR="00FC3D71" w:rsidRPr="00FC3D71" w:rsidRDefault="00FC3D71" w:rsidP="00FC3D71">
            <w:pPr>
              <w:tabs>
                <w:tab w:val="clear" w:pos="851"/>
              </w:tabs>
              <w:spacing w:after="0"/>
              <w:ind w:left="11"/>
              <w:jc w:val="left"/>
              <w:rPr>
                <w:rFonts w:ascii="Calibri" w:eastAsia="Calibri" w:hAnsi="Calibri"/>
                <w:lang w:eastAsia="en-US"/>
              </w:rPr>
            </w:pPr>
            <w:r w:rsidRPr="00FC3D71">
              <w:rPr>
                <w:rFonts w:ascii="Calibri" w:eastAsia="Calibri" w:hAnsi="Calibri"/>
                <w:lang w:eastAsia="en-US"/>
              </w:rPr>
              <w:t>24 May, 28 June</w:t>
            </w:r>
          </w:p>
          <w:p w:rsidR="00FC3D71" w:rsidRPr="00FC3D71" w:rsidRDefault="00FC3D71" w:rsidP="00FC3D71">
            <w:pPr>
              <w:tabs>
                <w:tab w:val="clear" w:pos="851"/>
              </w:tabs>
              <w:spacing w:after="0"/>
              <w:ind w:left="11"/>
              <w:jc w:val="left"/>
              <w:rPr>
                <w:rFonts w:ascii="Calibri" w:eastAsia="Calibri" w:hAnsi="Calibri"/>
                <w:lang w:eastAsia="en-US"/>
              </w:rPr>
            </w:pPr>
            <w:r w:rsidRPr="00FC3D71">
              <w:rPr>
                <w:rFonts w:ascii="Calibri" w:eastAsia="Calibri" w:hAnsi="Calibri"/>
                <w:lang w:eastAsia="en-US"/>
              </w:rPr>
              <w:t>26 July</w:t>
            </w:r>
          </w:p>
          <w:p w:rsidR="00FC3D71" w:rsidRPr="00FC3D71" w:rsidRDefault="00FC3D71" w:rsidP="00FC3D71">
            <w:pPr>
              <w:tabs>
                <w:tab w:val="clear" w:pos="851"/>
              </w:tabs>
              <w:spacing w:after="0"/>
              <w:ind w:left="11"/>
              <w:jc w:val="left"/>
              <w:rPr>
                <w:rFonts w:ascii="Calibri" w:eastAsia="Calibri" w:hAnsi="Calibri"/>
                <w:lang w:eastAsia="en-US"/>
              </w:rPr>
            </w:pPr>
            <w:r w:rsidRPr="00FC3D71">
              <w:rPr>
                <w:rFonts w:ascii="Calibri" w:eastAsia="Calibri" w:hAnsi="Calibri"/>
                <w:lang w:eastAsia="en-US"/>
              </w:rPr>
              <w:t>30 Aug</w:t>
            </w:r>
          </w:p>
        </w:tc>
      </w:tr>
      <w:tr w:rsidR="00FC3D71" w:rsidRPr="00FC3D71" w:rsidTr="00BC4CFE">
        <w:tc>
          <w:tcPr>
            <w:tcW w:w="1696" w:type="dxa"/>
          </w:tcPr>
          <w:p w:rsidR="00FC3D71" w:rsidRPr="00FC3D71" w:rsidRDefault="00FC3D71" w:rsidP="00FC3D71">
            <w:pPr>
              <w:tabs>
                <w:tab w:val="clear" w:pos="851"/>
              </w:tabs>
              <w:spacing w:after="0"/>
              <w:ind w:left="0"/>
              <w:jc w:val="left"/>
              <w:rPr>
                <w:rFonts w:ascii="Calibri" w:eastAsia="Calibri" w:hAnsi="Calibri"/>
                <w:b/>
                <w:lang w:eastAsia="en-US"/>
              </w:rPr>
            </w:pPr>
            <w:r w:rsidRPr="00FC3D71">
              <w:rPr>
                <w:rFonts w:ascii="Calibri" w:eastAsia="Calibri" w:hAnsi="Calibri"/>
                <w:b/>
                <w:lang w:eastAsia="en-US"/>
              </w:rPr>
              <w:t>Board sign off</w:t>
            </w:r>
          </w:p>
        </w:tc>
        <w:tc>
          <w:tcPr>
            <w:tcW w:w="5247" w:type="dxa"/>
          </w:tcPr>
          <w:p w:rsidR="00FC3D71" w:rsidRPr="00FC3D71" w:rsidRDefault="00FC3D71" w:rsidP="00FC3D71">
            <w:pPr>
              <w:tabs>
                <w:tab w:val="clear" w:pos="851"/>
              </w:tabs>
              <w:spacing w:after="0"/>
              <w:ind w:left="0"/>
              <w:jc w:val="left"/>
              <w:rPr>
                <w:rFonts w:ascii="Calibri" w:eastAsia="Calibri" w:hAnsi="Calibri"/>
                <w:lang w:eastAsia="en-US"/>
              </w:rPr>
            </w:pPr>
            <w:r w:rsidRPr="00FC3D71">
              <w:rPr>
                <w:rFonts w:ascii="Calibri" w:eastAsia="Calibri" w:hAnsi="Calibri"/>
                <w:lang w:eastAsia="en-US"/>
              </w:rPr>
              <w:t>19 Develop and review wording of assurance &amp; Governance statement.</w:t>
            </w:r>
          </w:p>
          <w:p w:rsidR="00FC3D71" w:rsidRPr="00FC3D71" w:rsidRDefault="00FC3D71" w:rsidP="00FC3D71">
            <w:pPr>
              <w:tabs>
                <w:tab w:val="clear" w:pos="851"/>
              </w:tabs>
              <w:spacing w:after="0"/>
              <w:ind w:left="0"/>
              <w:jc w:val="left"/>
              <w:rPr>
                <w:rFonts w:ascii="Calibri" w:eastAsia="Calibri" w:hAnsi="Calibri"/>
                <w:lang w:eastAsia="en-US"/>
              </w:rPr>
            </w:pPr>
            <w:r w:rsidRPr="00FC3D71">
              <w:rPr>
                <w:rFonts w:ascii="Calibri" w:eastAsia="Calibri" w:hAnsi="Calibri"/>
                <w:lang w:eastAsia="en-US"/>
              </w:rPr>
              <w:t>20 Approval of business plan for submission.</w:t>
            </w:r>
          </w:p>
        </w:tc>
        <w:tc>
          <w:tcPr>
            <w:tcW w:w="1157" w:type="dxa"/>
          </w:tcPr>
          <w:p w:rsidR="00FC3D71" w:rsidRPr="00FC3D71" w:rsidRDefault="00FC3D71" w:rsidP="00FC3D71">
            <w:pPr>
              <w:tabs>
                <w:tab w:val="clear" w:pos="851"/>
              </w:tabs>
              <w:spacing w:after="0"/>
              <w:ind w:left="0"/>
              <w:jc w:val="left"/>
              <w:rPr>
                <w:rFonts w:ascii="Calibri" w:eastAsia="Calibri" w:hAnsi="Calibri"/>
                <w:lang w:eastAsia="en-US"/>
              </w:rPr>
            </w:pPr>
            <w:r w:rsidRPr="00FC3D71">
              <w:rPr>
                <w:rFonts w:ascii="Calibri" w:eastAsia="Calibri" w:hAnsi="Calibri"/>
                <w:lang w:eastAsia="en-US"/>
              </w:rPr>
              <w:t>HMGO</w:t>
            </w:r>
          </w:p>
          <w:p w:rsidR="00FC3D71" w:rsidRPr="00FC3D71" w:rsidRDefault="00FC3D71" w:rsidP="00FC3D71">
            <w:pPr>
              <w:tabs>
                <w:tab w:val="clear" w:pos="851"/>
              </w:tabs>
              <w:spacing w:after="0"/>
              <w:ind w:left="0"/>
              <w:jc w:val="left"/>
              <w:rPr>
                <w:rFonts w:ascii="Calibri" w:eastAsia="Calibri" w:hAnsi="Calibri"/>
                <w:lang w:eastAsia="en-US"/>
              </w:rPr>
            </w:pPr>
          </w:p>
          <w:p w:rsidR="00FC3D71" w:rsidRPr="00FC3D71" w:rsidRDefault="00FC3D71" w:rsidP="00FC3D71">
            <w:pPr>
              <w:tabs>
                <w:tab w:val="clear" w:pos="851"/>
              </w:tabs>
              <w:spacing w:after="0"/>
              <w:ind w:left="0"/>
              <w:jc w:val="left"/>
              <w:rPr>
                <w:rFonts w:ascii="Calibri" w:eastAsia="Calibri" w:hAnsi="Calibri"/>
                <w:lang w:eastAsia="en-US"/>
              </w:rPr>
            </w:pPr>
            <w:r w:rsidRPr="00FC3D71">
              <w:rPr>
                <w:rFonts w:ascii="Calibri" w:eastAsia="Calibri" w:hAnsi="Calibri"/>
                <w:lang w:eastAsia="en-US"/>
              </w:rPr>
              <w:t>Board</w:t>
            </w:r>
          </w:p>
        </w:tc>
        <w:tc>
          <w:tcPr>
            <w:tcW w:w="1109" w:type="dxa"/>
          </w:tcPr>
          <w:p w:rsidR="00FC3D71" w:rsidRPr="00FC3D71" w:rsidRDefault="00FC3D71" w:rsidP="00FC3D71">
            <w:pPr>
              <w:tabs>
                <w:tab w:val="clear" w:pos="851"/>
              </w:tabs>
              <w:spacing w:after="0"/>
              <w:ind w:left="0"/>
              <w:jc w:val="left"/>
              <w:rPr>
                <w:rFonts w:ascii="Calibri" w:eastAsia="Calibri" w:hAnsi="Calibri"/>
                <w:lang w:eastAsia="en-US"/>
              </w:rPr>
            </w:pPr>
            <w:r w:rsidRPr="00FC3D71">
              <w:rPr>
                <w:rFonts w:ascii="Calibri" w:eastAsia="Calibri" w:hAnsi="Calibri"/>
                <w:lang w:eastAsia="en-US"/>
              </w:rPr>
              <w:t>28 June</w:t>
            </w:r>
          </w:p>
          <w:p w:rsidR="00FC3D71" w:rsidRPr="00FC3D71" w:rsidRDefault="00FC3D71" w:rsidP="00FC3D71">
            <w:pPr>
              <w:tabs>
                <w:tab w:val="clear" w:pos="851"/>
              </w:tabs>
              <w:spacing w:after="0"/>
              <w:ind w:left="0"/>
              <w:jc w:val="left"/>
              <w:rPr>
                <w:rFonts w:ascii="Calibri" w:eastAsia="Calibri" w:hAnsi="Calibri"/>
                <w:lang w:eastAsia="en-US"/>
              </w:rPr>
            </w:pPr>
          </w:p>
          <w:p w:rsidR="00FC3D71" w:rsidRPr="00FC3D71" w:rsidRDefault="00FC3D71" w:rsidP="00FC3D71">
            <w:pPr>
              <w:tabs>
                <w:tab w:val="clear" w:pos="851"/>
              </w:tabs>
              <w:spacing w:after="0"/>
              <w:ind w:left="0"/>
              <w:jc w:val="left"/>
              <w:rPr>
                <w:rFonts w:ascii="Calibri" w:eastAsia="Calibri" w:hAnsi="Calibri"/>
                <w:lang w:eastAsia="en-US"/>
              </w:rPr>
            </w:pPr>
            <w:r w:rsidRPr="00FC3D71">
              <w:rPr>
                <w:rFonts w:ascii="Calibri" w:eastAsia="Calibri" w:hAnsi="Calibri"/>
                <w:lang w:eastAsia="en-US"/>
              </w:rPr>
              <w:t>28 June</w:t>
            </w:r>
          </w:p>
        </w:tc>
        <w:tc>
          <w:tcPr>
            <w:tcW w:w="1725" w:type="dxa"/>
          </w:tcPr>
          <w:p w:rsidR="00FC3D71" w:rsidRPr="00FC3D71" w:rsidRDefault="00FC3D71" w:rsidP="00FC3D71">
            <w:pPr>
              <w:tabs>
                <w:tab w:val="clear" w:pos="851"/>
              </w:tabs>
              <w:spacing w:after="0"/>
              <w:ind w:left="11"/>
              <w:jc w:val="left"/>
              <w:rPr>
                <w:rFonts w:ascii="Calibri" w:eastAsia="Calibri" w:hAnsi="Calibri"/>
                <w:lang w:eastAsia="en-US"/>
              </w:rPr>
            </w:pPr>
            <w:r w:rsidRPr="00FC3D71">
              <w:rPr>
                <w:rFonts w:ascii="Calibri" w:eastAsia="Calibri" w:hAnsi="Calibri"/>
                <w:lang w:eastAsia="en-US"/>
              </w:rPr>
              <w:t>24 May,28 June, 26 July</w:t>
            </w:r>
          </w:p>
          <w:p w:rsidR="00FC3D71" w:rsidRPr="00FC3D71" w:rsidRDefault="00FC3D71" w:rsidP="00FC3D71">
            <w:pPr>
              <w:tabs>
                <w:tab w:val="clear" w:pos="851"/>
              </w:tabs>
              <w:spacing w:after="0"/>
              <w:ind w:left="11"/>
              <w:jc w:val="left"/>
              <w:rPr>
                <w:rFonts w:ascii="Calibri" w:eastAsia="Calibri" w:hAnsi="Calibri"/>
                <w:lang w:eastAsia="en-US"/>
              </w:rPr>
            </w:pPr>
            <w:r w:rsidRPr="00FC3D71">
              <w:rPr>
                <w:rFonts w:ascii="Calibri" w:eastAsia="Calibri" w:hAnsi="Calibri"/>
                <w:lang w:eastAsia="en-US"/>
              </w:rPr>
              <w:t>9 Aug</w:t>
            </w:r>
          </w:p>
          <w:p w:rsidR="00FC3D71" w:rsidRPr="00FC3D71" w:rsidRDefault="00FC3D71" w:rsidP="00FC3D71">
            <w:pPr>
              <w:tabs>
                <w:tab w:val="clear" w:pos="851"/>
              </w:tabs>
              <w:spacing w:after="0"/>
              <w:ind w:left="11"/>
              <w:jc w:val="left"/>
              <w:rPr>
                <w:rFonts w:ascii="Calibri" w:eastAsia="Calibri" w:hAnsi="Calibri"/>
                <w:lang w:eastAsia="en-US"/>
              </w:rPr>
            </w:pPr>
            <w:r w:rsidRPr="00FC3D71">
              <w:rPr>
                <w:rFonts w:ascii="Calibri" w:eastAsia="Calibri" w:hAnsi="Calibri"/>
                <w:lang w:eastAsia="en-US"/>
              </w:rPr>
              <w:t>30 Aug</w:t>
            </w:r>
          </w:p>
        </w:tc>
      </w:tr>
      <w:tr w:rsidR="00FC3D71" w:rsidRPr="00FC3D71" w:rsidTr="00BC4CFE">
        <w:tc>
          <w:tcPr>
            <w:tcW w:w="1696" w:type="dxa"/>
          </w:tcPr>
          <w:p w:rsidR="00FC3D71" w:rsidRPr="00FC3D71" w:rsidRDefault="00FC3D71" w:rsidP="00FC3D71">
            <w:pPr>
              <w:tabs>
                <w:tab w:val="clear" w:pos="851"/>
              </w:tabs>
              <w:spacing w:after="0"/>
              <w:ind w:left="0"/>
              <w:jc w:val="left"/>
              <w:rPr>
                <w:rFonts w:ascii="Calibri" w:eastAsia="Calibri" w:hAnsi="Calibri"/>
                <w:b/>
                <w:lang w:eastAsia="en-US"/>
              </w:rPr>
            </w:pPr>
            <w:r w:rsidRPr="00FC3D71">
              <w:rPr>
                <w:rFonts w:ascii="Calibri" w:eastAsia="Calibri" w:hAnsi="Calibri"/>
                <w:b/>
                <w:lang w:eastAsia="en-US"/>
              </w:rPr>
              <w:t>Other Governance</w:t>
            </w:r>
          </w:p>
        </w:tc>
        <w:tc>
          <w:tcPr>
            <w:tcW w:w="5247" w:type="dxa"/>
          </w:tcPr>
          <w:p w:rsidR="00FC3D71" w:rsidRPr="00FC3D71" w:rsidRDefault="00FC3D71" w:rsidP="00FC3D71">
            <w:pPr>
              <w:tabs>
                <w:tab w:val="clear" w:pos="851"/>
              </w:tabs>
              <w:spacing w:after="0"/>
              <w:ind w:left="0"/>
              <w:jc w:val="left"/>
              <w:rPr>
                <w:rFonts w:ascii="Calibri" w:eastAsia="Calibri" w:hAnsi="Calibri"/>
                <w:lang w:eastAsia="en-US"/>
              </w:rPr>
            </w:pPr>
            <w:r w:rsidRPr="00FC3D71">
              <w:rPr>
                <w:rFonts w:ascii="Calibri" w:eastAsia="Calibri" w:hAnsi="Calibri"/>
                <w:lang w:eastAsia="en-US"/>
              </w:rPr>
              <w:t>21. Risk register and RAG report</w:t>
            </w:r>
          </w:p>
        </w:tc>
        <w:tc>
          <w:tcPr>
            <w:tcW w:w="1157" w:type="dxa"/>
          </w:tcPr>
          <w:p w:rsidR="00FC3D71" w:rsidRPr="00FC3D71" w:rsidRDefault="00FC3D71" w:rsidP="00FC3D71">
            <w:pPr>
              <w:tabs>
                <w:tab w:val="clear" w:pos="851"/>
              </w:tabs>
              <w:spacing w:after="0"/>
              <w:ind w:left="0"/>
              <w:jc w:val="left"/>
              <w:rPr>
                <w:rFonts w:ascii="Calibri" w:eastAsia="Calibri" w:hAnsi="Calibri"/>
                <w:lang w:eastAsia="en-US"/>
              </w:rPr>
            </w:pPr>
            <w:r w:rsidRPr="00FC3D71">
              <w:rPr>
                <w:rFonts w:ascii="Calibri" w:eastAsia="Calibri" w:hAnsi="Calibri"/>
                <w:lang w:eastAsia="en-US"/>
              </w:rPr>
              <w:t>HMGO</w:t>
            </w:r>
          </w:p>
        </w:tc>
        <w:tc>
          <w:tcPr>
            <w:tcW w:w="1109" w:type="dxa"/>
          </w:tcPr>
          <w:p w:rsidR="00FC3D71" w:rsidRPr="00FC3D71" w:rsidRDefault="00FC3D71" w:rsidP="00FC3D71">
            <w:pPr>
              <w:tabs>
                <w:tab w:val="clear" w:pos="851"/>
              </w:tabs>
              <w:spacing w:after="0"/>
              <w:ind w:left="0"/>
              <w:jc w:val="left"/>
              <w:rPr>
                <w:rFonts w:ascii="Calibri" w:eastAsia="Calibri" w:hAnsi="Calibri"/>
                <w:lang w:eastAsia="en-US"/>
              </w:rPr>
            </w:pPr>
            <w:r w:rsidRPr="00FC3D71">
              <w:rPr>
                <w:rFonts w:ascii="Calibri" w:eastAsia="Calibri" w:hAnsi="Calibri"/>
                <w:lang w:eastAsia="en-US"/>
              </w:rPr>
              <w:t>Monthly</w:t>
            </w:r>
          </w:p>
        </w:tc>
        <w:tc>
          <w:tcPr>
            <w:tcW w:w="1725" w:type="dxa"/>
          </w:tcPr>
          <w:p w:rsidR="00FC3D71" w:rsidRPr="00FC3D71" w:rsidRDefault="00FC3D71" w:rsidP="00FC3D71">
            <w:pPr>
              <w:tabs>
                <w:tab w:val="clear" w:pos="851"/>
              </w:tabs>
              <w:spacing w:after="0"/>
              <w:ind w:left="11"/>
              <w:jc w:val="left"/>
              <w:rPr>
                <w:rFonts w:ascii="Calibri" w:eastAsia="Calibri" w:hAnsi="Calibri"/>
                <w:lang w:eastAsia="en-US"/>
              </w:rPr>
            </w:pPr>
            <w:r w:rsidRPr="00FC3D71">
              <w:rPr>
                <w:rFonts w:ascii="Calibri" w:eastAsia="Calibri" w:hAnsi="Calibri"/>
                <w:lang w:eastAsia="en-US"/>
              </w:rPr>
              <w:t>Monthly</w:t>
            </w:r>
          </w:p>
        </w:tc>
      </w:tr>
      <w:tr w:rsidR="00FC3D71" w:rsidRPr="00FC3D71" w:rsidTr="00BC4CFE">
        <w:tc>
          <w:tcPr>
            <w:tcW w:w="1696" w:type="dxa"/>
          </w:tcPr>
          <w:p w:rsidR="00FC3D71" w:rsidRPr="00FC3D71" w:rsidRDefault="00FC3D71" w:rsidP="00FC3D71">
            <w:pPr>
              <w:tabs>
                <w:tab w:val="clear" w:pos="851"/>
              </w:tabs>
              <w:spacing w:after="0"/>
              <w:ind w:left="0"/>
              <w:jc w:val="left"/>
              <w:rPr>
                <w:rFonts w:ascii="Calibri" w:eastAsia="Calibri" w:hAnsi="Calibri"/>
                <w:b/>
                <w:lang w:eastAsia="en-US"/>
              </w:rPr>
            </w:pPr>
            <w:r w:rsidRPr="00FC3D71">
              <w:rPr>
                <w:rFonts w:ascii="Calibri" w:eastAsia="Calibri" w:hAnsi="Calibri"/>
                <w:b/>
                <w:lang w:eastAsia="en-US"/>
              </w:rPr>
              <w:t>Water Resources</w:t>
            </w:r>
          </w:p>
        </w:tc>
        <w:tc>
          <w:tcPr>
            <w:tcW w:w="5247" w:type="dxa"/>
          </w:tcPr>
          <w:p w:rsidR="00FC3D71" w:rsidRPr="00FC3D71" w:rsidRDefault="00FC3D71" w:rsidP="00FC3D71">
            <w:pPr>
              <w:tabs>
                <w:tab w:val="clear" w:pos="851"/>
              </w:tabs>
              <w:spacing w:after="0"/>
              <w:ind w:left="0"/>
              <w:jc w:val="left"/>
              <w:rPr>
                <w:rFonts w:ascii="Calibri" w:eastAsia="Calibri" w:hAnsi="Calibri"/>
                <w:lang w:eastAsia="en-US"/>
              </w:rPr>
            </w:pPr>
            <w:r w:rsidRPr="00FC3D71">
              <w:rPr>
                <w:rFonts w:ascii="Calibri" w:eastAsia="Calibri" w:hAnsi="Calibri"/>
                <w:lang w:eastAsia="en-US"/>
              </w:rPr>
              <w:t>22 Metering Strategy</w:t>
            </w:r>
          </w:p>
          <w:p w:rsidR="00FC3D71" w:rsidRPr="00FC3D71" w:rsidRDefault="00FC3D71" w:rsidP="00FC3D71">
            <w:pPr>
              <w:tabs>
                <w:tab w:val="clear" w:pos="851"/>
              </w:tabs>
              <w:spacing w:after="0"/>
              <w:ind w:left="0"/>
              <w:jc w:val="left"/>
              <w:rPr>
                <w:rFonts w:ascii="Calibri" w:eastAsia="Calibri" w:hAnsi="Calibri"/>
                <w:lang w:eastAsia="en-US"/>
              </w:rPr>
            </w:pPr>
          </w:p>
          <w:p w:rsidR="00FC3D71" w:rsidRPr="00FC3D71" w:rsidRDefault="00FC3D71" w:rsidP="00FC3D71">
            <w:pPr>
              <w:tabs>
                <w:tab w:val="clear" w:pos="851"/>
              </w:tabs>
              <w:spacing w:after="0"/>
              <w:ind w:left="0"/>
              <w:jc w:val="left"/>
              <w:rPr>
                <w:rFonts w:ascii="Calibri" w:eastAsia="Calibri" w:hAnsi="Calibri"/>
                <w:lang w:eastAsia="en-US"/>
              </w:rPr>
            </w:pPr>
            <w:r w:rsidRPr="00FC3D71">
              <w:rPr>
                <w:rFonts w:ascii="Calibri" w:eastAsia="Calibri" w:hAnsi="Calibri"/>
                <w:lang w:eastAsia="en-US"/>
              </w:rPr>
              <w:t>23 Letter from Therese Coffey</w:t>
            </w:r>
          </w:p>
          <w:p w:rsidR="00FC3D71" w:rsidRPr="00FC3D71" w:rsidRDefault="00FC3D71" w:rsidP="00FC3D71">
            <w:pPr>
              <w:tabs>
                <w:tab w:val="clear" w:pos="851"/>
              </w:tabs>
              <w:spacing w:after="0"/>
              <w:ind w:left="0"/>
              <w:jc w:val="left"/>
              <w:rPr>
                <w:rFonts w:ascii="Calibri" w:eastAsia="Calibri" w:hAnsi="Calibri"/>
                <w:lang w:eastAsia="en-US"/>
              </w:rPr>
            </w:pPr>
            <w:r w:rsidRPr="00FC3D71">
              <w:rPr>
                <w:rFonts w:ascii="Calibri" w:eastAsia="Calibri" w:hAnsi="Calibri"/>
                <w:lang w:eastAsia="en-US"/>
              </w:rPr>
              <w:t>Leakage Strategy</w:t>
            </w:r>
          </w:p>
          <w:p w:rsidR="00FC3D71" w:rsidRPr="00FC3D71" w:rsidRDefault="00FC3D71" w:rsidP="00FC3D71">
            <w:pPr>
              <w:tabs>
                <w:tab w:val="clear" w:pos="851"/>
              </w:tabs>
              <w:spacing w:after="0"/>
              <w:ind w:left="0"/>
              <w:jc w:val="left"/>
              <w:rPr>
                <w:rFonts w:ascii="Calibri" w:eastAsia="Calibri" w:hAnsi="Calibri"/>
                <w:lang w:eastAsia="en-US"/>
              </w:rPr>
            </w:pPr>
            <w:r w:rsidRPr="00FC3D71">
              <w:rPr>
                <w:rFonts w:ascii="Calibri" w:eastAsia="Calibri" w:hAnsi="Calibri"/>
                <w:lang w:eastAsia="en-US"/>
              </w:rPr>
              <w:t>24 Board discussion of WRMP</w:t>
            </w:r>
          </w:p>
          <w:p w:rsidR="00FC3D71" w:rsidRPr="00FC3D71" w:rsidRDefault="00FC3D71" w:rsidP="00FC3D71">
            <w:pPr>
              <w:tabs>
                <w:tab w:val="clear" w:pos="851"/>
              </w:tabs>
              <w:spacing w:after="0"/>
              <w:ind w:left="0"/>
              <w:jc w:val="left"/>
              <w:rPr>
                <w:rFonts w:ascii="Calibri" w:eastAsia="Calibri" w:hAnsi="Calibri"/>
                <w:lang w:eastAsia="en-US"/>
              </w:rPr>
            </w:pPr>
          </w:p>
          <w:p w:rsidR="00FC3D71" w:rsidRPr="00FC3D71" w:rsidRDefault="00FC3D71" w:rsidP="00FC3D71">
            <w:pPr>
              <w:tabs>
                <w:tab w:val="clear" w:pos="851"/>
              </w:tabs>
              <w:spacing w:after="0"/>
              <w:ind w:left="0"/>
              <w:jc w:val="left"/>
              <w:rPr>
                <w:rFonts w:ascii="Calibri" w:eastAsia="Calibri" w:hAnsi="Calibri"/>
                <w:lang w:eastAsia="en-US"/>
              </w:rPr>
            </w:pPr>
            <w:r w:rsidRPr="00FC3D71">
              <w:rPr>
                <w:rFonts w:ascii="Calibri" w:eastAsia="Calibri" w:hAnsi="Calibri"/>
                <w:lang w:eastAsia="en-US"/>
              </w:rPr>
              <w:t>25 Board discussion of Havant Thicket</w:t>
            </w:r>
          </w:p>
          <w:p w:rsidR="00FC3D71" w:rsidRPr="00FC3D71" w:rsidRDefault="00FC3D71" w:rsidP="00FC3D71">
            <w:pPr>
              <w:tabs>
                <w:tab w:val="clear" w:pos="851"/>
              </w:tabs>
              <w:spacing w:after="0"/>
              <w:ind w:left="0"/>
              <w:jc w:val="left"/>
              <w:rPr>
                <w:rFonts w:ascii="Calibri" w:eastAsia="Calibri" w:hAnsi="Calibri"/>
                <w:lang w:eastAsia="en-US"/>
              </w:rPr>
            </w:pPr>
            <w:r w:rsidRPr="00FC3D71">
              <w:rPr>
                <w:rFonts w:ascii="Calibri" w:eastAsia="Calibri" w:hAnsi="Calibri"/>
                <w:lang w:eastAsia="en-US"/>
              </w:rPr>
              <w:t>26 Board approval of Draft WRMP</w:t>
            </w:r>
          </w:p>
          <w:p w:rsidR="00FC3D71" w:rsidRPr="00FC3D71" w:rsidRDefault="00FC3D71" w:rsidP="00FC3D71">
            <w:pPr>
              <w:tabs>
                <w:tab w:val="clear" w:pos="851"/>
              </w:tabs>
              <w:spacing w:after="0"/>
              <w:ind w:left="0"/>
              <w:jc w:val="left"/>
              <w:rPr>
                <w:rFonts w:ascii="Calibri" w:eastAsia="Calibri" w:hAnsi="Calibri"/>
                <w:lang w:eastAsia="en-US"/>
              </w:rPr>
            </w:pPr>
            <w:r w:rsidRPr="00FC3D71">
              <w:rPr>
                <w:rFonts w:ascii="Calibri" w:eastAsia="Calibri" w:hAnsi="Calibri"/>
                <w:lang w:eastAsia="en-US"/>
              </w:rPr>
              <w:t>26 Board approval of Draft Final WRMP</w:t>
            </w:r>
          </w:p>
        </w:tc>
        <w:tc>
          <w:tcPr>
            <w:tcW w:w="1157" w:type="dxa"/>
          </w:tcPr>
          <w:p w:rsidR="00FC3D71" w:rsidRPr="00FC3D71" w:rsidRDefault="00FC3D71" w:rsidP="00FC3D71">
            <w:pPr>
              <w:tabs>
                <w:tab w:val="clear" w:pos="851"/>
              </w:tabs>
              <w:spacing w:after="0"/>
              <w:ind w:left="0"/>
              <w:jc w:val="left"/>
              <w:rPr>
                <w:rFonts w:ascii="Calibri" w:eastAsia="Calibri" w:hAnsi="Calibri"/>
                <w:lang w:eastAsia="en-US"/>
              </w:rPr>
            </w:pPr>
          </w:p>
        </w:tc>
        <w:tc>
          <w:tcPr>
            <w:tcW w:w="1109" w:type="dxa"/>
          </w:tcPr>
          <w:p w:rsidR="00FC3D71" w:rsidRPr="00FC3D71" w:rsidRDefault="00FC3D71" w:rsidP="00FC3D71">
            <w:pPr>
              <w:tabs>
                <w:tab w:val="clear" w:pos="851"/>
              </w:tabs>
              <w:spacing w:after="0"/>
              <w:ind w:left="0"/>
              <w:jc w:val="left"/>
              <w:rPr>
                <w:rFonts w:ascii="Calibri" w:eastAsia="Calibri" w:hAnsi="Calibri"/>
                <w:lang w:eastAsia="en-US"/>
              </w:rPr>
            </w:pPr>
          </w:p>
        </w:tc>
        <w:tc>
          <w:tcPr>
            <w:tcW w:w="1725" w:type="dxa"/>
          </w:tcPr>
          <w:p w:rsidR="00FC3D71" w:rsidRPr="00FC3D71" w:rsidRDefault="00FC3D71" w:rsidP="00FC3D71">
            <w:pPr>
              <w:tabs>
                <w:tab w:val="clear" w:pos="851"/>
              </w:tabs>
              <w:spacing w:after="0"/>
              <w:ind w:left="11"/>
              <w:jc w:val="left"/>
              <w:rPr>
                <w:rFonts w:ascii="Calibri" w:eastAsia="Calibri" w:hAnsi="Calibri"/>
                <w:lang w:eastAsia="en-US"/>
              </w:rPr>
            </w:pPr>
            <w:r w:rsidRPr="00FC3D71">
              <w:rPr>
                <w:rFonts w:ascii="Calibri" w:eastAsia="Calibri" w:hAnsi="Calibri"/>
                <w:lang w:eastAsia="en-US"/>
              </w:rPr>
              <w:t>Nov 17, 26 April</w:t>
            </w:r>
          </w:p>
          <w:p w:rsidR="00FC3D71" w:rsidRPr="00FC3D71" w:rsidRDefault="00FC3D71" w:rsidP="00FC3D71">
            <w:pPr>
              <w:tabs>
                <w:tab w:val="clear" w:pos="851"/>
              </w:tabs>
              <w:spacing w:after="0"/>
              <w:ind w:left="11"/>
              <w:jc w:val="left"/>
              <w:rPr>
                <w:rFonts w:ascii="Calibri" w:eastAsia="Calibri" w:hAnsi="Calibri"/>
                <w:lang w:eastAsia="en-US"/>
              </w:rPr>
            </w:pPr>
            <w:r w:rsidRPr="00FC3D71">
              <w:rPr>
                <w:rFonts w:ascii="Calibri" w:eastAsia="Calibri" w:hAnsi="Calibri"/>
                <w:lang w:eastAsia="en-US"/>
              </w:rPr>
              <w:t>26 April</w:t>
            </w:r>
          </w:p>
          <w:p w:rsidR="00FC3D71" w:rsidRPr="00FC3D71" w:rsidRDefault="00FC3D71" w:rsidP="00FC3D71">
            <w:pPr>
              <w:tabs>
                <w:tab w:val="clear" w:pos="851"/>
              </w:tabs>
              <w:spacing w:after="0"/>
              <w:ind w:left="11"/>
              <w:jc w:val="left"/>
              <w:rPr>
                <w:rFonts w:ascii="Calibri" w:eastAsia="Calibri" w:hAnsi="Calibri"/>
                <w:lang w:eastAsia="en-US"/>
              </w:rPr>
            </w:pPr>
            <w:r w:rsidRPr="00FC3D71">
              <w:rPr>
                <w:rFonts w:ascii="Calibri" w:eastAsia="Calibri" w:hAnsi="Calibri"/>
                <w:lang w:eastAsia="en-US"/>
              </w:rPr>
              <w:t xml:space="preserve">28 June </w:t>
            </w:r>
          </w:p>
          <w:p w:rsidR="00FC3D71" w:rsidRPr="00FC3D71" w:rsidRDefault="00FC3D71" w:rsidP="00FC3D71">
            <w:pPr>
              <w:tabs>
                <w:tab w:val="clear" w:pos="851"/>
              </w:tabs>
              <w:spacing w:after="0"/>
              <w:ind w:left="11"/>
              <w:jc w:val="left"/>
              <w:rPr>
                <w:rFonts w:ascii="Calibri" w:eastAsia="Calibri" w:hAnsi="Calibri"/>
                <w:lang w:eastAsia="en-US"/>
              </w:rPr>
            </w:pPr>
          </w:p>
          <w:p w:rsidR="00FC3D71" w:rsidRPr="00FC3D71" w:rsidRDefault="00FC3D71" w:rsidP="00FC3D71">
            <w:pPr>
              <w:tabs>
                <w:tab w:val="clear" w:pos="851"/>
              </w:tabs>
              <w:spacing w:after="0"/>
              <w:ind w:left="11"/>
              <w:jc w:val="left"/>
              <w:rPr>
                <w:rFonts w:ascii="Calibri" w:eastAsia="Calibri" w:hAnsi="Calibri"/>
                <w:lang w:eastAsia="en-US"/>
              </w:rPr>
            </w:pPr>
            <w:r w:rsidRPr="00FC3D71">
              <w:rPr>
                <w:rFonts w:ascii="Calibri" w:eastAsia="Calibri" w:hAnsi="Calibri"/>
                <w:lang w:eastAsia="en-US"/>
              </w:rPr>
              <w:t>July, Sept, Nov, Dec 2017, 9 Aug</w:t>
            </w:r>
          </w:p>
          <w:p w:rsidR="00FC3D71" w:rsidRPr="00FC3D71" w:rsidRDefault="00FC3D71" w:rsidP="00FC3D71">
            <w:pPr>
              <w:tabs>
                <w:tab w:val="clear" w:pos="851"/>
              </w:tabs>
              <w:spacing w:after="0"/>
              <w:ind w:left="11"/>
              <w:jc w:val="left"/>
              <w:rPr>
                <w:rFonts w:ascii="Calibri" w:eastAsia="Calibri" w:hAnsi="Calibri"/>
                <w:lang w:eastAsia="en-US"/>
              </w:rPr>
            </w:pPr>
            <w:r w:rsidRPr="00FC3D71">
              <w:rPr>
                <w:rFonts w:ascii="Calibri" w:eastAsia="Calibri" w:hAnsi="Calibri"/>
                <w:lang w:eastAsia="en-US"/>
              </w:rPr>
              <w:t>Oct 2017</w:t>
            </w:r>
          </w:p>
          <w:p w:rsidR="00FC3D71" w:rsidRPr="00FC3D71" w:rsidRDefault="00FC3D71" w:rsidP="00FC3D71">
            <w:pPr>
              <w:tabs>
                <w:tab w:val="clear" w:pos="851"/>
              </w:tabs>
              <w:spacing w:after="0"/>
              <w:ind w:left="11"/>
              <w:jc w:val="left"/>
              <w:rPr>
                <w:rFonts w:ascii="Calibri" w:eastAsia="Calibri" w:hAnsi="Calibri"/>
                <w:lang w:eastAsia="en-US"/>
              </w:rPr>
            </w:pPr>
            <w:r w:rsidRPr="00FC3D71">
              <w:rPr>
                <w:rFonts w:ascii="Calibri" w:eastAsia="Calibri" w:hAnsi="Calibri"/>
                <w:lang w:eastAsia="en-US"/>
              </w:rPr>
              <w:t>23 Nov 2017</w:t>
            </w:r>
          </w:p>
          <w:p w:rsidR="00FC3D71" w:rsidRPr="00FC3D71" w:rsidRDefault="00FC3D71" w:rsidP="00FC3D71">
            <w:pPr>
              <w:tabs>
                <w:tab w:val="clear" w:pos="851"/>
              </w:tabs>
              <w:spacing w:after="0"/>
              <w:ind w:left="11"/>
              <w:jc w:val="left"/>
              <w:rPr>
                <w:rFonts w:ascii="Calibri" w:eastAsia="Calibri" w:hAnsi="Calibri"/>
                <w:lang w:eastAsia="en-US"/>
              </w:rPr>
            </w:pPr>
            <w:r w:rsidRPr="00FC3D71">
              <w:rPr>
                <w:rFonts w:ascii="Calibri" w:eastAsia="Calibri" w:hAnsi="Calibri"/>
                <w:lang w:eastAsia="en-US"/>
              </w:rPr>
              <w:t>30 Aug</w:t>
            </w:r>
          </w:p>
        </w:tc>
      </w:tr>
      <w:tr w:rsidR="00FC3D71" w:rsidRPr="00FC3D71" w:rsidTr="00BC4CFE">
        <w:tc>
          <w:tcPr>
            <w:tcW w:w="1696" w:type="dxa"/>
          </w:tcPr>
          <w:p w:rsidR="00FC3D71" w:rsidRPr="00FC3D71" w:rsidRDefault="00FC3D71" w:rsidP="00FC3D71">
            <w:pPr>
              <w:tabs>
                <w:tab w:val="clear" w:pos="851"/>
              </w:tabs>
              <w:spacing w:after="0"/>
              <w:ind w:left="0"/>
              <w:jc w:val="left"/>
              <w:rPr>
                <w:rFonts w:ascii="Calibri" w:eastAsia="Calibri" w:hAnsi="Calibri"/>
                <w:b/>
                <w:lang w:eastAsia="en-US"/>
              </w:rPr>
            </w:pPr>
            <w:r w:rsidRPr="00FC3D71">
              <w:rPr>
                <w:rFonts w:ascii="Calibri" w:eastAsia="Calibri" w:hAnsi="Calibri"/>
                <w:b/>
                <w:lang w:eastAsia="en-US"/>
              </w:rPr>
              <w:t>Table and Final Data Average</w:t>
            </w:r>
          </w:p>
        </w:tc>
        <w:tc>
          <w:tcPr>
            <w:tcW w:w="5247" w:type="dxa"/>
          </w:tcPr>
          <w:p w:rsidR="00FC3D71" w:rsidRPr="00FC3D71" w:rsidRDefault="00FC3D71" w:rsidP="00FC3D71">
            <w:pPr>
              <w:tabs>
                <w:tab w:val="clear" w:pos="851"/>
              </w:tabs>
              <w:spacing w:after="0"/>
              <w:ind w:left="0"/>
              <w:jc w:val="left"/>
              <w:rPr>
                <w:rFonts w:ascii="Calibri" w:eastAsia="Calibri" w:hAnsi="Calibri"/>
                <w:lang w:eastAsia="en-US"/>
              </w:rPr>
            </w:pPr>
            <w:r w:rsidRPr="00FC3D71">
              <w:rPr>
                <w:rFonts w:ascii="Calibri" w:eastAsia="Calibri" w:hAnsi="Calibri"/>
                <w:lang w:eastAsia="en-US"/>
              </w:rPr>
              <w:t>27 Report from KPMG – Financial</w:t>
            </w:r>
          </w:p>
          <w:p w:rsidR="00FC3D71" w:rsidRPr="00FC3D71" w:rsidRDefault="00FC3D71" w:rsidP="00FC3D71">
            <w:pPr>
              <w:tabs>
                <w:tab w:val="clear" w:pos="851"/>
              </w:tabs>
              <w:spacing w:after="0"/>
              <w:ind w:left="0"/>
              <w:jc w:val="left"/>
              <w:rPr>
                <w:rFonts w:ascii="Calibri" w:eastAsia="Calibri" w:hAnsi="Calibri"/>
                <w:lang w:eastAsia="en-US"/>
              </w:rPr>
            </w:pPr>
            <w:r w:rsidRPr="00FC3D71">
              <w:rPr>
                <w:rFonts w:ascii="Calibri" w:eastAsia="Calibri" w:hAnsi="Calibri"/>
                <w:lang w:eastAsia="en-US"/>
              </w:rPr>
              <w:t>28 Report from Atkins – Non-financial</w:t>
            </w:r>
          </w:p>
        </w:tc>
        <w:tc>
          <w:tcPr>
            <w:tcW w:w="1157" w:type="dxa"/>
          </w:tcPr>
          <w:p w:rsidR="00FC3D71" w:rsidRPr="00FC3D71" w:rsidRDefault="00FC3D71" w:rsidP="00FC3D71">
            <w:pPr>
              <w:tabs>
                <w:tab w:val="clear" w:pos="851"/>
              </w:tabs>
              <w:spacing w:after="0"/>
              <w:ind w:left="0"/>
              <w:jc w:val="left"/>
              <w:rPr>
                <w:rFonts w:ascii="Calibri" w:eastAsia="Calibri" w:hAnsi="Calibri"/>
                <w:lang w:eastAsia="en-US"/>
              </w:rPr>
            </w:pPr>
          </w:p>
        </w:tc>
        <w:tc>
          <w:tcPr>
            <w:tcW w:w="1109" w:type="dxa"/>
          </w:tcPr>
          <w:p w:rsidR="00FC3D71" w:rsidRPr="00FC3D71" w:rsidRDefault="00FC3D71" w:rsidP="00FC3D71">
            <w:pPr>
              <w:tabs>
                <w:tab w:val="clear" w:pos="851"/>
              </w:tabs>
              <w:spacing w:after="0"/>
              <w:ind w:left="0"/>
              <w:jc w:val="left"/>
              <w:rPr>
                <w:rFonts w:ascii="Calibri" w:eastAsia="Calibri" w:hAnsi="Calibri"/>
                <w:lang w:eastAsia="en-US"/>
              </w:rPr>
            </w:pPr>
            <w:r w:rsidRPr="00FC3D71">
              <w:rPr>
                <w:rFonts w:ascii="Calibri" w:eastAsia="Calibri" w:hAnsi="Calibri"/>
                <w:lang w:eastAsia="en-US"/>
              </w:rPr>
              <w:t>30 Aug</w:t>
            </w:r>
          </w:p>
          <w:p w:rsidR="00FC3D71" w:rsidRPr="00FC3D71" w:rsidRDefault="00FC3D71" w:rsidP="00FC3D71">
            <w:pPr>
              <w:tabs>
                <w:tab w:val="clear" w:pos="851"/>
              </w:tabs>
              <w:spacing w:after="0"/>
              <w:ind w:left="0"/>
              <w:jc w:val="left"/>
              <w:rPr>
                <w:rFonts w:ascii="Calibri" w:eastAsia="Calibri" w:hAnsi="Calibri"/>
                <w:lang w:eastAsia="en-US"/>
              </w:rPr>
            </w:pPr>
            <w:r w:rsidRPr="00FC3D71">
              <w:rPr>
                <w:rFonts w:ascii="Calibri" w:eastAsia="Calibri" w:hAnsi="Calibri"/>
                <w:lang w:eastAsia="en-US"/>
              </w:rPr>
              <w:t>30 Aug</w:t>
            </w:r>
          </w:p>
        </w:tc>
        <w:tc>
          <w:tcPr>
            <w:tcW w:w="1725" w:type="dxa"/>
          </w:tcPr>
          <w:p w:rsidR="00FC3D71" w:rsidRPr="00FC3D71" w:rsidRDefault="00FC3D71" w:rsidP="00FC3D71">
            <w:pPr>
              <w:tabs>
                <w:tab w:val="clear" w:pos="851"/>
              </w:tabs>
              <w:spacing w:after="0"/>
              <w:ind w:left="11"/>
              <w:jc w:val="left"/>
              <w:rPr>
                <w:rFonts w:ascii="Calibri" w:eastAsia="Calibri" w:hAnsi="Calibri"/>
                <w:lang w:eastAsia="en-US"/>
              </w:rPr>
            </w:pPr>
            <w:r w:rsidRPr="00FC3D71">
              <w:rPr>
                <w:rFonts w:ascii="Calibri" w:eastAsia="Calibri" w:hAnsi="Calibri"/>
                <w:lang w:eastAsia="en-US"/>
              </w:rPr>
              <w:t>30 Aug</w:t>
            </w:r>
          </w:p>
          <w:p w:rsidR="00FC3D71" w:rsidRPr="00FC3D71" w:rsidRDefault="00FC3D71" w:rsidP="00FC3D71">
            <w:pPr>
              <w:tabs>
                <w:tab w:val="clear" w:pos="851"/>
              </w:tabs>
              <w:spacing w:after="0"/>
              <w:ind w:left="11"/>
              <w:jc w:val="left"/>
              <w:rPr>
                <w:rFonts w:ascii="Calibri" w:eastAsia="Calibri" w:hAnsi="Calibri"/>
                <w:lang w:eastAsia="en-US"/>
              </w:rPr>
            </w:pPr>
            <w:r w:rsidRPr="00FC3D71">
              <w:rPr>
                <w:rFonts w:ascii="Calibri" w:eastAsia="Calibri" w:hAnsi="Calibri"/>
                <w:lang w:eastAsia="en-US"/>
              </w:rPr>
              <w:t>9 Aug</w:t>
            </w:r>
          </w:p>
          <w:p w:rsidR="00FC3D71" w:rsidRPr="00FC3D71" w:rsidRDefault="00FC3D71" w:rsidP="00FC3D71">
            <w:pPr>
              <w:tabs>
                <w:tab w:val="clear" w:pos="851"/>
              </w:tabs>
              <w:spacing w:after="0"/>
              <w:ind w:left="11"/>
              <w:jc w:val="left"/>
              <w:rPr>
                <w:rFonts w:ascii="Calibri" w:eastAsia="Calibri" w:hAnsi="Calibri"/>
                <w:lang w:eastAsia="en-US"/>
              </w:rPr>
            </w:pPr>
            <w:r w:rsidRPr="00FC3D71">
              <w:rPr>
                <w:rFonts w:ascii="Calibri" w:eastAsia="Calibri" w:hAnsi="Calibri"/>
                <w:lang w:eastAsia="en-US"/>
              </w:rPr>
              <w:t>30 Aug</w:t>
            </w:r>
          </w:p>
        </w:tc>
      </w:tr>
      <w:tr w:rsidR="00FC3D71" w:rsidRPr="00FC3D71" w:rsidTr="00BC4CFE">
        <w:tc>
          <w:tcPr>
            <w:tcW w:w="1696" w:type="dxa"/>
          </w:tcPr>
          <w:p w:rsidR="00FC3D71" w:rsidRPr="00FC3D71" w:rsidRDefault="00FC3D71" w:rsidP="00FC3D71">
            <w:pPr>
              <w:tabs>
                <w:tab w:val="clear" w:pos="851"/>
              </w:tabs>
              <w:spacing w:after="0"/>
              <w:ind w:left="0"/>
              <w:jc w:val="left"/>
              <w:rPr>
                <w:rFonts w:ascii="Calibri" w:eastAsia="Calibri" w:hAnsi="Calibri"/>
                <w:b/>
                <w:lang w:eastAsia="en-US"/>
              </w:rPr>
            </w:pPr>
            <w:r w:rsidRPr="00FC3D71">
              <w:rPr>
                <w:rFonts w:ascii="Calibri" w:eastAsia="Calibri" w:hAnsi="Calibri"/>
                <w:b/>
                <w:lang w:eastAsia="en-US"/>
              </w:rPr>
              <w:t>Final Report from CCG</w:t>
            </w:r>
          </w:p>
        </w:tc>
        <w:tc>
          <w:tcPr>
            <w:tcW w:w="5247" w:type="dxa"/>
          </w:tcPr>
          <w:p w:rsidR="00FC3D71" w:rsidRPr="00FC3D71" w:rsidRDefault="00FC3D71" w:rsidP="00FC3D71">
            <w:pPr>
              <w:tabs>
                <w:tab w:val="clear" w:pos="851"/>
              </w:tabs>
              <w:spacing w:after="0"/>
              <w:ind w:left="0"/>
              <w:jc w:val="left"/>
              <w:rPr>
                <w:rFonts w:ascii="Calibri" w:eastAsia="Calibri" w:hAnsi="Calibri"/>
                <w:lang w:eastAsia="en-US"/>
              </w:rPr>
            </w:pPr>
            <w:r w:rsidRPr="00FC3D71">
              <w:rPr>
                <w:rFonts w:ascii="Calibri" w:eastAsia="Calibri" w:hAnsi="Calibri"/>
                <w:lang w:eastAsia="en-US"/>
              </w:rPr>
              <w:t>Draft Final Report – Reviewed</w:t>
            </w:r>
          </w:p>
        </w:tc>
        <w:tc>
          <w:tcPr>
            <w:tcW w:w="1157" w:type="dxa"/>
          </w:tcPr>
          <w:p w:rsidR="00FC3D71" w:rsidRPr="00FC3D71" w:rsidRDefault="00FC3D71" w:rsidP="00FC3D71">
            <w:pPr>
              <w:tabs>
                <w:tab w:val="clear" w:pos="851"/>
              </w:tabs>
              <w:spacing w:after="0"/>
              <w:ind w:left="0"/>
              <w:jc w:val="left"/>
              <w:rPr>
                <w:rFonts w:ascii="Calibri" w:eastAsia="Calibri" w:hAnsi="Calibri"/>
                <w:lang w:eastAsia="en-US"/>
              </w:rPr>
            </w:pPr>
          </w:p>
        </w:tc>
        <w:tc>
          <w:tcPr>
            <w:tcW w:w="1109" w:type="dxa"/>
          </w:tcPr>
          <w:p w:rsidR="00FC3D71" w:rsidRPr="00FC3D71" w:rsidRDefault="00FC3D71" w:rsidP="00FC3D71">
            <w:pPr>
              <w:tabs>
                <w:tab w:val="clear" w:pos="851"/>
              </w:tabs>
              <w:spacing w:after="0"/>
              <w:ind w:left="0"/>
              <w:jc w:val="left"/>
              <w:rPr>
                <w:rFonts w:ascii="Calibri" w:eastAsia="Calibri" w:hAnsi="Calibri"/>
                <w:lang w:eastAsia="en-US"/>
              </w:rPr>
            </w:pPr>
            <w:r w:rsidRPr="00FC3D71">
              <w:rPr>
                <w:rFonts w:ascii="Calibri" w:eastAsia="Calibri" w:hAnsi="Calibri"/>
                <w:lang w:eastAsia="en-US"/>
              </w:rPr>
              <w:t>30 Aug</w:t>
            </w:r>
          </w:p>
        </w:tc>
        <w:tc>
          <w:tcPr>
            <w:tcW w:w="1725" w:type="dxa"/>
          </w:tcPr>
          <w:p w:rsidR="00FC3D71" w:rsidRPr="00FC3D71" w:rsidRDefault="00FC3D71" w:rsidP="00FC3D71">
            <w:pPr>
              <w:tabs>
                <w:tab w:val="clear" w:pos="851"/>
              </w:tabs>
              <w:spacing w:after="0"/>
              <w:ind w:left="11"/>
              <w:jc w:val="left"/>
              <w:rPr>
                <w:rFonts w:ascii="Calibri" w:eastAsia="Calibri" w:hAnsi="Calibri"/>
                <w:lang w:eastAsia="en-US"/>
              </w:rPr>
            </w:pPr>
            <w:r w:rsidRPr="00FC3D71">
              <w:rPr>
                <w:rFonts w:ascii="Calibri" w:eastAsia="Calibri" w:hAnsi="Calibri"/>
                <w:lang w:eastAsia="en-US"/>
              </w:rPr>
              <w:t>30 Aug</w:t>
            </w:r>
          </w:p>
        </w:tc>
      </w:tr>
    </w:tbl>
    <w:p w:rsidR="00FC3D71" w:rsidRPr="00F318A8" w:rsidRDefault="00FC3D71" w:rsidP="00360D5C">
      <w:pPr>
        <w:rPr>
          <w:rFonts w:cs="Arial"/>
          <w:sz w:val="22"/>
          <w:szCs w:val="22"/>
        </w:rPr>
      </w:pPr>
    </w:p>
    <w:sectPr w:rsidR="00FC3D71" w:rsidRPr="00F318A8" w:rsidSect="0084627C">
      <w:pgSz w:w="11906" w:h="16838"/>
      <w:pgMar w:top="1134" w:right="1134" w:bottom="1134" w:left="426"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A137F" w:rsidRDefault="007A137F" w:rsidP="009666E7">
      <w:pPr>
        <w:spacing w:after="0"/>
      </w:pPr>
      <w:r>
        <w:separator/>
      </w:r>
    </w:p>
  </w:endnote>
  <w:endnote w:type="continuationSeparator" w:id="0">
    <w:p w:rsidR="007A137F" w:rsidRDefault="007A137F" w:rsidP="009666E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120A" w:rsidRDefault="008D120A">
    <w:pPr>
      <w:pStyle w:val="Footer"/>
      <w:jc w:val="center"/>
    </w:pPr>
  </w:p>
  <w:p w:rsidR="009666E7" w:rsidRDefault="009666E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94059408"/>
      <w:docPartObj>
        <w:docPartGallery w:val="Page Numbers (Bottom of Page)"/>
        <w:docPartUnique/>
      </w:docPartObj>
    </w:sdtPr>
    <w:sdtEndPr>
      <w:rPr>
        <w:noProof/>
      </w:rPr>
    </w:sdtEndPr>
    <w:sdtContent>
      <w:p w:rsidR="008D120A" w:rsidRDefault="008D120A">
        <w:pPr>
          <w:pStyle w:val="Footer"/>
          <w:jc w:val="center"/>
        </w:pPr>
        <w:r>
          <w:fldChar w:fldCharType="begin"/>
        </w:r>
        <w:r>
          <w:instrText xml:space="preserve"> PAGE   \* MERGEFORMAT </w:instrText>
        </w:r>
        <w:r>
          <w:fldChar w:fldCharType="separate"/>
        </w:r>
        <w:r w:rsidR="0083121C">
          <w:rPr>
            <w:noProof/>
          </w:rPr>
          <w:t>10</w:t>
        </w:r>
        <w:r>
          <w:rPr>
            <w:noProof/>
          </w:rPr>
          <w:fldChar w:fldCharType="end"/>
        </w:r>
      </w:p>
    </w:sdtContent>
  </w:sdt>
  <w:p w:rsidR="008D120A" w:rsidRDefault="008D12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A137F" w:rsidRDefault="007A137F" w:rsidP="009666E7">
      <w:pPr>
        <w:spacing w:after="0"/>
      </w:pPr>
      <w:r>
        <w:separator/>
      </w:r>
    </w:p>
  </w:footnote>
  <w:footnote w:type="continuationSeparator" w:id="0">
    <w:p w:rsidR="007A137F" w:rsidRDefault="007A137F" w:rsidP="009666E7">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1929A4"/>
    <w:multiLevelType w:val="hybridMultilevel"/>
    <w:tmpl w:val="609482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1B07282"/>
    <w:multiLevelType w:val="hybridMultilevel"/>
    <w:tmpl w:val="1EFCE916"/>
    <w:lvl w:ilvl="0" w:tplc="08090013">
      <w:start w:val="1"/>
      <w:numFmt w:val="upperRoman"/>
      <w:lvlText w:val="%1."/>
      <w:lvlJc w:val="right"/>
      <w:pPr>
        <w:ind w:left="1571" w:hanging="360"/>
      </w:pPr>
      <w:rPr>
        <w:rFonts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2" w15:restartNumberingAfterBreak="0">
    <w:nsid w:val="48273126"/>
    <w:multiLevelType w:val="hybridMultilevel"/>
    <w:tmpl w:val="33581ABE"/>
    <w:lvl w:ilvl="0" w:tplc="C3ECC61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95B473D"/>
    <w:multiLevelType w:val="hybridMultilevel"/>
    <w:tmpl w:val="21DC4D24"/>
    <w:lvl w:ilvl="0" w:tplc="6D8C19E0">
      <w:start w:val="1"/>
      <w:numFmt w:val="bullet"/>
      <w:pStyle w:val="Bullets"/>
      <w:lvlText w:val=""/>
      <w:lvlJc w:val="left"/>
      <w:pPr>
        <w:ind w:left="1854" w:hanging="360"/>
      </w:pPr>
      <w:rPr>
        <w:rFonts w:ascii="Symbol" w:hAnsi="Symbol" w:hint="default"/>
      </w:rPr>
    </w:lvl>
    <w:lvl w:ilvl="1" w:tplc="08090003">
      <w:start w:val="1"/>
      <w:numFmt w:val="bullet"/>
      <w:lvlText w:val="o"/>
      <w:lvlJc w:val="left"/>
      <w:pPr>
        <w:ind w:left="2574" w:hanging="360"/>
      </w:pPr>
      <w:rPr>
        <w:rFonts w:ascii="Courier New" w:hAnsi="Courier New" w:cs="Courier New" w:hint="default"/>
      </w:rPr>
    </w:lvl>
    <w:lvl w:ilvl="2" w:tplc="20466F9C">
      <w:numFmt w:val="bullet"/>
      <w:lvlText w:val="•"/>
      <w:lvlJc w:val="left"/>
      <w:pPr>
        <w:ind w:left="3519" w:hanging="585"/>
      </w:pPr>
      <w:rPr>
        <w:rFonts w:ascii="Arial" w:eastAsia="Times New Roman" w:hAnsi="Arial" w:cs="Arial"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4" w15:restartNumberingAfterBreak="0">
    <w:nsid w:val="5A663D55"/>
    <w:multiLevelType w:val="hybridMultilevel"/>
    <w:tmpl w:val="35EE646A"/>
    <w:lvl w:ilvl="0" w:tplc="0809000F">
      <w:start w:val="1"/>
      <w:numFmt w:val="decimal"/>
      <w:lvlText w:val="%1."/>
      <w:lvlJc w:val="left"/>
      <w:pPr>
        <w:ind w:left="1571" w:hanging="360"/>
      </w:pPr>
    </w:lvl>
    <w:lvl w:ilvl="1" w:tplc="08090019" w:tentative="1">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5" w15:restartNumberingAfterBreak="0">
    <w:nsid w:val="5EC31BB5"/>
    <w:multiLevelType w:val="multilevel"/>
    <w:tmpl w:val="9BA6C1E2"/>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6389"/>
        </w:tabs>
        <w:ind w:left="6389" w:hanging="576"/>
      </w:pPr>
      <w:rPr>
        <w:rFonts w:hint="default"/>
      </w:rPr>
    </w:lvl>
    <w:lvl w:ilvl="2">
      <w:start w:val="1"/>
      <w:numFmt w:val="decimal"/>
      <w:pStyle w:val="Heading3"/>
      <w:lvlText w:val="%1.%2.%3"/>
      <w:lvlJc w:val="left"/>
      <w:pPr>
        <w:tabs>
          <w:tab w:val="num" w:pos="720"/>
        </w:tabs>
        <w:ind w:left="720" w:hanging="72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num w:numId="1">
    <w:abstractNumId w:val="5"/>
  </w:num>
  <w:num w:numId="2">
    <w:abstractNumId w:val="3"/>
  </w:num>
  <w:num w:numId="3">
    <w:abstractNumId w:val="4"/>
  </w:num>
  <w:num w:numId="4">
    <w:abstractNumId w:val="1"/>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0D5C"/>
    <w:rsid w:val="000B5977"/>
    <w:rsid w:val="002D7181"/>
    <w:rsid w:val="00307E0E"/>
    <w:rsid w:val="00313BD2"/>
    <w:rsid w:val="00360D5C"/>
    <w:rsid w:val="00464C07"/>
    <w:rsid w:val="0052580C"/>
    <w:rsid w:val="006C336F"/>
    <w:rsid w:val="007379E1"/>
    <w:rsid w:val="007A137F"/>
    <w:rsid w:val="0083121C"/>
    <w:rsid w:val="0084627C"/>
    <w:rsid w:val="008D120A"/>
    <w:rsid w:val="008E4625"/>
    <w:rsid w:val="009666E7"/>
    <w:rsid w:val="009B35BD"/>
    <w:rsid w:val="00A8188F"/>
    <w:rsid w:val="00B30C92"/>
    <w:rsid w:val="00C771D4"/>
    <w:rsid w:val="00D25081"/>
    <w:rsid w:val="00E239E6"/>
    <w:rsid w:val="00ED7449"/>
    <w:rsid w:val="00F10B0D"/>
    <w:rsid w:val="00F318A8"/>
    <w:rsid w:val="00F3763D"/>
    <w:rsid w:val="00FA0B3D"/>
    <w:rsid w:val="00FC3D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0B3776"/>
  <w15:chartTrackingRefBased/>
  <w15:docId w15:val="{A299824A-416E-4CC9-9C6B-05BEC83D1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nhideWhenUsed="1" w:qFormat="1"/>
    <w:lsdException w:name="heading 6" w:semiHidden="1" w:uiPriority="0" w:unhideWhenUsed="1" w:qFormat="1"/>
    <w:lsdException w:name="heading 7" w:semiHidden="1" w:uiPriority="0" w:unhideWhenUsed="1" w:qFormat="1"/>
    <w:lsdException w:name="heading 8" w:semiHidden="1"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0D5C"/>
    <w:pPr>
      <w:tabs>
        <w:tab w:val="left" w:pos="851"/>
      </w:tabs>
      <w:spacing w:after="240" w:line="240" w:lineRule="auto"/>
      <w:ind w:left="851"/>
      <w:jc w:val="both"/>
    </w:pPr>
    <w:rPr>
      <w:rFonts w:ascii="Arial" w:eastAsia="Times New Roman" w:hAnsi="Arial" w:cs="Times New Roman"/>
      <w:sz w:val="24"/>
      <w:szCs w:val="24"/>
      <w:lang w:eastAsia="en-GB"/>
    </w:rPr>
  </w:style>
  <w:style w:type="paragraph" w:styleId="Heading1">
    <w:name w:val="heading 1"/>
    <w:basedOn w:val="Normal"/>
    <w:next w:val="Normal"/>
    <w:link w:val="Heading1Char"/>
    <w:uiPriority w:val="9"/>
    <w:qFormat/>
    <w:rsid w:val="00360D5C"/>
    <w:pPr>
      <w:keepNext/>
      <w:numPr>
        <w:numId w:val="1"/>
      </w:numPr>
      <w:tabs>
        <w:tab w:val="clear" w:pos="432"/>
      </w:tabs>
      <w:ind w:left="851" w:hanging="851"/>
      <w:outlineLvl w:val="0"/>
    </w:pPr>
    <w:rPr>
      <w:rFonts w:cs="Arial"/>
      <w:b/>
      <w:bCs/>
      <w:caps/>
      <w:color w:val="2E74B5" w:themeColor="accent1" w:themeShade="BF"/>
      <w:kern w:val="32"/>
      <w:szCs w:val="32"/>
    </w:rPr>
  </w:style>
  <w:style w:type="paragraph" w:styleId="Heading2">
    <w:name w:val="heading 2"/>
    <w:basedOn w:val="Normal"/>
    <w:next w:val="Normal"/>
    <w:link w:val="Heading2Char"/>
    <w:uiPriority w:val="9"/>
    <w:qFormat/>
    <w:rsid w:val="00360D5C"/>
    <w:pPr>
      <w:keepNext/>
      <w:numPr>
        <w:ilvl w:val="1"/>
        <w:numId w:val="1"/>
      </w:numPr>
      <w:tabs>
        <w:tab w:val="clear" w:pos="6389"/>
      </w:tabs>
      <w:ind w:left="851" w:hanging="851"/>
      <w:outlineLvl w:val="1"/>
    </w:pPr>
    <w:rPr>
      <w:rFonts w:cs="Arial"/>
      <w:b/>
      <w:bCs/>
      <w:iCs/>
      <w:color w:val="2E74B5" w:themeColor="accent1" w:themeShade="BF"/>
      <w:szCs w:val="28"/>
      <w:u w:val="single"/>
    </w:rPr>
  </w:style>
  <w:style w:type="paragraph" w:styleId="Heading3">
    <w:name w:val="heading 3"/>
    <w:basedOn w:val="Normal"/>
    <w:next w:val="Normal"/>
    <w:link w:val="Heading3Char"/>
    <w:uiPriority w:val="9"/>
    <w:qFormat/>
    <w:rsid w:val="00360D5C"/>
    <w:pPr>
      <w:keepNext/>
      <w:numPr>
        <w:ilvl w:val="2"/>
        <w:numId w:val="1"/>
      </w:numPr>
      <w:tabs>
        <w:tab w:val="clear" w:pos="720"/>
      </w:tabs>
      <w:ind w:left="1134" w:hanging="1134"/>
      <w:outlineLvl w:val="2"/>
    </w:pPr>
    <w:rPr>
      <w:rFonts w:cs="Arial"/>
      <w:b/>
      <w:bCs/>
      <w:color w:val="2E74B5" w:themeColor="accent1" w:themeShade="BF"/>
      <w:szCs w:val="26"/>
    </w:rPr>
  </w:style>
  <w:style w:type="paragraph" w:styleId="Heading4">
    <w:name w:val="heading 4"/>
    <w:basedOn w:val="Normal"/>
    <w:next w:val="Normal"/>
    <w:link w:val="Heading4Char"/>
    <w:qFormat/>
    <w:rsid w:val="00360D5C"/>
    <w:pPr>
      <w:keepNext/>
      <w:numPr>
        <w:ilvl w:val="3"/>
        <w:numId w:val="1"/>
      </w:numPr>
      <w:tabs>
        <w:tab w:val="clear" w:pos="864"/>
      </w:tabs>
      <w:ind w:left="1134" w:hanging="1134"/>
      <w:outlineLvl w:val="3"/>
    </w:pPr>
    <w:rPr>
      <w:bCs/>
      <w:i/>
      <w:szCs w:val="28"/>
    </w:rPr>
  </w:style>
  <w:style w:type="paragraph" w:styleId="Heading5">
    <w:name w:val="heading 5"/>
    <w:basedOn w:val="Normal"/>
    <w:next w:val="Normal"/>
    <w:link w:val="Heading5Char"/>
    <w:uiPriority w:val="99"/>
    <w:qFormat/>
    <w:rsid w:val="00360D5C"/>
    <w:pPr>
      <w:numPr>
        <w:ilvl w:val="4"/>
        <w:numId w:val="1"/>
      </w:numPr>
      <w:spacing w:before="240" w:after="60"/>
      <w:outlineLvl w:val="4"/>
    </w:pPr>
    <w:rPr>
      <w:b/>
      <w:bCs/>
      <w:i/>
      <w:iCs/>
      <w:sz w:val="26"/>
      <w:szCs w:val="26"/>
    </w:rPr>
  </w:style>
  <w:style w:type="paragraph" w:styleId="Heading6">
    <w:name w:val="heading 6"/>
    <w:basedOn w:val="Normal"/>
    <w:next w:val="Normal"/>
    <w:link w:val="Heading6Char"/>
    <w:qFormat/>
    <w:rsid w:val="00360D5C"/>
    <w:pPr>
      <w:numPr>
        <w:ilvl w:val="5"/>
        <w:numId w:val="1"/>
      </w:numPr>
      <w:spacing w:before="240" w:after="60"/>
      <w:outlineLvl w:val="5"/>
    </w:pPr>
    <w:rPr>
      <w:rFonts w:ascii="Times New Roman" w:hAnsi="Times New Roman"/>
      <w:b/>
      <w:bCs/>
      <w:sz w:val="22"/>
      <w:szCs w:val="22"/>
    </w:rPr>
  </w:style>
  <w:style w:type="paragraph" w:styleId="Heading7">
    <w:name w:val="heading 7"/>
    <w:basedOn w:val="Normal"/>
    <w:next w:val="Normal"/>
    <w:link w:val="Heading7Char"/>
    <w:qFormat/>
    <w:rsid w:val="00360D5C"/>
    <w:pPr>
      <w:numPr>
        <w:ilvl w:val="6"/>
        <w:numId w:val="1"/>
      </w:numPr>
      <w:spacing w:before="240" w:after="60"/>
      <w:outlineLvl w:val="6"/>
    </w:pPr>
    <w:rPr>
      <w:rFonts w:ascii="Times New Roman" w:hAnsi="Times New Roman"/>
    </w:rPr>
  </w:style>
  <w:style w:type="paragraph" w:styleId="Heading8">
    <w:name w:val="heading 8"/>
    <w:basedOn w:val="Normal"/>
    <w:next w:val="Normal"/>
    <w:link w:val="Heading8Char"/>
    <w:uiPriority w:val="99"/>
    <w:qFormat/>
    <w:rsid w:val="00360D5C"/>
    <w:pPr>
      <w:numPr>
        <w:ilvl w:val="7"/>
        <w:numId w:val="1"/>
      </w:numPr>
      <w:spacing w:before="240" w:after="60"/>
      <w:outlineLvl w:val="7"/>
    </w:pPr>
    <w:rPr>
      <w:rFonts w:ascii="Times New Roman" w:hAnsi="Times New Roman"/>
      <w:i/>
      <w:iCs/>
    </w:rPr>
  </w:style>
  <w:style w:type="paragraph" w:styleId="Heading9">
    <w:name w:val="heading 9"/>
    <w:basedOn w:val="Normal"/>
    <w:next w:val="Normal"/>
    <w:link w:val="Heading9Char"/>
    <w:qFormat/>
    <w:rsid w:val="00360D5C"/>
    <w:pPr>
      <w:numPr>
        <w:ilvl w:val="8"/>
        <w:numId w:val="1"/>
      </w:num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60D5C"/>
    <w:rPr>
      <w:rFonts w:ascii="Arial" w:eastAsia="Times New Roman" w:hAnsi="Arial" w:cs="Arial"/>
      <w:b/>
      <w:bCs/>
      <w:caps/>
      <w:color w:val="2E74B5" w:themeColor="accent1" w:themeShade="BF"/>
      <w:kern w:val="32"/>
      <w:sz w:val="24"/>
      <w:szCs w:val="32"/>
      <w:lang w:eastAsia="en-GB"/>
    </w:rPr>
  </w:style>
  <w:style w:type="character" w:customStyle="1" w:styleId="Heading2Char">
    <w:name w:val="Heading 2 Char"/>
    <w:basedOn w:val="DefaultParagraphFont"/>
    <w:link w:val="Heading2"/>
    <w:uiPriority w:val="9"/>
    <w:rsid w:val="00360D5C"/>
    <w:rPr>
      <w:rFonts w:ascii="Arial" w:eastAsia="Times New Roman" w:hAnsi="Arial" w:cs="Arial"/>
      <w:b/>
      <w:bCs/>
      <w:iCs/>
      <w:color w:val="2E74B5" w:themeColor="accent1" w:themeShade="BF"/>
      <w:sz w:val="24"/>
      <w:szCs w:val="28"/>
      <w:u w:val="single"/>
      <w:lang w:eastAsia="en-GB"/>
    </w:rPr>
  </w:style>
  <w:style w:type="character" w:customStyle="1" w:styleId="Heading3Char">
    <w:name w:val="Heading 3 Char"/>
    <w:basedOn w:val="DefaultParagraphFont"/>
    <w:link w:val="Heading3"/>
    <w:uiPriority w:val="9"/>
    <w:rsid w:val="00360D5C"/>
    <w:rPr>
      <w:rFonts w:ascii="Arial" w:eastAsia="Times New Roman" w:hAnsi="Arial" w:cs="Arial"/>
      <w:b/>
      <w:bCs/>
      <w:color w:val="2E74B5" w:themeColor="accent1" w:themeShade="BF"/>
      <w:sz w:val="24"/>
      <w:szCs w:val="26"/>
      <w:lang w:eastAsia="en-GB"/>
    </w:rPr>
  </w:style>
  <w:style w:type="character" w:customStyle="1" w:styleId="Heading4Char">
    <w:name w:val="Heading 4 Char"/>
    <w:basedOn w:val="DefaultParagraphFont"/>
    <w:link w:val="Heading4"/>
    <w:rsid w:val="00360D5C"/>
    <w:rPr>
      <w:rFonts w:ascii="Arial" w:eastAsia="Times New Roman" w:hAnsi="Arial" w:cs="Times New Roman"/>
      <w:bCs/>
      <w:i/>
      <w:sz w:val="24"/>
      <w:szCs w:val="28"/>
      <w:lang w:eastAsia="en-GB"/>
    </w:rPr>
  </w:style>
  <w:style w:type="character" w:customStyle="1" w:styleId="Heading5Char">
    <w:name w:val="Heading 5 Char"/>
    <w:basedOn w:val="DefaultParagraphFont"/>
    <w:link w:val="Heading5"/>
    <w:uiPriority w:val="99"/>
    <w:rsid w:val="00360D5C"/>
    <w:rPr>
      <w:rFonts w:ascii="Arial" w:eastAsia="Times New Roman" w:hAnsi="Arial" w:cs="Times New Roman"/>
      <w:b/>
      <w:bCs/>
      <w:i/>
      <w:iCs/>
      <w:sz w:val="26"/>
      <w:szCs w:val="26"/>
      <w:lang w:eastAsia="en-GB"/>
    </w:rPr>
  </w:style>
  <w:style w:type="character" w:customStyle="1" w:styleId="Heading6Char">
    <w:name w:val="Heading 6 Char"/>
    <w:basedOn w:val="DefaultParagraphFont"/>
    <w:link w:val="Heading6"/>
    <w:rsid w:val="00360D5C"/>
    <w:rPr>
      <w:rFonts w:ascii="Times New Roman" w:eastAsia="Times New Roman" w:hAnsi="Times New Roman" w:cs="Times New Roman"/>
      <w:b/>
      <w:bCs/>
      <w:lang w:eastAsia="en-GB"/>
    </w:rPr>
  </w:style>
  <w:style w:type="character" w:customStyle="1" w:styleId="Heading7Char">
    <w:name w:val="Heading 7 Char"/>
    <w:basedOn w:val="DefaultParagraphFont"/>
    <w:link w:val="Heading7"/>
    <w:rsid w:val="00360D5C"/>
    <w:rPr>
      <w:rFonts w:ascii="Times New Roman" w:eastAsia="Times New Roman" w:hAnsi="Times New Roman" w:cs="Times New Roman"/>
      <w:sz w:val="24"/>
      <w:szCs w:val="24"/>
      <w:lang w:eastAsia="en-GB"/>
    </w:rPr>
  </w:style>
  <w:style w:type="character" w:customStyle="1" w:styleId="Heading8Char">
    <w:name w:val="Heading 8 Char"/>
    <w:basedOn w:val="DefaultParagraphFont"/>
    <w:link w:val="Heading8"/>
    <w:uiPriority w:val="99"/>
    <w:rsid w:val="00360D5C"/>
    <w:rPr>
      <w:rFonts w:ascii="Times New Roman" w:eastAsia="Times New Roman" w:hAnsi="Times New Roman" w:cs="Times New Roman"/>
      <w:i/>
      <w:iCs/>
      <w:sz w:val="24"/>
      <w:szCs w:val="24"/>
      <w:lang w:eastAsia="en-GB"/>
    </w:rPr>
  </w:style>
  <w:style w:type="character" w:customStyle="1" w:styleId="Heading9Char">
    <w:name w:val="Heading 9 Char"/>
    <w:basedOn w:val="DefaultParagraphFont"/>
    <w:link w:val="Heading9"/>
    <w:rsid w:val="00360D5C"/>
    <w:rPr>
      <w:rFonts w:ascii="Arial" w:eastAsia="Times New Roman" w:hAnsi="Arial" w:cs="Arial"/>
      <w:lang w:eastAsia="en-GB"/>
    </w:rPr>
  </w:style>
  <w:style w:type="paragraph" w:styleId="ListParagraph">
    <w:name w:val="List Paragraph"/>
    <w:basedOn w:val="Normal"/>
    <w:link w:val="ListParagraphChar"/>
    <w:uiPriority w:val="34"/>
    <w:qFormat/>
    <w:rsid w:val="00360D5C"/>
    <w:pPr>
      <w:spacing w:after="200" w:line="276" w:lineRule="auto"/>
      <w:ind w:left="720"/>
      <w:contextualSpacing/>
      <w:jc w:val="left"/>
    </w:pPr>
    <w:rPr>
      <w:rFonts w:ascii="Calibri" w:hAnsi="Calibri"/>
      <w:sz w:val="22"/>
      <w:szCs w:val="22"/>
      <w:lang w:eastAsia="en-US"/>
    </w:rPr>
  </w:style>
  <w:style w:type="paragraph" w:customStyle="1" w:styleId="Bullets">
    <w:name w:val="Bullets"/>
    <w:basedOn w:val="Normal"/>
    <w:qFormat/>
    <w:rsid w:val="00360D5C"/>
    <w:pPr>
      <w:numPr>
        <w:numId w:val="2"/>
      </w:numPr>
      <w:spacing w:after="0"/>
    </w:pPr>
  </w:style>
  <w:style w:type="character" w:customStyle="1" w:styleId="ListParagraphChar">
    <w:name w:val="List Paragraph Char"/>
    <w:basedOn w:val="DefaultParagraphFont"/>
    <w:link w:val="ListParagraph"/>
    <w:uiPriority w:val="34"/>
    <w:locked/>
    <w:rsid w:val="00360D5C"/>
    <w:rPr>
      <w:rFonts w:ascii="Calibri" w:eastAsia="Times New Roman" w:hAnsi="Calibri" w:cs="Times New Roman"/>
    </w:rPr>
  </w:style>
  <w:style w:type="table" w:styleId="TableGrid">
    <w:name w:val="Table Grid"/>
    <w:basedOn w:val="TableNormal"/>
    <w:uiPriority w:val="39"/>
    <w:rsid w:val="00FC3D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666E7"/>
    <w:pPr>
      <w:tabs>
        <w:tab w:val="clear" w:pos="851"/>
        <w:tab w:val="center" w:pos="4513"/>
        <w:tab w:val="right" w:pos="9026"/>
      </w:tabs>
      <w:spacing w:after="0"/>
    </w:pPr>
  </w:style>
  <w:style w:type="character" w:customStyle="1" w:styleId="HeaderChar">
    <w:name w:val="Header Char"/>
    <w:basedOn w:val="DefaultParagraphFont"/>
    <w:link w:val="Header"/>
    <w:uiPriority w:val="99"/>
    <w:rsid w:val="009666E7"/>
    <w:rPr>
      <w:rFonts w:ascii="Arial" w:eastAsia="Times New Roman" w:hAnsi="Arial" w:cs="Times New Roman"/>
      <w:sz w:val="24"/>
      <w:szCs w:val="24"/>
      <w:lang w:eastAsia="en-GB"/>
    </w:rPr>
  </w:style>
  <w:style w:type="paragraph" w:styleId="Footer">
    <w:name w:val="footer"/>
    <w:basedOn w:val="Normal"/>
    <w:link w:val="FooterChar"/>
    <w:uiPriority w:val="99"/>
    <w:unhideWhenUsed/>
    <w:rsid w:val="009666E7"/>
    <w:pPr>
      <w:tabs>
        <w:tab w:val="clear" w:pos="851"/>
        <w:tab w:val="center" w:pos="4513"/>
        <w:tab w:val="right" w:pos="9026"/>
      </w:tabs>
      <w:spacing w:after="0"/>
    </w:pPr>
  </w:style>
  <w:style w:type="character" w:customStyle="1" w:styleId="FooterChar">
    <w:name w:val="Footer Char"/>
    <w:basedOn w:val="DefaultParagraphFont"/>
    <w:link w:val="Footer"/>
    <w:uiPriority w:val="99"/>
    <w:rsid w:val="009666E7"/>
    <w:rPr>
      <w:rFonts w:ascii="Arial" w:eastAsia="Times New Roman" w:hAnsi="Arial" w:cs="Times New Roman"/>
      <w:sz w:val="24"/>
      <w:szCs w:val="24"/>
      <w:lang w:eastAsia="en-GB"/>
    </w:rPr>
  </w:style>
  <w:style w:type="paragraph" w:styleId="BalloonText">
    <w:name w:val="Balloon Text"/>
    <w:basedOn w:val="Normal"/>
    <w:link w:val="BalloonTextChar"/>
    <w:uiPriority w:val="99"/>
    <w:semiHidden/>
    <w:unhideWhenUsed/>
    <w:rsid w:val="008D120A"/>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D120A"/>
    <w:rPr>
      <w:rFonts w:ascii="Segoe UI" w:eastAsia="Times New Roman" w:hAnsi="Segoe UI" w:cs="Segoe UI"/>
      <w:sz w:val="18"/>
      <w:szCs w:val="1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6.tif"/><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5.tif"/><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image" Target="media/image9.ti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tif"/><Relationship Id="rId5" Type="http://schemas.openxmlformats.org/officeDocument/2006/relationships/footnotes" Target="footnotes.xml"/><Relationship Id="rId15" Type="http://schemas.openxmlformats.org/officeDocument/2006/relationships/image" Target="media/image8.tif"/><Relationship Id="rId10" Type="http://schemas.openxmlformats.org/officeDocument/2006/relationships/image" Target="media/image3.tif"/><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tiff"/><Relationship Id="rId14" Type="http://schemas.openxmlformats.org/officeDocument/2006/relationships/image" Target="media/image7.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E92B6204</Template>
  <TotalTime>0</TotalTime>
  <Pages>1</Pages>
  <Words>5447</Words>
  <Characters>31053</Characters>
  <Application>Microsoft Office Word</Application>
  <DocSecurity>0</DocSecurity>
  <Lines>258</Lines>
  <Paragraphs>72</Paragraphs>
  <ScaleCrop>false</ScaleCrop>
  <HeadingPairs>
    <vt:vector size="2" baseType="variant">
      <vt:variant>
        <vt:lpstr>Title</vt:lpstr>
      </vt:variant>
      <vt:variant>
        <vt:i4>1</vt:i4>
      </vt:variant>
    </vt:vector>
  </HeadingPairs>
  <TitlesOfParts>
    <vt:vector size="1" baseType="lpstr">
      <vt:lpstr/>
    </vt:vector>
  </TitlesOfParts>
  <Company>Portsmouth Water</Company>
  <LinksUpToDate>false</LinksUpToDate>
  <CharactersWithSpaces>36428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Limb, Kate</dc:creator>
  <cp:keywords/>
  <dc:description/>
  <cp:lastModifiedBy>Limb, Kate</cp:lastModifiedBy>
  <cp:revision>2</cp:revision>
  <cp:lastPrinted>2018-09-03T10:14:00Z</cp:lastPrinted>
  <dcterms:created xsi:type="dcterms:W3CDTF">2018-09-03T14:07:00Z</dcterms:created>
  <dcterms:modified xsi:type="dcterms:W3CDTF">2018-09-03T14:07:00Z</dcterms:modified>
</cp:coreProperties>
</file>