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3A9" w:rsidRDefault="00A443F2" w:rsidP="00A443F2">
      <w:pPr>
        <w:jc w:val="center"/>
      </w:pPr>
      <w:r>
        <w:rPr>
          <w:noProof/>
          <w:lang w:eastAsia="en-GB"/>
        </w:rPr>
        <w:drawing>
          <wp:inline distT="0" distB="0" distL="0" distR="0">
            <wp:extent cx="5791024" cy="8188657"/>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DE TO OUR BUSINESS PLAN CO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12653" cy="8219241"/>
                    </a:xfrm>
                    <a:prstGeom prst="rect">
                      <a:avLst/>
                    </a:prstGeom>
                  </pic:spPr>
                </pic:pic>
              </a:graphicData>
            </a:graphic>
          </wp:inline>
        </w:drawing>
      </w:r>
    </w:p>
    <w:p w:rsidR="00E713A9" w:rsidRDefault="00E713A9">
      <w:r>
        <w:br w:type="page"/>
      </w:r>
    </w:p>
    <w:p w:rsidR="00D00765" w:rsidRPr="00D00765" w:rsidRDefault="00E713A9">
      <w:pPr>
        <w:rPr>
          <w:rFonts w:ascii="Arial" w:hAnsi="Arial" w:cs="Arial"/>
          <w:b/>
          <w:caps/>
          <w:color w:val="2E74B5" w:themeColor="accent1" w:themeShade="BF"/>
          <w:sz w:val="32"/>
          <w:szCs w:val="32"/>
        </w:rPr>
      </w:pPr>
      <w:r w:rsidRPr="00D00765">
        <w:rPr>
          <w:rFonts w:ascii="Arial" w:hAnsi="Arial" w:cs="Arial"/>
          <w:b/>
          <w:caps/>
          <w:color w:val="2E74B5" w:themeColor="accent1" w:themeShade="BF"/>
          <w:sz w:val="32"/>
          <w:szCs w:val="32"/>
        </w:rPr>
        <w:t>Introduction</w:t>
      </w:r>
    </w:p>
    <w:p w:rsidR="00667EF6" w:rsidRPr="00667EF6" w:rsidRDefault="00667EF6" w:rsidP="00667EF6">
      <w:pPr>
        <w:jc w:val="both"/>
        <w:rPr>
          <w:rFonts w:ascii="Arial" w:hAnsi="Arial" w:cs="Arial"/>
          <w:sz w:val="24"/>
          <w:szCs w:val="24"/>
        </w:rPr>
      </w:pPr>
      <w:r w:rsidRPr="00667EF6">
        <w:rPr>
          <w:rFonts w:ascii="Arial" w:hAnsi="Arial" w:cs="Arial"/>
          <w:sz w:val="24"/>
          <w:szCs w:val="24"/>
        </w:rPr>
        <w:t>This Guide summarises the structure of our Business Plan and sign-posts how it may be readily navigated, together with how it aligns to the areas set out in the Initial Assessment of Plan (IAP) tests.  It should be used in connection with the Business Plan document itself and the IAP proforma.</w:t>
      </w:r>
    </w:p>
    <w:p w:rsidR="00667EF6" w:rsidRPr="00667EF6" w:rsidRDefault="00667EF6" w:rsidP="00667EF6">
      <w:pPr>
        <w:jc w:val="both"/>
        <w:rPr>
          <w:rFonts w:ascii="Arial" w:hAnsi="Arial" w:cs="Arial"/>
          <w:b/>
          <w:color w:val="2E74B5" w:themeColor="accent1" w:themeShade="BF"/>
          <w:sz w:val="24"/>
          <w:szCs w:val="24"/>
        </w:rPr>
      </w:pPr>
      <w:r w:rsidRPr="00667EF6">
        <w:rPr>
          <w:rFonts w:ascii="Arial" w:hAnsi="Arial" w:cs="Arial"/>
          <w:b/>
          <w:color w:val="2E74B5" w:themeColor="accent1" w:themeShade="BF"/>
          <w:sz w:val="24"/>
          <w:szCs w:val="24"/>
        </w:rPr>
        <w:t>Structure of our Plan</w:t>
      </w:r>
    </w:p>
    <w:p w:rsidR="00667EF6" w:rsidRPr="00667EF6" w:rsidRDefault="00667EF6" w:rsidP="00667EF6">
      <w:pPr>
        <w:jc w:val="both"/>
        <w:rPr>
          <w:rFonts w:ascii="Arial" w:hAnsi="Arial" w:cs="Arial"/>
          <w:sz w:val="24"/>
          <w:szCs w:val="24"/>
        </w:rPr>
      </w:pPr>
      <w:r w:rsidRPr="00667EF6">
        <w:rPr>
          <w:rFonts w:ascii="Arial" w:hAnsi="Arial" w:cs="Arial"/>
          <w:sz w:val="24"/>
          <w:szCs w:val="24"/>
        </w:rPr>
        <w:t>Our plan is set out in 13 Chapters, including the Executive Summary.  It is further supported by Appendices which have been summarised in the same structure together with a</w:t>
      </w:r>
      <w:r w:rsidR="00DB27A8">
        <w:rPr>
          <w:rFonts w:ascii="Arial" w:hAnsi="Arial" w:cs="Arial"/>
          <w:sz w:val="24"/>
          <w:szCs w:val="24"/>
        </w:rPr>
        <w:t xml:space="preserve"> </w:t>
      </w:r>
      <w:r w:rsidRPr="00667EF6">
        <w:rPr>
          <w:rFonts w:ascii="Arial" w:hAnsi="Arial" w:cs="Arial"/>
          <w:sz w:val="24"/>
          <w:szCs w:val="24"/>
        </w:rPr>
        <w:t>set of “modelling” files in Appendix 14.  Additionally a glossary of terms is included at the end of the document for reference purposes.</w:t>
      </w:r>
    </w:p>
    <w:p w:rsidR="00667EF6" w:rsidRPr="00667EF6" w:rsidRDefault="00667EF6" w:rsidP="00667EF6">
      <w:pPr>
        <w:jc w:val="both"/>
        <w:rPr>
          <w:rFonts w:ascii="Arial" w:hAnsi="Arial" w:cs="Arial"/>
          <w:sz w:val="24"/>
          <w:szCs w:val="24"/>
        </w:rPr>
      </w:pPr>
      <w:r w:rsidRPr="00667EF6">
        <w:rPr>
          <w:rFonts w:ascii="Arial" w:hAnsi="Arial" w:cs="Arial"/>
          <w:sz w:val="24"/>
          <w:szCs w:val="24"/>
        </w:rPr>
        <w:t>Appendices are referenced from the body of the text and</w:t>
      </w:r>
      <w:r w:rsidR="00DB27A8">
        <w:rPr>
          <w:rFonts w:ascii="Arial" w:hAnsi="Arial" w:cs="Arial"/>
          <w:sz w:val="24"/>
          <w:szCs w:val="24"/>
        </w:rPr>
        <w:t>,</w:t>
      </w:r>
      <w:r w:rsidRPr="00667EF6">
        <w:rPr>
          <w:rFonts w:ascii="Arial" w:hAnsi="Arial" w:cs="Arial"/>
          <w:sz w:val="24"/>
          <w:szCs w:val="24"/>
        </w:rPr>
        <w:t xml:space="preserve"> for ease of reference a table of relevant Appendices has been included at the end of each Chapter</w:t>
      </w:r>
      <w:r w:rsidR="00DB27A8">
        <w:rPr>
          <w:rFonts w:ascii="Arial" w:hAnsi="Arial" w:cs="Arial"/>
          <w:sz w:val="24"/>
          <w:szCs w:val="24"/>
        </w:rPr>
        <w:t xml:space="preserve"> or Section</w:t>
      </w:r>
      <w:r w:rsidRPr="00667EF6">
        <w:rPr>
          <w:rFonts w:ascii="Arial" w:hAnsi="Arial" w:cs="Arial"/>
          <w:sz w:val="24"/>
          <w:szCs w:val="24"/>
        </w:rPr>
        <w:t>.</w:t>
      </w:r>
    </w:p>
    <w:p w:rsidR="00667EF6" w:rsidRDefault="00667EF6" w:rsidP="00667EF6">
      <w:pPr>
        <w:jc w:val="both"/>
        <w:rPr>
          <w:rFonts w:ascii="Arial" w:hAnsi="Arial" w:cs="Arial"/>
          <w:sz w:val="24"/>
          <w:szCs w:val="24"/>
        </w:rPr>
      </w:pPr>
      <w:r w:rsidRPr="00667EF6">
        <w:rPr>
          <w:rFonts w:ascii="Arial" w:hAnsi="Arial" w:cs="Arial"/>
          <w:sz w:val="24"/>
          <w:szCs w:val="24"/>
        </w:rPr>
        <w:t xml:space="preserve">Whilst we have aligned the plan as closely as possible to both the structure of the IAP and the Ofwat “four pillars” the interrelated nature of the different elements means that, inevitably, there are elements that cross over between sections of the IAP.  This is particularly evident in articulating how customer engagement links through to Outcomes </w:t>
      </w:r>
      <w:r w:rsidR="006C02A8">
        <w:rPr>
          <w:rFonts w:ascii="Arial" w:hAnsi="Arial" w:cs="Arial"/>
          <w:sz w:val="24"/>
          <w:szCs w:val="24"/>
        </w:rPr>
        <w:t>and</w:t>
      </w:r>
      <w:r w:rsidRPr="00667EF6">
        <w:rPr>
          <w:rFonts w:ascii="Arial" w:hAnsi="Arial" w:cs="Arial"/>
          <w:sz w:val="24"/>
          <w:szCs w:val="24"/>
        </w:rPr>
        <w:t xml:space="preserve"> Performance Commitments and, ultimately how these will be delivered. This is covered</w:t>
      </w:r>
      <w:r w:rsidR="00DB27A8">
        <w:rPr>
          <w:rFonts w:ascii="Arial" w:hAnsi="Arial" w:cs="Arial"/>
          <w:sz w:val="24"/>
          <w:szCs w:val="24"/>
        </w:rPr>
        <w:t xml:space="preserve"> primarily</w:t>
      </w:r>
      <w:r w:rsidRPr="00667EF6">
        <w:rPr>
          <w:rFonts w:ascii="Arial" w:hAnsi="Arial" w:cs="Arial"/>
          <w:sz w:val="24"/>
          <w:szCs w:val="24"/>
        </w:rPr>
        <w:t xml:space="preserve"> in Chapter 3 of our Business Plan.</w:t>
      </w:r>
    </w:p>
    <w:p w:rsidR="00EE7FC3" w:rsidRDefault="00EE7FC3" w:rsidP="00667EF6">
      <w:pPr>
        <w:jc w:val="both"/>
        <w:rPr>
          <w:rFonts w:ascii="Arial" w:hAnsi="Arial" w:cs="Arial"/>
          <w:sz w:val="24"/>
          <w:szCs w:val="24"/>
        </w:rPr>
      </w:pPr>
      <w:r>
        <w:rPr>
          <w:rFonts w:ascii="Arial" w:hAnsi="Arial" w:cs="Arial"/>
          <w:sz w:val="24"/>
          <w:szCs w:val="24"/>
        </w:rPr>
        <w:t>Within Chapter 3 – Delivering Customer Outcomes, the initial sections 3.1 to 3.5 cover the process of establishing Outcomes through to determining rewa</w:t>
      </w:r>
      <w:r w:rsidR="009D78A5">
        <w:rPr>
          <w:rFonts w:ascii="Arial" w:hAnsi="Arial" w:cs="Arial"/>
          <w:sz w:val="24"/>
          <w:szCs w:val="24"/>
        </w:rPr>
        <w:t>rds and penalties.  Sections 3.6</w:t>
      </w:r>
      <w:r>
        <w:rPr>
          <w:rFonts w:ascii="Arial" w:hAnsi="Arial" w:cs="Arial"/>
          <w:sz w:val="24"/>
          <w:szCs w:val="24"/>
        </w:rPr>
        <w:t xml:space="preserve"> to 3.12 cover each of our Outcomes together with the Performance Commitments to which they relate.</w:t>
      </w:r>
      <w:r w:rsidR="00DB27A8">
        <w:rPr>
          <w:rFonts w:ascii="Arial" w:hAnsi="Arial" w:cs="Arial"/>
          <w:sz w:val="24"/>
          <w:szCs w:val="24"/>
        </w:rPr>
        <w:t xml:space="preserve">  Finally, 3.13 signposts how our Plan delivers statutory responsibilities</w:t>
      </w:r>
      <w:r w:rsidR="006C02A8">
        <w:rPr>
          <w:rFonts w:ascii="Arial" w:hAnsi="Arial" w:cs="Arial"/>
          <w:sz w:val="24"/>
          <w:szCs w:val="24"/>
        </w:rPr>
        <w:t xml:space="preserve"> and our Stakeholders’ strategic priorities</w:t>
      </w:r>
      <w:r w:rsidR="00DB27A8">
        <w:rPr>
          <w:rFonts w:ascii="Arial" w:hAnsi="Arial" w:cs="Arial"/>
          <w:sz w:val="24"/>
          <w:szCs w:val="24"/>
        </w:rPr>
        <w:t>.</w:t>
      </w:r>
    </w:p>
    <w:p w:rsidR="00EE7FC3" w:rsidRDefault="00EE7FC3" w:rsidP="00667EF6">
      <w:pPr>
        <w:jc w:val="both"/>
        <w:rPr>
          <w:rFonts w:ascii="Arial" w:hAnsi="Arial" w:cs="Arial"/>
          <w:sz w:val="24"/>
          <w:szCs w:val="24"/>
        </w:rPr>
      </w:pPr>
      <w:r>
        <w:rPr>
          <w:rFonts w:ascii="Arial" w:hAnsi="Arial" w:cs="Arial"/>
          <w:sz w:val="24"/>
          <w:szCs w:val="24"/>
        </w:rPr>
        <w:t>We cover the Ofwat “4 Pillars” in Chapters 4</w:t>
      </w:r>
      <w:r w:rsidR="00DB27A8">
        <w:rPr>
          <w:rFonts w:ascii="Arial" w:hAnsi="Arial" w:cs="Arial"/>
          <w:sz w:val="24"/>
          <w:szCs w:val="24"/>
        </w:rPr>
        <w:t xml:space="preserve"> to </w:t>
      </w:r>
      <w:r>
        <w:rPr>
          <w:rFonts w:ascii="Arial" w:hAnsi="Arial" w:cs="Arial"/>
          <w:sz w:val="24"/>
          <w:szCs w:val="24"/>
        </w:rPr>
        <w:t>7 of our Plan.  However, it should be recognised that these themes run throughout our Plan.</w:t>
      </w:r>
    </w:p>
    <w:p w:rsidR="001509C0" w:rsidRDefault="001509C0" w:rsidP="00667EF6">
      <w:pPr>
        <w:jc w:val="both"/>
        <w:rPr>
          <w:rFonts w:ascii="Arial" w:hAnsi="Arial" w:cs="Arial"/>
          <w:sz w:val="24"/>
          <w:szCs w:val="24"/>
        </w:rPr>
      </w:pPr>
      <w:r>
        <w:rPr>
          <w:rFonts w:ascii="Arial" w:hAnsi="Arial" w:cs="Arial"/>
          <w:sz w:val="24"/>
          <w:szCs w:val="24"/>
        </w:rPr>
        <w:t xml:space="preserve">Our significant new water resources project – Havant Thicket Winter Storage Reservoir is covered in Chapter 8 – together with </w:t>
      </w:r>
      <w:r w:rsidR="00DB27A8">
        <w:rPr>
          <w:rFonts w:ascii="Arial" w:hAnsi="Arial" w:cs="Arial"/>
          <w:sz w:val="24"/>
          <w:szCs w:val="24"/>
        </w:rPr>
        <w:t xml:space="preserve">other </w:t>
      </w:r>
      <w:r>
        <w:rPr>
          <w:rFonts w:ascii="Arial" w:hAnsi="Arial" w:cs="Arial"/>
          <w:sz w:val="24"/>
          <w:szCs w:val="24"/>
        </w:rPr>
        <w:t>market drive</w:t>
      </w:r>
      <w:r w:rsidR="00DB27A8">
        <w:rPr>
          <w:rFonts w:ascii="Arial" w:hAnsi="Arial" w:cs="Arial"/>
          <w:sz w:val="24"/>
          <w:szCs w:val="24"/>
        </w:rPr>
        <w:t>n</w:t>
      </w:r>
      <w:r>
        <w:rPr>
          <w:rFonts w:ascii="Arial" w:hAnsi="Arial" w:cs="Arial"/>
          <w:sz w:val="24"/>
          <w:szCs w:val="24"/>
        </w:rPr>
        <w:t xml:space="preserve"> activities.</w:t>
      </w:r>
    </w:p>
    <w:p w:rsidR="001509C0" w:rsidRDefault="001509C0" w:rsidP="00667EF6">
      <w:pPr>
        <w:jc w:val="both"/>
        <w:rPr>
          <w:rFonts w:ascii="Arial" w:hAnsi="Arial" w:cs="Arial"/>
          <w:sz w:val="24"/>
          <w:szCs w:val="24"/>
        </w:rPr>
      </w:pPr>
      <w:r>
        <w:rPr>
          <w:rFonts w:ascii="Arial" w:hAnsi="Arial" w:cs="Arial"/>
          <w:sz w:val="24"/>
          <w:szCs w:val="24"/>
        </w:rPr>
        <w:t>All aspects of cost efficiencies, including a summary of enhancement activity, is included in Chapter 9.</w:t>
      </w:r>
    </w:p>
    <w:p w:rsidR="001509C0" w:rsidRDefault="001509C0" w:rsidP="00667EF6">
      <w:pPr>
        <w:jc w:val="both"/>
        <w:rPr>
          <w:rFonts w:ascii="Arial" w:hAnsi="Arial" w:cs="Arial"/>
          <w:sz w:val="24"/>
          <w:szCs w:val="24"/>
        </w:rPr>
      </w:pPr>
      <w:r>
        <w:rPr>
          <w:rFonts w:ascii="Arial" w:hAnsi="Arial" w:cs="Arial"/>
          <w:sz w:val="24"/>
          <w:szCs w:val="24"/>
        </w:rPr>
        <w:t>Financial aspects relating to risk and return are included in Chapters 10 and 11.  AMP6 performance is covered in Chapter 12.</w:t>
      </w:r>
    </w:p>
    <w:p w:rsidR="001509C0" w:rsidRDefault="001509C0" w:rsidP="00667EF6">
      <w:pPr>
        <w:jc w:val="both"/>
        <w:rPr>
          <w:rFonts w:ascii="Arial" w:hAnsi="Arial" w:cs="Arial"/>
          <w:sz w:val="24"/>
          <w:szCs w:val="24"/>
        </w:rPr>
      </w:pPr>
      <w:r>
        <w:rPr>
          <w:rFonts w:ascii="Arial" w:hAnsi="Arial" w:cs="Arial"/>
          <w:sz w:val="24"/>
          <w:szCs w:val="24"/>
        </w:rPr>
        <w:t>Finally, Assurance is covered in a separate Board Assurance Statement, together with the summary of assurance and summary of the CCG Report in Chapter 13.</w:t>
      </w:r>
    </w:p>
    <w:p w:rsidR="00DB27A8" w:rsidRDefault="00DB27A8" w:rsidP="00667EF6">
      <w:pPr>
        <w:jc w:val="both"/>
        <w:rPr>
          <w:rFonts w:ascii="Arial" w:hAnsi="Arial" w:cs="Arial"/>
          <w:sz w:val="24"/>
          <w:szCs w:val="24"/>
        </w:rPr>
      </w:pPr>
      <w:r>
        <w:rPr>
          <w:rFonts w:ascii="Arial" w:hAnsi="Arial" w:cs="Arial"/>
          <w:sz w:val="24"/>
          <w:szCs w:val="24"/>
        </w:rPr>
        <w:t xml:space="preserve">The Plan is supported by separate </w:t>
      </w:r>
      <w:r w:rsidR="006C02A8">
        <w:rPr>
          <w:rFonts w:ascii="Arial" w:hAnsi="Arial" w:cs="Arial"/>
          <w:sz w:val="24"/>
          <w:szCs w:val="24"/>
        </w:rPr>
        <w:t xml:space="preserve">documents – the Board Assurance Statement and the </w:t>
      </w:r>
      <w:r>
        <w:rPr>
          <w:rFonts w:ascii="Arial" w:hAnsi="Arial" w:cs="Arial"/>
          <w:sz w:val="24"/>
          <w:szCs w:val="24"/>
        </w:rPr>
        <w:t>report from our CCG.</w:t>
      </w:r>
    </w:p>
    <w:p w:rsidR="00634BBD" w:rsidRDefault="00634BBD">
      <w:pPr>
        <w:rPr>
          <w:b/>
          <w:caps/>
          <w:color w:val="2E74B5" w:themeColor="accent1" w:themeShade="BF"/>
          <w:sz w:val="32"/>
          <w:szCs w:val="32"/>
        </w:rPr>
      </w:pPr>
      <w:r>
        <w:rPr>
          <w:b/>
          <w:caps/>
          <w:color w:val="2E74B5" w:themeColor="accent1" w:themeShade="BF"/>
          <w:sz w:val="32"/>
          <w:szCs w:val="32"/>
        </w:rPr>
        <w:br w:type="page"/>
      </w:r>
      <w:r w:rsidR="00D00765">
        <w:rPr>
          <w:noProof/>
          <w:lang w:eastAsia="en-GB"/>
        </w:rPr>
        <w:drawing>
          <wp:inline distT="0" distB="0" distL="0" distR="0" wp14:anchorId="550145B6" wp14:editId="2CDC3468">
            <wp:extent cx="5731510" cy="81051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inessplan_structure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D00765" w:rsidRDefault="00D00765">
      <w:pPr>
        <w:rPr>
          <w:noProof/>
          <w:lang w:eastAsia="en-GB"/>
        </w:rPr>
      </w:pPr>
      <w:r>
        <w:rPr>
          <w:noProof/>
          <w:lang w:eastAsia="en-GB"/>
        </w:rPr>
        <w:br w:type="page"/>
      </w:r>
    </w:p>
    <w:p w:rsidR="00D00765" w:rsidRPr="00D00765" w:rsidRDefault="00314982">
      <w:pPr>
        <w:rPr>
          <w:rFonts w:ascii="Arial" w:hAnsi="Arial" w:cs="Arial"/>
          <w:b/>
          <w:caps/>
          <w:color w:val="2E74B5" w:themeColor="accent1" w:themeShade="BF"/>
          <w:sz w:val="32"/>
          <w:szCs w:val="32"/>
        </w:rPr>
      </w:pPr>
      <w:r>
        <w:rPr>
          <w:rFonts w:ascii="Arial" w:hAnsi="Arial" w:cs="Arial"/>
          <w:b/>
          <w:caps/>
          <w:color w:val="2E74B5" w:themeColor="accent1" w:themeShade="BF"/>
          <w:sz w:val="32"/>
          <w:szCs w:val="32"/>
        </w:rPr>
        <w:t>Align</w:t>
      </w:r>
      <w:r w:rsidR="00D00765" w:rsidRPr="00D00765">
        <w:rPr>
          <w:rFonts w:ascii="Arial" w:hAnsi="Arial" w:cs="Arial"/>
          <w:b/>
          <w:caps/>
          <w:color w:val="2E74B5" w:themeColor="accent1" w:themeShade="BF"/>
          <w:sz w:val="32"/>
          <w:szCs w:val="32"/>
        </w:rPr>
        <w:t>ment to IAP Areas</w:t>
      </w:r>
    </w:p>
    <w:p w:rsidR="00D00765" w:rsidRPr="00D00765" w:rsidRDefault="00D00765">
      <w:pPr>
        <w:rPr>
          <w:rFonts w:ascii="Arial" w:hAnsi="Arial" w:cs="Arial"/>
          <w:sz w:val="24"/>
          <w:szCs w:val="24"/>
        </w:rPr>
      </w:pPr>
      <w:r>
        <w:rPr>
          <w:rFonts w:ascii="Arial" w:hAnsi="Arial" w:cs="Arial"/>
          <w:sz w:val="24"/>
          <w:szCs w:val="24"/>
        </w:rPr>
        <w:t xml:space="preserve">This table summarises the broad alignment between our Business Plan chapters and the IAP areas. It should be read in conjunction with the </w:t>
      </w:r>
      <w:r w:rsidR="00220C86">
        <w:rPr>
          <w:rFonts w:ascii="Arial" w:hAnsi="Arial" w:cs="Arial"/>
          <w:sz w:val="24"/>
          <w:szCs w:val="24"/>
        </w:rPr>
        <w:t xml:space="preserve">more </w:t>
      </w:r>
      <w:r>
        <w:rPr>
          <w:rFonts w:ascii="Arial" w:hAnsi="Arial" w:cs="Arial"/>
          <w:sz w:val="24"/>
          <w:szCs w:val="24"/>
        </w:rPr>
        <w:t>detailed IAP proforma.</w:t>
      </w:r>
    </w:p>
    <w:tbl>
      <w:tblPr>
        <w:tblW w:w="9498" w:type="dxa"/>
        <w:tblLook w:val="04A0" w:firstRow="1" w:lastRow="0" w:firstColumn="1" w:lastColumn="0" w:noHBand="0" w:noVBand="1"/>
      </w:tblPr>
      <w:tblGrid>
        <w:gridCol w:w="2520"/>
        <w:gridCol w:w="960"/>
        <w:gridCol w:w="960"/>
        <w:gridCol w:w="2359"/>
        <w:gridCol w:w="2699"/>
      </w:tblGrid>
      <w:tr w:rsidR="00D00765" w:rsidRPr="006F4425" w:rsidTr="00A56318">
        <w:trPr>
          <w:trHeight w:val="340"/>
        </w:trPr>
        <w:tc>
          <w:tcPr>
            <w:tcW w:w="2520" w:type="dxa"/>
            <w:shd w:val="clear" w:color="auto" w:fill="auto"/>
            <w:vAlign w:val="center"/>
          </w:tcPr>
          <w:p w:rsidR="00D00765" w:rsidRPr="00F975AD" w:rsidRDefault="00D00765" w:rsidP="00D00765">
            <w:pPr>
              <w:spacing w:after="0" w:line="240" w:lineRule="auto"/>
              <w:jc w:val="center"/>
              <w:rPr>
                <w:rFonts w:ascii="Arial" w:eastAsia="Times New Roman" w:hAnsi="Arial" w:cs="Arial"/>
                <w:sz w:val="24"/>
                <w:szCs w:val="24"/>
                <w:lang w:eastAsia="en-GB"/>
              </w:rPr>
            </w:pPr>
            <w:r>
              <w:br w:type="page"/>
            </w:r>
            <w:r w:rsidRPr="00F975AD">
              <w:rPr>
                <w:rFonts w:ascii="Arial" w:eastAsia="Times New Roman" w:hAnsi="Arial" w:cs="Arial"/>
                <w:sz w:val="24"/>
                <w:szCs w:val="24"/>
                <w:lang w:eastAsia="en-GB"/>
              </w:rPr>
              <w:t>Area</w:t>
            </w:r>
          </w:p>
        </w:tc>
        <w:tc>
          <w:tcPr>
            <w:tcW w:w="960" w:type="dxa"/>
            <w:shd w:val="clear" w:color="auto" w:fill="auto"/>
            <w:noWrap/>
          </w:tcPr>
          <w:p w:rsidR="00D00765" w:rsidRPr="00F975AD" w:rsidRDefault="00D00765" w:rsidP="00D00765">
            <w:pPr>
              <w:spacing w:after="0" w:line="240" w:lineRule="auto"/>
              <w:rPr>
                <w:rFonts w:ascii="Arial" w:eastAsia="Times New Roman" w:hAnsi="Arial" w:cs="Arial"/>
                <w:lang w:eastAsia="en-GB"/>
              </w:rPr>
            </w:pPr>
            <w:r>
              <w:rPr>
                <w:rFonts w:ascii="Arial" w:eastAsia="Times New Roman" w:hAnsi="Arial" w:cs="Arial"/>
                <w:lang w:eastAsia="en-GB"/>
              </w:rPr>
              <w:t>Test</w:t>
            </w:r>
          </w:p>
        </w:tc>
        <w:tc>
          <w:tcPr>
            <w:tcW w:w="960" w:type="dxa"/>
            <w:shd w:val="clear" w:color="auto" w:fill="auto"/>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shd w:val="clear" w:color="auto" w:fill="auto"/>
          </w:tcPr>
          <w:p w:rsidR="00D00765" w:rsidRDefault="00D00765"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w:t>
            </w:r>
            <w:r w:rsidR="00D7642B">
              <w:rPr>
                <w:rFonts w:ascii="Arial" w:eastAsia="Times New Roman" w:hAnsi="Arial" w:cs="Arial"/>
                <w:color w:val="000000"/>
                <w:lang w:eastAsia="en-GB"/>
              </w:rPr>
              <w:t xml:space="preserve"> &amp; </w:t>
            </w:r>
            <w:r w:rsidR="00D7642B" w:rsidRPr="00D7642B">
              <w:rPr>
                <w:rFonts w:ascii="Arial" w:eastAsia="Times New Roman" w:hAnsi="Arial" w:cs="Arial"/>
                <w:i/>
                <w:color w:val="000000"/>
                <w:lang w:eastAsia="en-GB"/>
              </w:rPr>
              <w:t>Document</w:t>
            </w:r>
          </w:p>
        </w:tc>
        <w:tc>
          <w:tcPr>
            <w:tcW w:w="2699" w:type="dxa"/>
            <w:shd w:val="clear" w:color="auto" w:fill="auto"/>
          </w:tcPr>
          <w:p w:rsidR="00D00765" w:rsidRPr="006F4425" w:rsidRDefault="00D00765"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Reference</w:t>
            </w:r>
          </w:p>
        </w:tc>
      </w:tr>
      <w:tr w:rsidR="00D00765" w:rsidRPr="006F4425" w:rsidTr="00A56318">
        <w:trPr>
          <w:trHeight w:val="340"/>
        </w:trPr>
        <w:tc>
          <w:tcPr>
            <w:tcW w:w="2520" w:type="dxa"/>
            <w:shd w:val="clear" w:color="auto" w:fill="0070C0"/>
            <w:vAlign w:val="center"/>
            <w:hideMark/>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r w:rsidRPr="006F4425">
              <w:rPr>
                <w:rFonts w:ascii="Arial" w:eastAsia="Times New Roman" w:hAnsi="Arial" w:cs="Arial"/>
                <w:color w:val="FFFFFF" w:themeColor="background1"/>
                <w:sz w:val="24"/>
                <w:szCs w:val="24"/>
                <w:lang w:eastAsia="en-GB"/>
              </w:rPr>
              <w:t>Engaging customers</w:t>
            </w:r>
          </w:p>
        </w:tc>
        <w:tc>
          <w:tcPr>
            <w:tcW w:w="960" w:type="dxa"/>
            <w:shd w:val="clear" w:color="auto" w:fill="9CC2E5" w:themeFill="accent1" w:themeFillTint="99"/>
            <w:noWrap/>
            <w:vAlign w:val="center"/>
            <w:hideMark/>
          </w:tcPr>
          <w:p w:rsidR="00D00765" w:rsidRPr="006F4425" w:rsidRDefault="00D00765" w:rsidP="00C600B0">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EC 1</w:t>
            </w: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69504" behindDoc="0" locked="0" layoutInCell="1" allowOverlap="1" wp14:anchorId="18ABE4F9" wp14:editId="157BD4B7">
                      <wp:simplePos x="0" y="0"/>
                      <wp:positionH relativeFrom="column">
                        <wp:posOffset>1856</wp:posOffset>
                      </wp:positionH>
                      <wp:positionV relativeFrom="paragraph">
                        <wp:posOffset>211455</wp:posOffset>
                      </wp:positionV>
                      <wp:extent cx="463062" cy="128954"/>
                      <wp:effectExtent l="0" t="19050" r="32385" b="42545"/>
                      <wp:wrapNone/>
                      <wp:docPr id="9" name="Right Arrow 9"/>
                      <wp:cNvGraphicFramePr/>
                      <a:graphic xmlns:a="http://schemas.openxmlformats.org/drawingml/2006/main">
                        <a:graphicData uri="http://schemas.microsoft.com/office/word/2010/wordprocessingShape">
                          <wps:wsp>
                            <wps:cNvSpPr/>
                            <wps:spPr>
                              <a:xfrm>
                                <a:off x="0" y="0"/>
                                <a:ext cx="463062" cy="12895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3923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5pt;margin-top:16.65pt;width:36.45pt;height:10.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" adj="18592" fillcolor="#5b9bd5" strokecolor="#41719c" strokeweight="1pt"/>
                  </w:pict>
                </mc:Fallback>
              </mc:AlternateContent>
            </w:r>
          </w:p>
        </w:tc>
        <w:tc>
          <w:tcPr>
            <w:tcW w:w="2359" w:type="dxa"/>
            <w:shd w:val="clear" w:color="auto" w:fill="ED7D31" w:themeFill="accent2"/>
            <w:vAlign w:val="center"/>
          </w:tcPr>
          <w:p w:rsidR="00D00765" w:rsidRDefault="00D00765"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2</w:t>
            </w:r>
          </w:p>
          <w:p w:rsidR="00D00765" w:rsidRDefault="00D00765"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3</w:t>
            </w:r>
          </w:p>
          <w:p w:rsidR="0080761E" w:rsidRDefault="0080761E"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4</w:t>
            </w:r>
          </w:p>
          <w:p w:rsidR="003509F6" w:rsidRPr="00D7642B" w:rsidRDefault="00D00765" w:rsidP="00C600B0">
            <w:pPr>
              <w:spacing w:after="0" w:line="240" w:lineRule="auto"/>
              <w:jc w:val="center"/>
              <w:rPr>
                <w:rFonts w:ascii="Arial" w:eastAsia="Times New Roman" w:hAnsi="Arial" w:cs="Arial"/>
                <w:i/>
                <w:color w:val="000000"/>
                <w:lang w:eastAsia="en-GB"/>
              </w:rPr>
            </w:pPr>
            <w:r w:rsidRPr="00D7642B">
              <w:rPr>
                <w:rFonts w:ascii="Arial" w:eastAsia="Times New Roman" w:hAnsi="Arial" w:cs="Arial"/>
                <w:i/>
                <w:color w:val="000000"/>
                <w:lang w:eastAsia="en-GB"/>
              </w:rPr>
              <w:t>CCG report</w:t>
            </w:r>
          </w:p>
        </w:tc>
        <w:tc>
          <w:tcPr>
            <w:tcW w:w="2699" w:type="dxa"/>
            <w:shd w:val="clear" w:color="auto" w:fill="F7CAAC" w:themeFill="accent2" w:themeFillTint="66"/>
          </w:tcPr>
          <w:p w:rsidR="00301175" w:rsidRDefault="00301175" w:rsidP="00D0076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8-1</w:t>
            </w:r>
            <w:r w:rsidR="0080761E">
              <w:rPr>
                <w:rFonts w:ascii="Arial" w:eastAsia="Times New Roman" w:hAnsi="Arial" w:cs="Arial"/>
                <w:color w:val="000000"/>
                <w:lang w:eastAsia="en-GB"/>
              </w:rPr>
              <w:t>4</w:t>
            </w:r>
          </w:p>
          <w:p w:rsidR="00301175" w:rsidRDefault="00301175" w:rsidP="00D0076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34-8</w:t>
            </w:r>
            <w:r w:rsidR="0080761E">
              <w:rPr>
                <w:rFonts w:ascii="Arial" w:eastAsia="Times New Roman" w:hAnsi="Arial" w:cs="Arial"/>
                <w:color w:val="000000"/>
                <w:lang w:eastAsia="en-GB"/>
              </w:rPr>
              <w:t>6</w:t>
            </w:r>
          </w:p>
          <w:p w:rsidR="0080761E" w:rsidRDefault="0080761E" w:rsidP="00D0076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91-96</w:t>
            </w:r>
          </w:p>
          <w:p w:rsidR="00B44C98" w:rsidRPr="006F4425" w:rsidRDefault="00B44C98" w:rsidP="00D0076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5-8</w:t>
            </w:r>
          </w:p>
        </w:tc>
      </w:tr>
      <w:tr w:rsidR="00D00765" w:rsidRPr="006F4425" w:rsidTr="00A56318">
        <w:trPr>
          <w:trHeight w:val="20"/>
        </w:trPr>
        <w:tc>
          <w:tcPr>
            <w:tcW w:w="2520" w:type="dxa"/>
            <w:shd w:val="clear" w:color="auto" w:fill="auto"/>
            <w:vAlign w:val="center"/>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auto"/>
            <w:noWrap/>
          </w:tcPr>
          <w:p w:rsidR="00D00765" w:rsidRPr="006F4425" w:rsidRDefault="00D00765" w:rsidP="00D00765">
            <w:pPr>
              <w:spacing w:after="0" w:line="240" w:lineRule="auto"/>
              <w:rPr>
                <w:rFonts w:ascii="Arial" w:eastAsia="Times New Roman" w:hAnsi="Arial" w:cs="Arial"/>
                <w:color w:val="000000"/>
                <w:sz w:val="16"/>
                <w:szCs w:val="16"/>
                <w:lang w:eastAsia="en-GB"/>
              </w:rPr>
            </w:pP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vAlign w:val="center"/>
          </w:tcPr>
          <w:p w:rsidR="00D00765" w:rsidRPr="006F4425" w:rsidRDefault="00D00765" w:rsidP="00D00765">
            <w:pPr>
              <w:spacing w:after="0" w:line="240" w:lineRule="auto"/>
              <w:jc w:val="center"/>
              <w:rPr>
                <w:rFonts w:ascii="Arial" w:eastAsia="Times New Roman" w:hAnsi="Arial" w:cs="Arial"/>
                <w:color w:val="000000"/>
                <w:lang w:eastAsia="en-GB"/>
              </w:rPr>
            </w:pPr>
          </w:p>
        </w:tc>
        <w:tc>
          <w:tcPr>
            <w:tcW w:w="2699" w:type="dxa"/>
          </w:tcPr>
          <w:p w:rsidR="00D00765" w:rsidRPr="006F4425" w:rsidRDefault="00D00765" w:rsidP="00D00765">
            <w:pPr>
              <w:spacing w:after="0" w:line="240" w:lineRule="auto"/>
              <w:rPr>
                <w:rFonts w:ascii="Arial" w:eastAsia="Times New Roman" w:hAnsi="Arial" w:cs="Arial"/>
                <w:color w:val="000000"/>
                <w:lang w:eastAsia="en-GB"/>
              </w:rPr>
            </w:pPr>
          </w:p>
        </w:tc>
      </w:tr>
      <w:tr w:rsidR="00C600B0" w:rsidRPr="006F4425" w:rsidTr="00A56318">
        <w:trPr>
          <w:trHeight w:val="340"/>
        </w:trPr>
        <w:tc>
          <w:tcPr>
            <w:tcW w:w="2520" w:type="dxa"/>
            <w:vMerge w:val="restart"/>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r w:rsidRPr="006F4425">
              <w:rPr>
                <w:rFonts w:ascii="Arial" w:eastAsia="Times New Roman" w:hAnsi="Arial" w:cs="Arial"/>
                <w:color w:val="FFFFFF" w:themeColor="background1"/>
                <w:sz w:val="24"/>
                <w:szCs w:val="24"/>
                <w:lang w:eastAsia="en-GB"/>
              </w:rPr>
              <w:t>Addressing affordability and vulnerability</w:t>
            </w: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AV 1</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val="restart"/>
            <w:shd w:val="clear" w:color="auto" w:fill="ED7D31" w:themeFill="accent2"/>
            <w:vAlign w:val="center"/>
          </w:tcPr>
          <w:p w:rsidR="00C600B0"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3</w:t>
            </w:r>
          </w:p>
          <w:p w:rsidR="00C600B0"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4</w:t>
            </w:r>
          </w:p>
          <w:p w:rsidR="00C600B0"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5</w:t>
            </w:r>
          </w:p>
          <w:p w:rsidR="00C600B0" w:rsidRPr="006F4425"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11</w:t>
            </w:r>
          </w:p>
        </w:tc>
        <w:tc>
          <w:tcPr>
            <w:tcW w:w="2699" w:type="dxa"/>
            <w:vMerge w:val="restart"/>
            <w:shd w:val="clear" w:color="auto" w:fill="F7CAAC" w:themeFill="accent2" w:themeFillTint="66"/>
            <w:vAlign w:val="center"/>
          </w:tcPr>
          <w:p w:rsidR="00C600B0" w:rsidRPr="006F4425"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6</w:t>
            </w:r>
            <w:r w:rsidR="0080761E">
              <w:rPr>
                <w:rFonts w:ascii="Arial" w:eastAsia="Times New Roman" w:hAnsi="Arial" w:cs="Arial"/>
                <w:color w:val="000000"/>
                <w:lang w:eastAsia="en-GB"/>
              </w:rPr>
              <w:t>2</w:t>
            </w:r>
            <w:r>
              <w:rPr>
                <w:rFonts w:ascii="Arial" w:eastAsia="Times New Roman" w:hAnsi="Arial" w:cs="Arial"/>
                <w:color w:val="000000"/>
                <w:lang w:eastAsia="en-GB"/>
              </w:rPr>
              <w:t>-69 &amp; 79-84</w:t>
            </w:r>
          </w:p>
          <w:p w:rsidR="00C600B0"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 93</w:t>
            </w:r>
            <w:r w:rsidR="0080761E">
              <w:rPr>
                <w:rFonts w:ascii="Arial" w:eastAsia="Times New Roman" w:hAnsi="Arial" w:cs="Arial"/>
                <w:color w:val="000000"/>
                <w:lang w:eastAsia="en-GB"/>
              </w:rPr>
              <w:t>-94</w:t>
            </w:r>
          </w:p>
          <w:p w:rsidR="00C600B0" w:rsidRPr="006F4425"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97-105</w:t>
            </w:r>
          </w:p>
          <w:p w:rsidR="00C600B0" w:rsidRPr="006F4425"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178-181</w:t>
            </w:r>
          </w:p>
        </w:tc>
      </w:tr>
      <w:tr w:rsidR="00C600B0" w:rsidRPr="006F4425" w:rsidTr="00A56318">
        <w:trPr>
          <w:trHeight w:val="340"/>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AV 2</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79744" behindDoc="0" locked="0" layoutInCell="1" allowOverlap="1" wp14:anchorId="04B191D5" wp14:editId="2B3455E6">
                      <wp:simplePos x="0" y="0"/>
                      <wp:positionH relativeFrom="column">
                        <wp:posOffset>0</wp:posOffset>
                      </wp:positionH>
                      <wp:positionV relativeFrom="paragraph">
                        <wp:posOffset>145659</wp:posOffset>
                      </wp:positionV>
                      <wp:extent cx="463062" cy="128954"/>
                      <wp:effectExtent l="0" t="19050" r="32385" b="42545"/>
                      <wp:wrapNone/>
                      <wp:docPr id="13" name="Right Arrow 13"/>
                      <wp:cNvGraphicFramePr/>
                      <a:graphic xmlns:a="http://schemas.openxmlformats.org/drawingml/2006/main">
                        <a:graphicData uri="http://schemas.microsoft.com/office/word/2010/wordprocessingShape">
                          <wps:wsp>
                            <wps:cNvSpPr/>
                            <wps:spPr>
                              <a:xfrm>
                                <a:off x="0" y="0"/>
                                <a:ext cx="463062" cy="12895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0DDD2" id="Right Arrow 13" o:spid="_x0000_s1026" type="#_x0000_t13" style="position:absolute;margin-left:0;margin-top:11.45pt;width:36.45pt;height:10.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" adj="18592" fillcolor="#5b9bd5" strokecolor="#41719c" strokeweight="1pt"/>
                  </w:pict>
                </mc:Fallback>
              </mc:AlternateContent>
            </w: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C600B0" w:rsidRPr="006F4425" w:rsidTr="00A56318">
        <w:trPr>
          <w:trHeight w:val="340"/>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AV 3</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C600B0" w:rsidRPr="006F4425" w:rsidTr="00A56318">
        <w:trPr>
          <w:trHeight w:val="340"/>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AV 4</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D00765" w:rsidRPr="006F4425" w:rsidTr="00A56318">
        <w:trPr>
          <w:trHeight w:val="20"/>
        </w:trPr>
        <w:tc>
          <w:tcPr>
            <w:tcW w:w="2520" w:type="dxa"/>
            <w:shd w:val="clear" w:color="auto" w:fill="auto"/>
            <w:vAlign w:val="center"/>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auto"/>
            <w:noWrap/>
          </w:tcPr>
          <w:p w:rsidR="00D00765" w:rsidRPr="006F4425" w:rsidRDefault="00D00765" w:rsidP="00D00765">
            <w:pPr>
              <w:spacing w:after="0" w:line="240" w:lineRule="auto"/>
              <w:rPr>
                <w:rFonts w:ascii="Arial" w:eastAsia="Times New Roman" w:hAnsi="Arial" w:cs="Arial"/>
                <w:color w:val="000000"/>
                <w:sz w:val="16"/>
                <w:szCs w:val="16"/>
                <w:lang w:eastAsia="en-GB"/>
              </w:rPr>
            </w:pP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vAlign w:val="center"/>
          </w:tcPr>
          <w:p w:rsidR="00D00765" w:rsidRPr="006F4425" w:rsidRDefault="00D00765" w:rsidP="00D00765">
            <w:pPr>
              <w:spacing w:after="0" w:line="240" w:lineRule="auto"/>
              <w:jc w:val="center"/>
              <w:rPr>
                <w:rFonts w:ascii="Arial" w:eastAsia="Times New Roman" w:hAnsi="Arial" w:cs="Arial"/>
                <w:color w:val="000000"/>
                <w:lang w:eastAsia="en-GB"/>
              </w:rPr>
            </w:pPr>
          </w:p>
        </w:tc>
        <w:tc>
          <w:tcPr>
            <w:tcW w:w="2699" w:type="dxa"/>
          </w:tcPr>
          <w:p w:rsidR="00D00765" w:rsidRPr="006F4425" w:rsidRDefault="00D00765" w:rsidP="00D00765">
            <w:pPr>
              <w:spacing w:after="0" w:line="240" w:lineRule="auto"/>
              <w:rPr>
                <w:rFonts w:ascii="Arial" w:eastAsia="Times New Roman" w:hAnsi="Arial" w:cs="Arial"/>
                <w:color w:val="000000"/>
                <w:lang w:eastAsia="en-GB"/>
              </w:rPr>
            </w:pPr>
          </w:p>
        </w:tc>
      </w:tr>
      <w:tr w:rsidR="00C600B0" w:rsidRPr="006F4425" w:rsidTr="00A56318">
        <w:trPr>
          <w:trHeight w:val="340"/>
        </w:trPr>
        <w:tc>
          <w:tcPr>
            <w:tcW w:w="2520" w:type="dxa"/>
            <w:vMerge w:val="restart"/>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r w:rsidRPr="006F4425">
              <w:rPr>
                <w:rFonts w:ascii="Arial" w:eastAsia="Times New Roman" w:hAnsi="Arial" w:cs="Arial"/>
                <w:color w:val="FFFFFF" w:themeColor="background1"/>
                <w:sz w:val="24"/>
                <w:szCs w:val="24"/>
                <w:lang w:eastAsia="en-GB"/>
              </w:rPr>
              <w:t>Delivering outcomes for customers</w:t>
            </w: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OC 1</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val="restart"/>
            <w:shd w:val="clear" w:color="auto" w:fill="ED7D31" w:themeFill="accent2"/>
            <w:vAlign w:val="center"/>
          </w:tcPr>
          <w:p w:rsidR="00C600B0" w:rsidRDefault="00C600B0"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3</w:t>
            </w:r>
          </w:p>
          <w:p w:rsidR="0080761E" w:rsidRDefault="0080761E"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10</w:t>
            </w:r>
          </w:p>
          <w:p w:rsidR="00C600B0" w:rsidRPr="006F4425" w:rsidRDefault="00C600B0"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11</w:t>
            </w:r>
          </w:p>
        </w:tc>
        <w:tc>
          <w:tcPr>
            <w:tcW w:w="2699" w:type="dxa"/>
            <w:vMerge w:val="restart"/>
            <w:shd w:val="clear" w:color="auto" w:fill="F7CAAC" w:themeFill="accent2" w:themeFillTint="66"/>
            <w:vAlign w:val="center"/>
          </w:tcPr>
          <w:p w:rsidR="00C600B0"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w:t>
            </w:r>
            <w:r w:rsidR="0080761E">
              <w:rPr>
                <w:rFonts w:ascii="Arial" w:eastAsia="Times New Roman" w:hAnsi="Arial" w:cs="Arial"/>
                <w:color w:val="000000"/>
                <w:lang w:eastAsia="en-GB"/>
              </w:rPr>
              <w:t>5</w:t>
            </w:r>
            <w:r>
              <w:rPr>
                <w:rFonts w:ascii="Arial" w:eastAsia="Times New Roman" w:hAnsi="Arial" w:cs="Arial"/>
                <w:color w:val="000000"/>
                <w:lang w:eastAsia="en-GB"/>
              </w:rPr>
              <w:t>-3</w:t>
            </w:r>
            <w:r w:rsidR="0080761E">
              <w:rPr>
                <w:rFonts w:ascii="Arial" w:eastAsia="Times New Roman" w:hAnsi="Arial" w:cs="Arial"/>
                <w:color w:val="000000"/>
                <w:lang w:eastAsia="en-GB"/>
              </w:rPr>
              <w:t>3</w:t>
            </w:r>
          </w:p>
          <w:p w:rsidR="0080761E" w:rsidRDefault="0080761E"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159-167</w:t>
            </w:r>
          </w:p>
          <w:p w:rsidR="00C600B0" w:rsidRPr="006F4425"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178-180</w:t>
            </w:r>
          </w:p>
        </w:tc>
      </w:tr>
      <w:tr w:rsidR="00C600B0" w:rsidRPr="006F4425" w:rsidTr="00A56318">
        <w:trPr>
          <w:trHeight w:val="340"/>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OC 2</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81792" behindDoc="0" locked="0" layoutInCell="1" allowOverlap="1" wp14:anchorId="24809D7F" wp14:editId="7526DD90">
                      <wp:simplePos x="0" y="0"/>
                      <wp:positionH relativeFrom="column">
                        <wp:posOffset>0</wp:posOffset>
                      </wp:positionH>
                      <wp:positionV relativeFrom="paragraph">
                        <wp:posOffset>27158</wp:posOffset>
                      </wp:positionV>
                      <wp:extent cx="463062" cy="128954"/>
                      <wp:effectExtent l="0" t="19050" r="32385" b="42545"/>
                      <wp:wrapNone/>
                      <wp:docPr id="14" name="Right Arrow 14"/>
                      <wp:cNvGraphicFramePr/>
                      <a:graphic xmlns:a="http://schemas.openxmlformats.org/drawingml/2006/main">
                        <a:graphicData uri="http://schemas.microsoft.com/office/word/2010/wordprocessingShape">
                          <wps:wsp>
                            <wps:cNvSpPr/>
                            <wps:spPr>
                              <a:xfrm>
                                <a:off x="0" y="0"/>
                                <a:ext cx="463062" cy="12895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D16ED" id="Right Arrow 14" o:spid="_x0000_s1026" type="#_x0000_t13" style="position:absolute;margin-left:0;margin-top:2.15pt;width:36.45pt;height:10.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" adj="18592" fillcolor="#5b9bd5" strokecolor="#41719c" strokeweight="1pt"/>
                  </w:pict>
                </mc:Fallback>
              </mc:AlternateContent>
            </w: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C600B0" w:rsidRPr="006F4425" w:rsidTr="00A56318">
        <w:trPr>
          <w:trHeight w:val="340"/>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OC 3</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D00765" w:rsidRPr="006F4425" w:rsidTr="00A56318">
        <w:trPr>
          <w:trHeight w:val="113"/>
        </w:trPr>
        <w:tc>
          <w:tcPr>
            <w:tcW w:w="2520" w:type="dxa"/>
            <w:shd w:val="clear" w:color="auto" w:fill="auto"/>
            <w:vAlign w:val="center"/>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auto"/>
            <w:noWrap/>
          </w:tcPr>
          <w:p w:rsidR="00D00765" w:rsidRPr="006F4425" w:rsidRDefault="00D00765" w:rsidP="00D00765">
            <w:pPr>
              <w:spacing w:after="0" w:line="240" w:lineRule="auto"/>
              <w:rPr>
                <w:rFonts w:ascii="Arial" w:eastAsia="Times New Roman" w:hAnsi="Arial" w:cs="Arial"/>
                <w:color w:val="000000"/>
                <w:sz w:val="16"/>
                <w:szCs w:val="16"/>
                <w:lang w:eastAsia="en-GB"/>
              </w:rPr>
            </w:pP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vAlign w:val="center"/>
          </w:tcPr>
          <w:p w:rsidR="00D00765" w:rsidRPr="006F4425" w:rsidRDefault="00D00765" w:rsidP="00D00765">
            <w:pPr>
              <w:spacing w:after="0" w:line="240" w:lineRule="auto"/>
              <w:jc w:val="center"/>
              <w:rPr>
                <w:rFonts w:ascii="Arial" w:eastAsia="Times New Roman" w:hAnsi="Arial" w:cs="Arial"/>
                <w:color w:val="000000"/>
                <w:lang w:eastAsia="en-GB"/>
              </w:rPr>
            </w:pPr>
          </w:p>
        </w:tc>
        <w:tc>
          <w:tcPr>
            <w:tcW w:w="2699" w:type="dxa"/>
          </w:tcPr>
          <w:p w:rsidR="00D00765" w:rsidRPr="006F4425" w:rsidRDefault="00D00765" w:rsidP="00D00765">
            <w:pPr>
              <w:spacing w:after="0" w:line="240" w:lineRule="auto"/>
              <w:rPr>
                <w:rFonts w:ascii="Arial" w:eastAsia="Times New Roman" w:hAnsi="Arial" w:cs="Arial"/>
                <w:color w:val="000000"/>
                <w:lang w:eastAsia="en-GB"/>
              </w:rPr>
            </w:pPr>
          </w:p>
        </w:tc>
      </w:tr>
      <w:tr w:rsidR="00D00765" w:rsidRPr="006F4425" w:rsidTr="00A56318">
        <w:trPr>
          <w:trHeight w:val="340"/>
        </w:trPr>
        <w:tc>
          <w:tcPr>
            <w:tcW w:w="2520" w:type="dxa"/>
            <w:vMerge w:val="restart"/>
            <w:shd w:val="clear" w:color="auto" w:fill="0070C0"/>
            <w:vAlign w:val="center"/>
            <w:hideMark/>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r w:rsidRPr="006F4425">
              <w:rPr>
                <w:rFonts w:ascii="Arial" w:eastAsia="Times New Roman" w:hAnsi="Arial" w:cs="Arial"/>
                <w:color w:val="FFFFFF" w:themeColor="background1"/>
                <w:sz w:val="24"/>
                <w:szCs w:val="24"/>
                <w:lang w:eastAsia="en-GB"/>
              </w:rPr>
              <w:t>Securing long-term resilience</w:t>
            </w:r>
          </w:p>
        </w:tc>
        <w:tc>
          <w:tcPr>
            <w:tcW w:w="960" w:type="dxa"/>
            <w:shd w:val="clear" w:color="auto" w:fill="9CC2E5" w:themeFill="accent1" w:themeFillTint="99"/>
            <w:noWrap/>
            <w:hideMark/>
          </w:tcPr>
          <w:p w:rsidR="00D00765" w:rsidRPr="006F4425" w:rsidRDefault="00D00765"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LR 1</w:t>
            </w: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72576" behindDoc="0" locked="0" layoutInCell="1" allowOverlap="1" wp14:anchorId="7DDB2449" wp14:editId="5B0C07F1">
                      <wp:simplePos x="0" y="0"/>
                      <wp:positionH relativeFrom="column">
                        <wp:posOffset>0</wp:posOffset>
                      </wp:positionH>
                      <wp:positionV relativeFrom="paragraph">
                        <wp:posOffset>141117</wp:posOffset>
                      </wp:positionV>
                      <wp:extent cx="463062" cy="128954"/>
                      <wp:effectExtent l="0" t="19050" r="32385" b="42545"/>
                      <wp:wrapNone/>
                      <wp:docPr id="15" name="Right Arrow 15"/>
                      <wp:cNvGraphicFramePr/>
                      <a:graphic xmlns:a="http://schemas.openxmlformats.org/drawingml/2006/main">
                        <a:graphicData uri="http://schemas.microsoft.com/office/word/2010/wordprocessingShape">
                          <wps:wsp>
                            <wps:cNvSpPr/>
                            <wps:spPr>
                              <a:xfrm>
                                <a:off x="0" y="0"/>
                                <a:ext cx="463062" cy="12895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046B92" id="Right Arrow 15" o:spid="_x0000_s1026" type="#_x0000_t13" style="position:absolute;margin-left:0;margin-top:11.1pt;width:36.45pt;height:10.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" adj="18592" fillcolor="#5b9bd5" strokecolor="#41719c" strokeweight="1pt"/>
                  </w:pict>
                </mc:Fallback>
              </mc:AlternateContent>
            </w:r>
          </w:p>
        </w:tc>
        <w:tc>
          <w:tcPr>
            <w:tcW w:w="2359" w:type="dxa"/>
            <w:vMerge w:val="restart"/>
            <w:shd w:val="clear" w:color="auto" w:fill="ED7D31" w:themeFill="accent2"/>
            <w:vAlign w:val="center"/>
          </w:tcPr>
          <w:p w:rsidR="00C73780" w:rsidRDefault="00C73780"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3</w:t>
            </w:r>
          </w:p>
          <w:p w:rsidR="00D00765" w:rsidRDefault="00D00765"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6</w:t>
            </w:r>
          </w:p>
          <w:p w:rsidR="00D00765" w:rsidRPr="006F4425" w:rsidRDefault="00D00765"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9</w:t>
            </w:r>
          </w:p>
        </w:tc>
        <w:tc>
          <w:tcPr>
            <w:tcW w:w="2699" w:type="dxa"/>
            <w:shd w:val="clear" w:color="auto" w:fill="F7CAAC" w:themeFill="accent2" w:themeFillTint="66"/>
          </w:tcPr>
          <w:p w:rsidR="00D00765" w:rsidRDefault="00C73780" w:rsidP="00D0076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39-40</w:t>
            </w:r>
            <w:r w:rsidR="0080761E">
              <w:rPr>
                <w:rFonts w:ascii="Arial" w:eastAsia="Times New Roman" w:hAnsi="Arial" w:cs="Arial"/>
                <w:color w:val="000000"/>
                <w:lang w:eastAsia="en-GB"/>
              </w:rPr>
              <w:t xml:space="preserve"> &amp; 45-54</w:t>
            </w:r>
          </w:p>
          <w:p w:rsidR="00C73780" w:rsidRPr="006F4425" w:rsidRDefault="00C73780" w:rsidP="00D0076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106-121</w:t>
            </w:r>
          </w:p>
        </w:tc>
      </w:tr>
      <w:tr w:rsidR="00D00765" w:rsidRPr="006F4425" w:rsidTr="00A56318">
        <w:trPr>
          <w:trHeight w:val="340"/>
        </w:trPr>
        <w:tc>
          <w:tcPr>
            <w:tcW w:w="2520" w:type="dxa"/>
            <w:vMerge/>
            <w:shd w:val="clear" w:color="auto" w:fill="0070C0"/>
            <w:vAlign w:val="center"/>
            <w:hideMark/>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D00765" w:rsidRPr="006F4425" w:rsidRDefault="00D00765"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LR 2</w:t>
            </w: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D00765" w:rsidRPr="006F4425" w:rsidRDefault="00D00765" w:rsidP="00D00765">
            <w:pPr>
              <w:spacing w:after="0" w:line="240" w:lineRule="auto"/>
              <w:jc w:val="center"/>
              <w:rPr>
                <w:rFonts w:ascii="Arial" w:eastAsia="Times New Roman" w:hAnsi="Arial" w:cs="Arial"/>
                <w:color w:val="000000"/>
                <w:lang w:eastAsia="en-GB"/>
              </w:rPr>
            </w:pPr>
          </w:p>
        </w:tc>
        <w:tc>
          <w:tcPr>
            <w:tcW w:w="2699" w:type="dxa"/>
            <w:shd w:val="clear" w:color="auto" w:fill="F7CAAC" w:themeFill="accent2" w:themeFillTint="66"/>
          </w:tcPr>
          <w:p w:rsidR="00D00765" w:rsidRPr="006F4425" w:rsidRDefault="00C73780" w:rsidP="00D0076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144-146</w:t>
            </w:r>
          </w:p>
        </w:tc>
      </w:tr>
      <w:tr w:rsidR="00D00765" w:rsidRPr="006F4425" w:rsidTr="00A56318">
        <w:trPr>
          <w:trHeight w:val="170"/>
        </w:trPr>
        <w:tc>
          <w:tcPr>
            <w:tcW w:w="2520" w:type="dxa"/>
            <w:shd w:val="clear" w:color="auto" w:fill="auto"/>
            <w:vAlign w:val="center"/>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auto"/>
            <w:noWrap/>
          </w:tcPr>
          <w:p w:rsidR="00D00765" w:rsidRPr="006F4425" w:rsidRDefault="00D00765" w:rsidP="00D00765">
            <w:pPr>
              <w:spacing w:after="0" w:line="240" w:lineRule="auto"/>
              <w:rPr>
                <w:rFonts w:ascii="Arial" w:eastAsia="Times New Roman" w:hAnsi="Arial" w:cs="Arial"/>
                <w:color w:val="000000"/>
                <w:sz w:val="16"/>
                <w:szCs w:val="16"/>
                <w:lang w:eastAsia="en-GB"/>
              </w:rPr>
            </w:pP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vAlign w:val="center"/>
          </w:tcPr>
          <w:p w:rsidR="00D00765" w:rsidRPr="006F4425" w:rsidRDefault="00D00765" w:rsidP="00D00765">
            <w:pPr>
              <w:spacing w:after="0" w:line="240" w:lineRule="auto"/>
              <w:jc w:val="center"/>
              <w:rPr>
                <w:rFonts w:ascii="Arial" w:eastAsia="Times New Roman" w:hAnsi="Arial" w:cs="Arial"/>
                <w:color w:val="000000"/>
                <w:lang w:eastAsia="en-GB"/>
              </w:rPr>
            </w:pPr>
          </w:p>
        </w:tc>
        <w:tc>
          <w:tcPr>
            <w:tcW w:w="2699" w:type="dxa"/>
          </w:tcPr>
          <w:p w:rsidR="00D00765" w:rsidRPr="006F4425" w:rsidRDefault="00D00765" w:rsidP="00D00765">
            <w:pPr>
              <w:spacing w:after="0" w:line="240" w:lineRule="auto"/>
              <w:rPr>
                <w:rFonts w:ascii="Arial" w:eastAsia="Times New Roman" w:hAnsi="Arial" w:cs="Arial"/>
                <w:color w:val="000000"/>
                <w:lang w:eastAsia="en-GB"/>
              </w:rPr>
            </w:pPr>
          </w:p>
        </w:tc>
      </w:tr>
      <w:tr w:rsidR="00C600B0" w:rsidRPr="006F4425" w:rsidTr="00A56318">
        <w:trPr>
          <w:trHeight w:val="340"/>
        </w:trPr>
        <w:tc>
          <w:tcPr>
            <w:tcW w:w="2520" w:type="dxa"/>
            <w:vMerge w:val="restart"/>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r w:rsidRPr="006F4425">
              <w:rPr>
                <w:rFonts w:ascii="Arial" w:eastAsia="Times New Roman" w:hAnsi="Arial" w:cs="Arial"/>
                <w:color w:val="FFFFFF" w:themeColor="background1"/>
                <w:sz w:val="24"/>
                <w:szCs w:val="24"/>
                <w:lang w:eastAsia="en-GB"/>
              </w:rPr>
              <w:t>Targeted controls, markets and Innovation</w:t>
            </w: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CMI 1</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val="restart"/>
            <w:shd w:val="clear" w:color="auto" w:fill="ED7D31" w:themeFill="accent2"/>
            <w:vAlign w:val="center"/>
          </w:tcPr>
          <w:p w:rsidR="00C600B0"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3</w:t>
            </w:r>
          </w:p>
          <w:p w:rsidR="00C600B0"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4</w:t>
            </w:r>
          </w:p>
          <w:p w:rsidR="00C600B0"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6</w:t>
            </w:r>
          </w:p>
          <w:p w:rsidR="00C600B0"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7</w:t>
            </w:r>
          </w:p>
          <w:p w:rsidR="00C600B0"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8</w:t>
            </w:r>
          </w:p>
          <w:p w:rsidR="00C600B0" w:rsidRPr="006F4425" w:rsidRDefault="00C600B0" w:rsidP="00C600B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9</w:t>
            </w:r>
          </w:p>
        </w:tc>
        <w:tc>
          <w:tcPr>
            <w:tcW w:w="2699" w:type="dxa"/>
            <w:vMerge w:val="restart"/>
            <w:shd w:val="clear" w:color="auto" w:fill="F7CAAC" w:themeFill="accent2" w:themeFillTint="66"/>
            <w:vAlign w:val="center"/>
          </w:tcPr>
          <w:p w:rsidR="00C600B0"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45-54</w:t>
            </w:r>
          </w:p>
          <w:p w:rsidR="00C600B0"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 96</w:t>
            </w:r>
          </w:p>
          <w:p w:rsidR="00C600B0" w:rsidRPr="006F4425"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106-1</w:t>
            </w:r>
            <w:r w:rsidR="0080761E">
              <w:rPr>
                <w:rFonts w:ascii="Arial" w:eastAsia="Times New Roman" w:hAnsi="Arial" w:cs="Arial"/>
                <w:color w:val="000000"/>
                <w:lang w:eastAsia="en-GB"/>
              </w:rPr>
              <w:t>21</w:t>
            </w:r>
          </w:p>
          <w:p w:rsidR="00C600B0"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122-128</w:t>
            </w:r>
          </w:p>
          <w:p w:rsidR="00C600B0"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w:t>
            </w:r>
            <w:r w:rsidR="0080761E">
              <w:rPr>
                <w:rFonts w:ascii="Arial" w:eastAsia="Times New Roman" w:hAnsi="Arial" w:cs="Arial"/>
                <w:color w:val="000000"/>
                <w:lang w:eastAsia="en-GB"/>
              </w:rPr>
              <w:t>30</w:t>
            </w:r>
            <w:r>
              <w:rPr>
                <w:rFonts w:ascii="Arial" w:eastAsia="Times New Roman" w:hAnsi="Arial" w:cs="Arial"/>
                <w:color w:val="000000"/>
                <w:lang w:eastAsia="en-GB"/>
              </w:rPr>
              <w:t>-138</w:t>
            </w:r>
          </w:p>
          <w:p w:rsidR="00C600B0" w:rsidRPr="006F4425" w:rsidRDefault="00C600B0" w:rsidP="0080761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141-15</w:t>
            </w:r>
            <w:r w:rsidR="0080761E">
              <w:rPr>
                <w:rFonts w:ascii="Arial" w:eastAsia="Times New Roman" w:hAnsi="Arial" w:cs="Arial"/>
                <w:color w:val="000000"/>
                <w:lang w:eastAsia="en-GB"/>
              </w:rPr>
              <w:t>3</w:t>
            </w:r>
          </w:p>
        </w:tc>
      </w:tr>
      <w:tr w:rsidR="00C600B0" w:rsidRPr="006F4425" w:rsidTr="00A56318">
        <w:trPr>
          <w:trHeight w:val="340"/>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CMI 2</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C600B0" w:rsidRPr="006F4425" w:rsidTr="00A56318">
        <w:trPr>
          <w:trHeight w:val="340"/>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CMI 3</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C600B0" w:rsidRPr="006F4425" w:rsidTr="00A56318">
        <w:trPr>
          <w:trHeight w:val="340"/>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CMI 5</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83840" behindDoc="0" locked="0" layoutInCell="1" allowOverlap="1" wp14:anchorId="01336546" wp14:editId="2BC0E2A8">
                      <wp:simplePos x="0" y="0"/>
                      <wp:positionH relativeFrom="column">
                        <wp:posOffset>0</wp:posOffset>
                      </wp:positionH>
                      <wp:positionV relativeFrom="paragraph">
                        <wp:posOffset>-17536</wp:posOffset>
                      </wp:positionV>
                      <wp:extent cx="463062" cy="128954"/>
                      <wp:effectExtent l="0" t="19050" r="32385" b="42545"/>
                      <wp:wrapNone/>
                      <wp:docPr id="16" name="Right Arrow 16"/>
                      <wp:cNvGraphicFramePr/>
                      <a:graphic xmlns:a="http://schemas.openxmlformats.org/drawingml/2006/main">
                        <a:graphicData uri="http://schemas.microsoft.com/office/word/2010/wordprocessingShape">
                          <wps:wsp>
                            <wps:cNvSpPr/>
                            <wps:spPr>
                              <a:xfrm>
                                <a:off x="0" y="0"/>
                                <a:ext cx="463062" cy="12895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5280E" id="Right Arrow 16" o:spid="_x0000_s1026" type="#_x0000_t13" style="position:absolute;margin-left:0;margin-top:-1.4pt;width:36.45pt;height:1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" adj="18592" fillcolor="#5b9bd5" strokecolor="#41719c" strokeweight="1pt"/>
                  </w:pict>
                </mc:Fallback>
              </mc:AlternateContent>
            </w: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C600B0" w:rsidRPr="006F4425" w:rsidTr="00A56318">
        <w:trPr>
          <w:trHeight w:val="340"/>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CMI 6</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C600B0" w:rsidRPr="006F4425" w:rsidTr="00A56318">
        <w:trPr>
          <w:trHeight w:val="41"/>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CMI 7</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D00765" w:rsidRPr="006F4425" w:rsidTr="00A56318">
        <w:trPr>
          <w:trHeight w:val="170"/>
        </w:trPr>
        <w:tc>
          <w:tcPr>
            <w:tcW w:w="2520" w:type="dxa"/>
            <w:shd w:val="clear" w:color="auto" w:fill="auto"/>
            <w:vAlign w:val="center"/>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auto"/>
            <w:noWrap/>
          </w:tcPr>
          <w:p w:rsidR="00D00765" w:rsidRPr="006F4425" w:rsidRDefault="00D00765" w:rsidP="00D00765">
            <w:pPr>
              <w:spacing w:after="0" w:line="240" w:lineRule="auto"/>
              <w:rPr>
                <w:rFonts w:ascii="Arial" w:eastAsia="Times New Roman" w:hAnsi="Arial" w:cs="Arial"/>
                <w:color w:val="000000"/>
                <w:sz w:val="16"/>
                <w:szCs w:val="16"/>
                <w:lang w:eastAsia="en-GB"/>
              </w:rPr>
            </w:pP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vAlign w:val="center"/>
          </w:tcPr>
          <w:p w:rsidR="00D00765" w:rsidRPr="006F4425" w:rsidRDefault="00D00765" w:rsidP="00D00765">
            <w:pPr>
              <w:spacing w:after="0" w:line="240" w:lineRule="auto"/>
              <w:jc w:val="center"/>
              <w:rPr>
                <w:rFonts w:ascii="Arial" w:eastAsia="Times New Roman" w:hAnsi="Arial" w:cs="Arial"/>
                <w:color w:val="000000"/>
                <w:lang w:eastAsia="en-GB"/>
              </w:rPr>
            </w:pPr>
          </w:p>
        </w:tc>
        <w:tc>
          <w:tcPr>
            <w:tcW w:w="2699" w:type="dxa"/>
          </w:tcPr>
          <w:p w:rsidR="00D00765" w:rsidRPr="006F4425" w:rsidRDefault="00D00765" w:rsidP="00D00765">
            <w:pPr>
              <w:spacing w:after="0" w:line="240" w:lineRule="auto"/>
              <w:rPr>
                <w:rFonts w:ascii="Arial" w:eastAsia="Times New Roman" w:hAnsi="Arial" w:cs="Arial"/>
                <w:color w:val="000000"/>
                <w:lang w:eastAsia="en-GB"/>
              </w:rPr>
            </w:pPr>
          </w:p>
        </w:tc>
      </w:tr>
      <w:tr w:rsidR="00A56318" w:rsidRPr="006F4425" w:rsidTr="00A56318">
        <w:trPr>
          <w:trHeight w:val="311"/>
        </w:trPr>
        <w:tc>
          <w:tcPr>
            <w:tcW w:w="2520" w:type="dxa"/>
            <w:vMerge w:val="restart"/>
            <w:shd w:val="clear" w:color="auto" w:fill="0070C0"/>
            <w:vAlign w:val="center"/>
            <w:hideMark/>
          </w:tcPr>
          <w:p w:rsidR="00A56318" w:rsidRPr="006F4425" w:rsidRDefault="00A56318" w:rsidP="00D00765">
            <w:pPr>
              <w:spacing w:after="0" w:line="240" w:lineRule="auto"/>
              <w:jc w:val="center"/>
              <w:rPr>
                <w:rFonts w:ascii="Arial" w:eastAsia="Times New Roman" w:hAnsi="Arial" w:cs="Arial"/>
                <w:color w:val="FFFFFF" w:themeColor="background1"/>
                <w:sz w:val="24"/>
                <w:szCs w:val="24"/>
                <w:lang w:eastAsia="en-GB"/>
              </w:rPr>
            </w:pPr>
            <w:r w:rsidRPr="006F4425">
              <w:rPr>
                <w:rFonts w:ascii="Arial" w:eastAsia="Times New Roman" w:hAnsi="Arial" w:cs="Arial"/>
                <w:color w:val="FFFFFF" w:themeColor="background1"/>
                <w:sz w:val="24"/>
                <w:szCs w:val="24"/>
                <w:lang w:eastAsia="en-GB"/>
              </w:rPr>
              <w:t>Securing cost efficiency</w:t>
            </w:r>
          </w:p>
        </w:tc>
        <w:tc>
          <w:tcPr>
            <w:tcW w:w="960" w:type="dxa"/>
            <w:shd w:val="clear" w:color="auto" w:fill="9CC2E5" w:themeFill="accent1" w:themeFillTint="99"/>
            <w:noWrap/>
            <w:hideMark/>
          </w:tcPr>
          <w:p w:rsidR="00A56318" w:rsidRPr="006F4425" w:rsidRDefault="00A56318"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CE 1</w:t>
            </w:r>
          </w:p>
        </w:tc>
        <w:tc>
          <w:tcPr>
            <w:tcW w:w="960" w:type="dxa"/>
          </w:tcPr>
          <w:p w:rsidR="00A56318" w:rsidRPr="006F4425" w:rsidRDefault="00A56318" w:rsidP="00D00765">
            <w:pPr>
              <w:spacing w:after="0" w:line="240" w:lineRule="auto"/>
              <w:rPr>
                <w:rFonts w:ascii="Arial" w:eastAsia="Times New Roman" w:hAnsi="Arial" w:cs="Arial"/>
                <w:color w:val="000000"/>
                <w:lang w:eastAsia="en-GB"/>
              </w:rPr>
            </w:pPr>
          </w:p>
        </w:tc>
        <w:tc>
          <w:tcPr>
            <w:tcW w:w="2359" w:type="dxa"/>
            <w:vMerge w:val="restart"/>
            <w:shd w:val="clear" w:color="auto" w:fill="ED7D31" w:themeFill="accent2"/>
            <w:vAlign w:val="center"/>
          </w:tcPr>
          <w:p w:rsidR="00A56318" w:rsidRDefault="00A56318"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8</w:t>
            </w:r>
          </w:p>
          <w:p w:rsidR="00A56318" w:rsidRPr="006F4425" w:rsidRDefault="00A56318"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9</w:t>
            </w:r>
          </w:p>
        </w:tc>
        <w:tc>
          <w:tcPr>
            <w:tcW w:w="2699" w:type="dxa"/>
            <w:vMerge w:val="restart"/>
            <w:shd w:val="clear" w:color="auto" w:fill="F7CAAC" w:themeFill="accent2" w:themeFillTint="66"/>
            <w:vAlign w:val="center"/>
          </w:tcPr>
          <w:p w:rsidR="00A56318" w:rsidRDefault="00A56318" w:rsidP="00A56318">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w:t>
            </w:r>
            <w:r w:rsidR="0080761E">
              <w:rPr>
                <w:rFonts w:ascii="Arial" w:eastAsia="Times New Roman" w:hAnsi="Arial" w:cs="Arial"/>
                <w:color w:val="000000"/>
                <w:lang w:eastAsia="en-GB"/>
              </w:rPr>
              <w:t>30</w:t>
            </w:r>
            <w:r>
              <w:rPr>
                <w:rFonts w:ascii="Arial" w:eastAsia="Times New Roman" w:hAnsi="Arial" w:cs="Arial"/>
                <w:color w:val="000000"/>
                <w:lang w:eastAsia="en-GB"/>
              </w:rPr>
              <w:t>-13</w:t>
            </w:r>
            <w:r w:rsidR="0080761E">
              <w:rPr>
                <w:rFonts w:ascii="Arial" w:eastAsia="Times New Roman" w:hAnsi="Arial" w:cs="Arial"/>
                <w:color w:val="000000"/>
                <w:lang w:eastAsia="en-GB"/>
              </w:rPr>
              <w:t>7</w:t>
            </w:r>
          </w:p>
          <w:p w:rsidR="00A56318" w:rsidRPr="006F4425" w:rsidRDefault="00A56318" w:rsidP="00A56318">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141-152</w:t>
            </w:r>
          </w:p>
        </w:tc>
      </w:tr>
      <w:tr w:rsidR="00A56318" w:rsidRPr="006F4425" w:rsidTr="00A56318">
        <w:trPr>
          <w:trHeight w:val="311"/>
        </w:trPr>
        <w:tc>
          <w:tcPr>
            <w:tcW w:w="2520" w:type="dxa"/>
            <w:vMerge/>
            <w:shd w:val="clear" w:color="auto" w:fill="0070C0"/>
            <w:vAlign w:val="center"/>
            <w:hideMark/>
          </w:tcPr>
          <w:p w:rsidR="00A56318" w:rsidRPr="006F4425" w:rsidRDefault="00A56318"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A56318" w:rsidRPr="006F4425" w:rsidRDefault="00A56318"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CE 3</w:t>
            </w:r>
          </w:p>
        </w:tc>
        <w:tc>
          <w:tcPr>
            <w:tcW w:w="960" w:type="dxa"/>
          </w:tcPr>
          <w:p w:rsidR="00A56318" w:rsidRPr="006F4425" w:rsidRDefault="00A56318" w:rsidP="00D00765">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94080" behindDoc="0" locked="0" layoutInCell="1" allowOverlap="1" wp14:anchorId="7F67643E" wp14:editId="3C7DA180">
                      <wp:simplePos x="0" y="0"/>
                      <wp:positionH relativeFrom="column">
                        <wp:posOffset>0</wp:posOffset>
                      </wp:positionH>
                      <wp:positionV relativeFrom="paragraph">
                        <wp:posOffset>22225</wp:posOffset>
                      </wp:positionV>
                      <wp:extent cx="463062" cy="128954"/>
                      <wp:effectExtent l="0" t="19050" r="32385" b="42545"/>
                      <wp:wrapNone/>
                      <wp:docPr id="17" name="Right Arrow 17"/>
                      <wp:cNvGraphicFramePr/>
                      <a:graphic xmlns:a="http://schemas.openxmlformats.org/drawingml/2006/main">
                        <a:graphicData uri="http://schemas.microsoft.com/office/word/2010/wordprocessingShape">
                          <wps:wsp>
                            <wps:cNvSpPr/>
                            <wps:spPr>
                              <a:xfrm>
                                <a:off x="0" y="0"/>
                                <a:ext cx="463062" cy="12895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96E3B" id="Right Arrow 17" o:spid="_x0000_s1026" type="#_x0000_t13" style="position:absolute;margin-left:0;margin-top:1.75pt;width:36.45pt;height:10.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" adj="18592" fillcolor="#5b9bd5" strokecolor="#41719c" strokeweight="1pt"/>
                  </w:pict>
                </mc:Fallback>
              </mc:AlternateContent>
            </w:r>
          </w:p>
        </w:tc>
        <w:tc>
          <w:tcPr>
            <w:tcW w:w="2359" w:type="dxa"/>
            <w:vMerge/>
            <w:shd w:val="clear" w:color="auto" w:fill="ED7D31" w:themeFill="accent2"/>
            <w:vAlign w:val="center"/>
          </w:tcPr>
          <w:p w:rsidR="00A56318" w:rsidRPr="006F4425" w:rsidRDefault="00A56318"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A56318" w:rsidRPr="006F4425" w:rsidRDefault="00A56318" w:rsidP="00D00765">
            <w:pPr>
              <w:spacing w:after="0" w:line="240" w:lineRule="auto"/>
              <w:rPr>
                <w:rFonts w:ascii="Arial" w:eastAsia="Times New Roman" w:hAnsi="Arial" w:cs="Arial"/>
                <w:color w:val="000000"/>
                <w:lang w:eastAsia="en-GB"/>
              </w:rPr>
            </w:pPr>
          </w:p>
        </w:tc>
      </w:tr>
      <w:tr w:rsidR="00A56318" w:rsidRPr="006F4425" w:rsidTr="00A56318">
        <w:trPr>
          <w:trHeight w:val="311"/>
        </w:trPr>
        <w:tc>
          <w:tcPr>
            <w:tcW w:w="2520" w:type="dxa"/>
            <w:vMerge/>
            <w:shd w:val="clear" w:color="auto" w:fill="0070C0"/>
            <w:vAlign w:val="center"/>
            <w:hideMark/>
          </w:tcPr>
          <w:p w:rsidR="00A56318" w:rsidRPr="006F4425" w:rsidRDefault="00A56318"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A56318" w:rsidRPr="006F4425" w:rsidRDefault="00A56318"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CE 4</w:t>
            </w:r>
          </w:p>
        </w:tc>
        <w:tc>
          <w:tcPr>
            <w:tcW w:w="960" w:type="dxa"/>
          </w:tcPr>
          <w:p w:rsidR="00A56318" w:rsidRPr="006F4425" w:rsidRDefault="00A56318"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A56318" w:rsidRPr="006F4425" w:rsidRDefault="00A56318"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A56318" w:rsidRPr="006F4425" w:rsidRDefault="00A56318" w:rsidP="00D00765">
            <w:pPr>
              <w:spacing w:after="0" w:line="240" w:lineRule="auto"/>
              <w:rPr>
                <w:rFonts w:ascii="Arial" w:eastAsia="Times New Roman" w:hAnsi="Arial" w:cs="Arial"/>
                <w:color w:val="000000"/>
                <w:lang w:eastAsia="en-GB"/>
              </w:rPr>
            </w:pPr>
          </w:p>
        </w:tc>
      </w:tr>
      <w:tr w:rsidR="00D00765" w:rsidRPr="006F4425" w:rsidTr="00A56318">
        <w:trPr>
          <w:trHeight w:val="170"/>
        </w:trPr>
        <w:tc>
          <w:tcPr>
            <w:tcW w:w="2520" w:type="dxa"/>
            <w:shd w:val="clear" w:color="auto" w:fill="auto"/>
            <w:vAlign w:val="center"/>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auto"/>
            <w:noWrap/>
          </w:tcPr>
          <w:p w:rsidR="00D00765" w:rsidRPr="006F4425" w:rsidRDefault="00D00765" w:rsidP="00D00765">
            <w:pPr>
              <w:spacing w:after="0" w:line="240" w:lineRule="auto"/>
              <w:rPr>
                <w:rFonts w:ascii="Arial" w:eastAsia="Times New Roman" w:hAnsi="Arial" w:cs="Arial"/>
                <w:color w:val="000000"/>
                <w:sz w:val="16"/>
                <w:szCs w:val="16"/>
                <w:lang w:eastAsia="en-GB"/>
              </w:rPr>
            </w:pP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vAlign w:val="center"/>
          </w:tcPr>
          <w:p w:rsidR="00D00765" w:rsidRPr="006F4425" w:rsidRDefault="00D00765" w:rsidP="00D00765">
            <w:pPr>
              <w:spacing w:after="0" w:line="240" w:lineRule="auto"/>
              <w:jc w:val="center"/>
              <w:rPr>
                <w:rFonts w:ascii="Arial" w:eastAsia="Times New Roman" w:hAnsi="Arial" w:cs="Arial"/>
                <w:color w:val="000000"/>
                <w:lang w:eastAsia="en-GB"/>
              </w:rPr>
            </w:pPr>
          </w:p>
        </w:tc>
        <w:tc>
          <w:tcPr>
            <w:tcW w:w="2699" w:type="dxa"/>
          </w:tcPr>
          <w:p w:rsidR="00D00765" w:rsidRPr="006F4425" w:rsidRDefault="00D00765" w:rsidP="00D00765">
            <w:pPr>
              <w:spacing w:after="0" w:line="240" w:lineRule="auto"/>
              <w:rPr>
                <w:rFonts w:ascii="Arial" w:eastAsia="Times New Roman" w:hAnsi="Arial" w:cs="Arial"/>
                <w:color w:val="000000"/>
                <w:lang w:eastAsia="en-GB"/>
              </w:rPr>
            </w:pPr>
          </w:p>
        </w:tc>
      </w:tr>
      <w:tr w:rsidR="00C600B0" w:rsidRPr="006F4425" w:rsidTr="00A56318">
        <w:trPr>
          <w:trHeight w:val="318"/>
        </w:trPr>
        <w:tc>
          <w:tcPr>
            <w:tcW w:w="2520" w:type="dxa"/>
            <w:vMerge w:val="restart"/>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r w:rsidRPr="006F4425">
              <w:rPr>
                <w:rFonts w:ascii="Arial" w:eastAsia="Times New Roman" w:hAnsi="Arial" w:cs="Arial"/>
                <w:color w:val="FFFFFF" w:themeColor="background1"/>
                <w:sz w:val="24"/>
                <w:szCs w:val="24"/>
                <w:lang w:eastAsia="en-GB"/>
              </w:rPr>
              <w:t>Aligning risk and return</w:t>
            </w: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RR 1</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val="restart"/>
            <w:shd w:val="clear" w:color="auto" w:fill="ED7D31" w:themeFill="accent2"/>
            <w:vAlign w:val="center"/>
          </w:tcPr>
          <w:p w:rsidR="00C600B0" w:rsidRDefault="00C600B0"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10</w:t>
            </w:r>
          </w:p>
          <w:p w:rsidR="00C600B0" w:rsidRDefault="00C600B0"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11</w:t>
            </w:r>
          </w:p>
          <w:p w:rsidR="00C600B0" w:rsidRPr="00D7642B" w:rsidRDefault="00C600B0" w:rsidP="00D00765">
            <w:pPr>
              <w:spacing w:after="0" w:line="240" w:lineRule="auto"/>
              <w:jc w:val="center"/>
              <w:rPr>
                <w:rFonts w:ascii="Arial" w:eastAsia="Times New Roman" w:hAnsi="Arial" w:cs="Arial"/>
                <w:i/>
                <w:color w:val="000000"/>
                <w:lang w:eastAsia="en-GB"/>
              </w:rPr>
            </w:pPr>
            <w:r w:rsidRPr="00D7642B">
              <w:rPr>
                <w:rFonts w:ascii="Arial" w:eastAsia="Times New Roman" w:hAnsi="Arial" w:cs="Arial"/>
                <w:i/>
                <w:color w:val="000000"/>
                <w:lang w:eastAsia="en-GB"/>
              </w:rPr>
              <w:t>Board Assurance Statement</w:t>
            </w:r>
          </w:p>
        </w:tc>
        <w:tc>
          <w:tcPr>
            <w:tcW w:w="2699" w:type="dxa"/>
            <w:vMerge w:val="restart"/>
            <w:shd w:val="clear" w:color="auto" w:fill="F7CAAC" w:themeFill="accent2" w:themeFillTint="66"/>
            <w:vAlign w:val="center"/>
          </w:tcPr>
          <w:p w:rsidR="00C600B0"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w:t>
            </w:r>
            <w:r w:rsidR="003B1B26">
              <w:rPr>
                <w:rFonts w:ascii="Arial" w:eastAsia="Times New Roman" w:hAnsi="Arial" w:cs="Arial"/>
                <w:color w:val="000000"/>
                <w:lang w:eastAsia="en-GB"/>
              </w:rPr>
              <w:t>s</w:t>
            </w:r>
            <w:r>
              <w:rPr>
                <w:rFonts w:ascii="Arial" w:eastAsia="Times New Roman" w:hAnsi="Arial" w:cs="Arial"/>
                <w:color w:val="000000"/>
                <w:lang w:eastAsia="en-GB"/>
              </w:rPr>
              <w:t xml:space="preserve"> </w:t>
            </w:r>
            <w:r w:rsidR="003B1B26">
              <w:rPr>
                <w:rFonts w:ascii="Arial" w:eastAsia="Times New Roman" w:hAnsi="Arial" w:cs="Arial"/>
                <w:color w:val="000000"/>
                <w:lang w:eastAsia="en-GB"/>
              </w:rPr>
              <w:t>155-</w:t>
            </w:r>
            <w:r>
              <w:rPr>
                <w:rFonts w:ascii="Arial" w:eastAsia="Times New Roman" w:hAnsi="Arial" w:cs="Arial"/>
                <w:color w:val="000000"/>
                <w:lang w:eastAsia="en-GB"/>
              </w:rPr>
              <w:t>167</w:t>
            </w:r>
          </w:p>
          <w:p w:rsidR="00C600B0"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w:t>
            </w:r>
            <w:r w:rsidR="003B1B26">
              <w:rPr>
                <w:rFonts w:ascii="Arial" w:eastAsia="Times New Roman" w:hAnsi="Arial" w:cs="Arial"/>
                <w:color w:val="000000"/>
                <w:lang w:eastAsia="en-GB"/>
              </w:rPr>
              <w:t>68</w:t>
            </w:r>
            <w:r>
              <w:rPr>
                <w:rFonts w:ascii="Arial" w:eastAsia="Times New Roman" w:hAnsi="Arial" w:cs="Arial"/>
                <w:color w:val="000000"/>
                <w:lang w:eastAsia="en-GB"/>
              </w:rPr>
              <w:t>-18</w:t>
            </w:r>
            <w:r w:rsidR="003B1B26">
              <w:rPr>
                <w:rFonts w:ascii="Arial" w:eastAsia="Times New Roman" w:hAnsi="Arial" w:cs="Arial"/>
                <w:color w:val="000000"/>
                <w:lang w:eastAsia="en-GB"/>
              </w:rPr>
              <w:t>3</w:t>
            </w:r>
          </w:p>
          <w:p w:rsidR="00C600B0" w:rsidRDefault="00C600B0" w:rsidP="00C600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8-9</w:t>
            </w:r>
          </w:p>
          <w:p w:rsidR="0080761E" w:rsidRPr="006F4425" w:rsidRDefault="0080761E" w:rsidP="00C600B0">
            <w:pPr>
              <w:spacing w:after="0" w:line="240" w:lineRule="auto"/>
              <w:rPr>
                <w:rFonts w:ascii="Arial" w:eastAsia="Times New Roman" w:hAnsi="Arial" w:cs="Arial"/>
                <w:color w:val="000000"/>
                <w:lang w:eastAsia="en-GB"/>
              </w:rPr>
            </w:pPr>
          </w:p>
        </w:tc>
      </w:tr>
      <w:tr w:rsidR="00C600B0" w:rsidRPr="006F4425" w:rsidTr="00A56318">
        <w:trPr>
          <w:trHeight w:val="318"/>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RR 2</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85888" behindDoc="0" locked="0" layoutInCell="1" allowOverlap="1" wp14:anchorId="4A52F7BE" wp14:editId="6BF7071E">
                      <wp:simplePos x="0" y="0"/>
                      <wp:positionH relativeFrom="column">
                        <wp:posOffset>0</wp:posOffset>
                      </wp:positionH>
                      <wp:positionV relativeFrom="paragraph">
                        <wp:posOffset>107608</wp:posOffset>
                      </wp:positionV>
                      <wp:extent cx="463062" cy="128954"/>
                      <wp:effectExtent l="0" t="19050" r="32385" b="42545"/>
                      <wp:wrapNone/>
                      <wp:docPr id="18" name="Right Arrow 18"/>
                      <wp:cNvGraphicFramePr/>
                      <a:graphic xmlns:a="http://schemas.openxmlformats.org/drawingml/2006/main">
                        <a:graphicData uri="http://schemas.microsoft.com/office/word/2010/wordprocessingShape">
                          <wps:wsp>
                            <wps:cNvSpPr/>
                            <wps:spPr>
                              <a:xfrm>
                                <a:off x="0" y="0"/>
                                <a:ext cx="463062" cy="12895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FA090" id="Right Arrow 18" o:spid="_x0000_s1026" type="#_x0000_t13" style="position:absolute;margin-left:0;margin-top:8.45pt;width:36.45pt;height:10.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" adj="18592" fillcolor="#5b9bd5" strokecolor="#41719c" strokeweight="1pt"/>
                  </w:pict>
                </mc:Fallback>
              </mc:AlternateContent>
            </w: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C600B0" w:rsidRPr="006F4425" w:rsidTr="00A56318">
        <w:trPr>
          <w:trHeight w:val="318"/>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RR 3</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C600B0" w:rsidRPr="006F4425" w:rsidTr="00A56318">
        <w:trPr>
          <w:trHeight w:val="318"/>
        </w:trPr>
        <w:tc>
          <w:tcPr>
            <w:tcW w:w="2520" w:type="dxa"/>
            <w:vMerge/>
            <w:shd w:val="clear" w:color="auto" w:fill="0070C0"/>
            <w:vAlign w:val="center"/>
            <w:hideMark/>
          </w:tcPr>
          <w:p w:rsidR="00C600B0" w:rsidRPr="006F4425" w:rsidRDefault="00C600B0"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C600B0" w:rsidRPr="006F4425" w:rsidRDefault="00C600B0"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RR 4</w:t>
            </w:r>
          </w:p>
        </w:tc>
        <w:tc>
          <w:tcPr>
            <w:tcW w:w="960" w:type="dxa"/>
          </w:tcPr>
          <w:p w:rsidR="00C600B0" w:rsidRPr="006F4425" w:rsidRDefault="00C600B0"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vAlign w:val="center"/>
          </w:tcPr>
          <w:p w:rsidR="00C600B0" w:rsidRPr="006F4425" w:rsidRDefault="00C600B0" w:rsidP="00D00765">
            <w:pPr>
              <w:spacing w:after="0" w:line="240" w:lineRule="auto"/>
              <w:jc w:val="center"/>
              <w:rPr>
                <w:rFonts w:ascii="Arial" w:eastAsia="Times New Roman" w:hAnsi="Arial" w:cs="Arial"/>
                <w:color w:val="000000"/>
                <w:lang w:eastAsia="en-GB"/>
              </w:rPr>
            </w:pPr>
          </w:p>
        </w:tc>
        <w:tc>
          <w:tcPr>
            <w:tcW w:w="2699" w:type="dxa"/>
            <w:vMerge/>
            <w:shd w:val="clear" w:color="auto" w:fill="F7CAAC" w:themeFill="accent2" w:themeFillTint="66"/>
          </w:tcPr>
          <w:p w:rsidR="00C600B0" w:rsidRPr="006F4425" w:rsidRDefault="00C600B0" w:rsidP="00D00765">
            <w:pPr>
              <w:spacing w:after="0" w:line="240" w:lineRule="auto"/>
              <w:rPr>
                <w:rFonts w:ascii="Arial" w:eastAsia="Times New Roman" w:hAnsi="Arial" w:cs="Arial"/>
                <w:color w:val="000000"/>
                <w:lang w:eastAsia="en-GB"/>
              </w:rPr>
            </w:pPr>
          </w:p>
        </w:tc>
      </w:tr>
      <w:tr w:rsidR="00D00765" w:rsidRPr="006F4425" w:rsidTr="00A56318">
        <w:trPr>
          <w:trHeight w:val="227"/>
        </w:trPr>
        <w:tc>
          <w:tcPr>
            <w:tcW w:w="2520" w:type="dxa"/>
            <w:shd w:val="clear" w:color="auto" w:fill="auto"/>
            <w:vAlign w:val="center"/>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auto"/>
            <w:noWrap/>
          </w:tcPr>
          <w:p w:rsidR="00D00765" w:rsidRPr="006F4425" w:rsidRDefault="00D00765" w:rsidP="00D00765">
            <w:pPr>
              <w:spacing w:after="0" w:line="240" w:lineRule="auto"/>
              <w:rPr>
                <w:rFonts w:ascii="Arial" w:eastAsia="Times New Roman" w:hAnsi="Arial" w:cs="Arial"/>
                <w:color w:val="000000"/>
                <w:sz w:val="16"/>
                <w:szCs w:val="16"/>
                <w:lang w:eastAsia="en-GB"/>
              </w:rPr>
            </w:pP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vAlign w:val="center"/>
          </w:tcPr>
          <w:p w:rsidR="00D00765" w:rsidRPr="006F4425" w:rsidRDefault="00D00765" w:rsidP="00D00765">
            <w:pPr>
              <w:spacing w:after="0" w:line="240" w:lineRule="auto"/>
              <w:jc w:val="center"/>
              <w:rPr>
                <w:rFonts w:ascii="Arial" w:eastAsia="Times New Roman" w:hAnsi="Arial" w:cs="Arial"/>
                <w:color w:val="000000"/>
                <w:lang w:eastAsia="en-GB"/>
              </w:rPr>
            </w:pPr>
          </w:p>
        </w:tc>
        <w:tc>
          <w:tcPr>
            <w:tcW w:w="2699" w:type="dxa"/>
          </w:tcPr>
          <w:p w:rsidR="00D00765" w:rsidRPr="006F4425" w:rsidRDefault="00D00765" w:rsidP="00D00765">
            <w:pPr>
              <w:spacing w:after="0" w:line="240" w:lineRule="auto"/>
              <w:rPr>
                <w:rFonts w:ascii="Arial" w:eastAsia="Times New Roman" w:hAnsi="Arial" w:cs="Arial"/>
                <w:color w:val="000000"/>
                <w:lang w:eastAsia="en-GB"/>
              </w:rPr>
            </w:pPr>
          </w:p>
        </w:tc>
      </w:tr>
      <w:tr w:rsidR="00D7642B" w:rsidRPr="006F4425" w:rsidTr="00A56318">
        <w:trPr>
          <w:trHeight w:val="340"/>
        </w:trPr>
        <w:tc>
          <w:tcPr>
            <w:tcW w:w="2520" w:type="dxa"/>
            <w:vMerge w:val="restart"/>
            <w:shd w:val="clear" w:color="auto" w:fill="0070C0"/>
            <w:vAlign w:val="center"/>
            <w:hideMark/>
          </w:tcPr>
          <w:p w:rsidR="00D7642B" w:rsidRPr="006F4425" w:rsidRDefault="00D7642B" w:rsidP="00D00765">
            <w:pPr>
              <w:spacing w:after="0" w:line="240" w:lineRule="auto"/>
              <w:jc w:val="center"/>
              <w:rPr>
                <w:rFonts w:ascii="Arial" w:eastAsia="Times New Roman" w:hAnsi="Arial" w:cs="Arial"/>
                <w:color w:val="FFFFFF" w:themeColor="background1"/>
                <w:sz w:val="24"/>
                <w:szCs w:val="24"/>
                <w:lang w:eastAsia="en-GB"/>
              </w:rPr>
            </w:pPr>
            <w:r w:rsidRPr="006F4425">
              <w:rPr>
                <w:rFonts w:ascii="Arial" w:eastAsia="Times New Roman" w:hAnsi="Arial" w:cs="Arial"/>
                <w:color w:val="FFFFFF" w:themeColor="background1"/>
                <w:sz w:val="24"/>
                <w:szCs w:val="24"/>
                <w:lang w:eastAsia="en-GB"/>
              </w:rPr>
              <w:t>Accounting for past delivery</w:t>
            </w:r>
          </w:p>
        </w:tc>
        <w:tc>
          <w:tcPr>
            <w:tcW w:w="960" w:type="dxa"/>
            <w:shd w:val="clear" w:color="auto" w:fill="9CC2E5" w:themeFill="accent1" w:themeFillTint="99"/>
            <w:noWrap/>
            <w:hideMark/>
          </w:tcPr>
          <w:p w:rsidR="00D7642B" w:rsidRPr="006F4425" w:rsidRDefault="00D7642B"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PD 1</w:t>
            </w:r>
          </w:p>
        </w:tc>
        <w:tc>
          <w:tcPr>
            <w:tcW w:w="960" w:type="dxa"/>
          </w:tcPr>
          <w:p w:rsidR="00D7642B" w:rsidRPr="006F4425" w:rsidRDefault="00D7642B" w:rsidP="00D00765">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87936" behindDoc="0" locked="0" layoutInCell="1" allowOverlap="1" wp14:anchorId="29DFD874" wp14:editId="0B7FA2F9">
                      <wp:simplePos x="0" y="0"/>
                      <wp:positionH relativeFrom="column">
                        <wp:posOffset>0</wp:posOffset>
                      </wp:positionH>
                      <wp:positionV relativeFrom="paragraph">
                        <wp:posOffset>152400</wp:posOffset>
                      </wp:positionV>
                      <wp:extent cx="463062" cy="128954"/>
                      <wp:effectExtent l="0" t="19050" r="32385" b="42545"/>
                      <wp:wrapNone/>
                      <wp:docPr id="19" name="Right Arrow 19"/>
                      <wp:cNvGraphicFramePr/>
                      <a:graphic xmlns:a="http://schemas.openxmlformats.org/drawingml/2006/main">
                        <a:graphicData uri="http://schemas.microsoft.com/office/word/2010/wordprocessingShape">
                          <wps:wsp>
                            <wps:cNvSpPr/>
                            <wps:spPr>
                              <a:xfrm>
                                <a:off x="0" y="0"/>
                                <a:ext cx="463062" cy="12895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73550" id="Right Arrow 19" o:spid="_x0000_s1026" type="#_x0000_t13" style="position:absolute;margin-left:0;margin-top:12pt;width:36.45pt;height:10.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" adj="18592" fillcolor="#5b9bd5" strokecolor="#41719c" strokeweight="1pt"/>
                  </w:pict>
                </mc:Fallback>
              </mc:AlternateContent>
            </w:r>
          </w:p>
        </w:tc>
        <w:tc>
          <w:tcPr>
            <w:tcW w:w="2359" w:type="dxa"/>
            <w:vMerge w:val="restart"/>
            <w:shd w:val="clear" w:color="auto" w:fill="ED7D31" w:themeFill="accent2"/>
            <w:vAlign w:val="center"/>
          </w:tcPr>
          <w:p w:rsidR="00D7642B" w:rsidRPr="006F4425" w:rsidRDefault="00D7642B"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12</w:t>
            </w:r>
          </w:p>
        </w:tc>
        <w:tc>
          <w:tcPr>
            <w:tcW w:w="2699" w:type="dxa"/>
            <w:vMerge w:val="restart"/>
            <w:shd w:val="clear" w:color="auto" w:fill="F7CAAC" w:themeFill="accent2" w:themeFillTint="66"/>
            <w:vAlign w:val="center"/>
          </w:tcPr>
          <w:p w:rsidR="00D7642B" w:rsidRPr="006F4425" w:rsidRDefault="00D7642B" w:rsidP="0080761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184-19</w:t>
            </w:r>
            <w:r w:rsidR="0080761E">
              <w:rPr>
                <w:rFonts w:ascii="Arial" w:eastAsia="Times New Roman" w:hAnsi="Arial" w:cs="Arial"/>
                <w:color w:val="000000"/>
                <w:lang w:eastAsia="en-GB"/>
              </w:rPr>
              <w:t>6</w:t>
            </w:r>
          </w:p>
        </w:tc>
      </w:tr>
      <w:tr w:rsidR="00D7642B" w:rsidRPr="006F4425" w:rsidTr="0080761E">
        <w:trPr>
          <w:trHeight w:val="433"/>
        </w:trPr>
        <w:tc>
          <w:tcPr>
            <w:tcW w:w="2520" w:type="dxa"/>
            <w:vMerge/>
            <w:shd w:val="clear" w:color="auto" w:fill="0070C0"/>
            <w:vAlign w:val="center"/>
            <w:hideMark/>
          </w:tcPr>
          <w:p w:rsidR="00D7642B" w:rsidRPr="006F4425" w:rsidRDefault="00D7642B"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9CC2E5" w:themeFill="accent1" w:themeFillTint="99"/>
            <w:noWrap/>
            <w:hideMark/>
          </w:tcPr>
          <w:p w:rsidR="00D7642B" w:rsidRPr="006F4425" w:rsidRDefault="00D7642B"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PD 2</w:t>
            </w:r>
          </w:p>
        </w:tc>
        <w:tc>
          <w:tcPr>
            <w:tcW w:w="960" w:type="dxa"/>
          </w:tcPr>
          <w:p w:rsidR="00D7642B" w:rsidRPr="006F4425" w:rsidRDefault="00D7642B"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tcPr>
          <w:p w:rsidR="00D7642B" w:rsidRPr="006F4425" w:rsidRDefault="00D7642B" w:rsidP="00D00765">
            <w:pPr>
              <w:spacing w:after="0" w:line="240" w:lineRule="auto"/>
              <w:rPr>
                <w:rFonts w:ascii="Arial" w:eastAsia="Times New Roman" w:hAnsi="Arial" w:cs="Arial"/>
                <w:color w:val="000000"/>
                <w:lang w:eastAsia="en-GB"/>
              </w:rPr>
            </w:pPr>
          </w:p>
        </w:tc>
        <w:tc>
          <w:tcPr>
            <w:tcW w:w="2699" w:type="dxa"/>
            <w:vMerge/>
            <w:shd w:val="clear" w:color="auto" w:fill="F7CAAC" w:themeFill="accent2" w:themeFillTint="66"/>
          </w:tcPr>
          <w:p w:rsidR="00D7642B" w:rsidRPr="006F4425" w:rsidRDefault="00D7642B" w:rsidP="00D00765">
            <w:pPr>
              <w:spacing w:after="0" w:line="240" w:lineRule="auto"/>
              <w:rPr>
                <w:rFonts w:ascii="Arial" w:eastAsia="Times New Roman" w:hAnsi="Arial" w:cs="Arial"/>
                <w:color w:val="000000"/>
                <w:lang w:eastAsia="en-GB"/>
              </w:rPr>
            </w:pPr>
          </w:p>
        </w:tc>
      </w:tr>
      <w:tr w:rsidR="00D00765" w:rsidRPr="006F4425" w:rsidTr="00A56318">
        <w:trPr>
          <w:trHeight w:val="20"/>
        </w:trPr>
        <w:tc>
          <w:tcPr>
            <w:tcW w:w="2520" w:type="dxa"/>
            <w:shd w:val="clear" w:color="auto" w:fill="auto"/>
            <w:vAlign w:val="center"/>
          </w:tcPr>
          <w:p w:rsidR="00D00765" w:rsidRPr="006F4425" w:rsidRDefault="00D00765" w:rsidP="00D00765">
            <w:pPr>
              <w:spacing w:after="0" w:line="240" w:lineRule="auto"/>
              <w:jc w:val="center"/>
              <w:rPr>
                <w:rFonts w:ascii="Arial" w:eastAsia="Times New Roman" w:hAnsi="Arial" w:cs="Arial"/>
                <w:color w:val="FFFFFF" w:themeColor="background1"/>
                <w:sz w:val="24"/>
                <w:szCs w:val="24"/>
                <w:lang w:eastAsia="en-GB"/>
              </w:rPr>
            </w:pPr>
          </w:p>
        </w:tc>
        <w:tc>
          <w:tcPr>
            <w:tcW w:w="960" w:type="dxa"/>
            <w:shd w:val="clear" w:color="auto" w:fill="auto"/>
            <w:noWrap/>
          </w:tcPr>
          <w:p w:rsidR="00D00765" w:rsidRPr="006F4425" w:rsidRDefault="00D00765" w:rsidP="00D00765">
            <w:pPr>
              <w:spacing w:after="0" w:line="240" w:lineRule="auto"/>
              <w:rPr>
                <w:rFonts w:ascii="Arial" w:eastAsia="Times New Roman" w:hAnsi="Arial" w:cs="Arial"/>
                <w:color w:val="000000"/>
                <w:sz w:val="16"/>
                <w:szCs w:val="16"/>
                <w:lang w:eastAsia="en-GB"/>
              </w:rPr>
            </w:pP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tcPr>
          <w:p w:rsidR="00D00765" w:rsidRPr="006F4425" w:rsidRDefault="00D00765" w:rsidP="00D00765">
            <w:pPr>
              <w:spacing w:after="0" w:line="240" w:lineRule="auto"/>
              <w:rPr>
                <w:rFonts w:ascii="Arial" w:eastAsia="Times New Roman" w:hAnsi="Arial" w:cs="Arial"/>
                <w:color w:val="000000"/>
                <w:lang w:eastAsia="en-GB"/>
              </w:rPr>
            </w:pPr>
          </w:p>
        </w:tc>
        <w:tc>
          <w:tcPr>
            <w:tcW w:w="2699" w:type="dxa"/>
          </w:tcPr>
          <w:p w:rsidR="00D00765" w:rsidRPr="006F4425" w:rsidRDefault="00D00765" w:rsidP="00D00765">
            <w:pPr>
              <w:spacing w:after="0" w:line="240" w:lineRule="auto"/>
              <w:rPr>
                <w:rFonts w:ascii="Arial" w:eastAsia="Times New Roman" w:hAnsi="Arial" w:cs="Arial"/>
                <w:color w:val="000000"/>
                <w:lang w:eastAsia="en-GB"/>
              </w:rPr>
            </w:pPr>
          </w:p>
        </w:tc>
      </w:tr>
      <w:tr w:rsidR="00D7642B" w:rsidRPr="006F4425" w:rsidTr="00A56318">
        <w:trPr>
          <w:trHeight w:val="325"/>
        </w:trPr>
        <w:tc>
          <w:tcPr>
            <w:tcW w:w="2520" w:type="dxa"/>
            <w:vMerge w:val="restart"/>
            <w:shd w:val="clear" w:color="auto" w:fill="0070C0"/>
            <w:vAlign w:val="center"/>
            <w:hideMark/>
          </w:tcPr>
          <w:p w:rsidR="00D7642B" w:rsidRPr="006F4425" w:rsidRDefault="00D7642B" w:rsidP="00D00765">
            <w:pPr>
              <w:spacing w:after="0" w:line="240" w:lineRule="auto"/>
              <w:jc w:val="center"/>
              <w:rPr>
                <w:rFonts w:ascii="Arial" w:eastAsia="Times New Roman" w:hAnsi="Arial" w:cs="Arial"/>
                <w:color w:val="FFFFFF" w:themeColor="background1"/>
                <w:sz w:val="24"/>
                <w:szCs w:val="24"/>
                <w:lang w:eastAsia="en-GB"/>
              </w:rPr>
            </w:pPr>
            <w:r w:rsidRPr="006F4425">
              <w:rPr>
                <w:rFonts w:ascii="Arial" w:eastAsia="Times New Roman" w:hAnsi="Arial" w:cs="Arial"/>
                <w:color w:val="FFFFFF" w:themeColor="background1"/>
                <w:sz w:val="24"/>
                <w:szCs w:val="24"/>
                <w:lang w:eastAsia="en-GB"/>
              </w:rPr>
              <w:t>Securing confidence and assurance</w:t>
            </w:r>
          </w:p>
        </w:tc>
        <w:tc>
          <w:tcPr>
            <w:tcW w:w="960" w:type="dxa"/>
            <w:shd w:val="clear" w:color="auto" w:fill="9CC2E5" w:themeFill="accent1" w:themeFillTint="99"/>
            <w:noWrap/>
            <w:hideMark/>
          </w:tcPr>
          <w:p w:rsidR="00D7642B" w:rsidRPr="006F4425" w:rsidRDefault="00D7642B"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CA 1</w:t>
            </w:r>
          </w:p>
        </w:tc>
        <w:tc>
          <w:tcPr>
            <w:tcW w:w="960" w:type="dxa"/>
          </w:tcPr>
          <w:p w:rsidR="00D7642B" w:rsidRPr="006F4425" w:rsidRDefault="00D7642B" w:rsidP="00D00765">
            <w:pPr>
              <w:spacing w:after="0" w:line="240" w:lineRule="auto"/>
              <w:rPr>
                <w:rFonts w:ascii="Arial" w:eastAsia="Times New Roman" w:hAnsi="Arial" w:cs="Arial"/>
                <w:color w:val="000000"/>
                <w:lang w:eastAsia="en-GB"/>
              </w:rPr>
            </w:pPr>
          </w:p>
        </w:tc>
        <w:tc>
          <w:tcPr>
            <w:tcW w:w="2359" w:type="dxa"/>
            <w:vMerge w:val="restart"/>
            <w:shd w:val="clear" w:color="auto" w:fill="ED7D31" w:themeFill="accent2"/>
            <w:vAlign w:val="center"/>
          </w:tcPr>
          <w:p w:rsidR="00A56318" w:rsidRDefault="00A56318"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3</w:t>
            </w:r>
          </w:p>
          <w:p w:rsidR="00A56318" w:rsidRDefault="00A56318"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11</w:t>
            </w:r>
          </w:p>
          <w:p w:rsidR="00D7642B" w:rsidRDefault="00D7642B" w:rsidP="00D0076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Chapter 13</w:t>
            </w:r>
          </w:p>
          <w:p w:rsidR="00D7642B" w:rsidRPr="00D7642B" w:rsidRDefault="00D7642B" w:rsidP="00D00765">
            <w:pPr>
              <w:spacing w:after="0" w:line="240" w:lineRule="auto"/>
              <w:jc w:val="center"/>
              <w:rPr>
                <w:rFonts w:ascii="Arial" w:eastAsia="Times New Roman" w:hAnsi="Arial" w:cs="Arial"/>
                <w:i/>
                <w:color w:val="000000"/>
                <w:lang w:eastAsia="en-GB"/>
              </w:rPr>
            </w:pPr>
            <w:r w:rsidRPr="00D7642B">
              <w:rPr>
                <w:rFonts w:ascii="Arial" w:eastAsia="Times New Roman" w:hAnsi="Arial" w:cs="Arial"/>
                <w:i/>
                <w:color w:val="000000"/>
                <w:lang w:eastAsia="en-GB"/>
              </w:rPr>
              <w:t>Board Assurance Statement</w:t>
            </w:r>
          </w:p>
        </w:tc>
        <w:tc>
          <w:tcPr>
            <w:tcW w:w="2699" w:type="dxa"/>
            <w:vMerge w:val="restart"/>
            <w:shd w:val="clear" w:color="auto" w:fill="F7CAAC" w:themeFill="accent2" w:themeFillTint="66"/>
            <w:vAlign w:val="center"/>
          </w:tcPr>
          <w:p w:rsidR="00A56318" w:rsidRDefault="00A56318" w:rsidP="00D7642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 83</w:t>
            </w:r>
            <w:r w:rsidR="0080761E">
              <w:rPr>
                <w:rFonts w:ascii="Arial" w:eastAsia="Times New Roman" w:hAnsi="Arial" w:cs="Arial"/>
                <w:color w:val="000000"/>
                <w:lang w:eastAsia="en-GB"/>
              </w:rPr>
              <w:t xml:space="preserve"> &amp; 86-90</w:t>
            </w:r>
          </w:p>
          <w:p w:rsidR="00A56318" w:rsidRDefault="00A56318" w:rsidP="00D7642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170-173, 181-183</w:t>
            </w:r>
          </w:p>
          <w:p w:rsidR="00D7642B" w:rsidRDefault="00D7642B" w:rsidP="00D7642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197-199</w:t>
            </w:r>
          </w:p>
          <w:p w:rsidR="00D7642B" w:rsidRPr="006F4425" w:rsidRDefault="00D7642B" w:rsidP="00D7642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Pages 3-4</w:t>
            </w:r>
            <w:r w:rsidR="0080761E">
              <w:rPr>
                <w:rFonts w:ascii="Arial" w:eastAsia="Times New Roman" w:hAnsi="Arial" w:cs="Arial"/>
                <w:color w:val="000000"/>
                <w:lang w:eastAsia="en-GB"/>
              </w:rPr>
              <w:t xml:space="preserve"> &amp; 6</w:t>
            </w:r>
          </w:p>
        </w:tc>
      </w:tr>
      <w:tr w:rsidR="00D7642B" w:rsidRPr="006F4425" w:rsidTr="00A56318">
        <w:trPr>
          <w:trHeight w:val="325"/>
        </w:trPr>
        <w:tc>
          <w:tcPr>
            <w:tcW w:w="2520" w:type="dxa"/>
            <w:vMerge/>
            <w:shd w:val="clear" w:color="auto" w:fill="0070C0"/>
            <w:vAlign w:val="center"/>
            <w:hideMark/>
          </w:tcPr>
          <w:p w:rsidR="00D7642B" w:rsidRPr="006F4425" w:rsidRDefault="00D7642B" w:rsidP="00D00765">
            <w:pPr>
              <w:spacing w:after="0" w:line="240" w:lineRule="auto"/>
              <w:rPr>
                <w:rFonts w:ascii="Arial" w:eastAsia="Times New Roman" w:hAnsi="Arial" w:cs="Arial"/>
                <w:color w:val="000000"/>
                <w:lang w:eastAsia="en-GB"/>
              </w:rPr>
            </w:pPr>
          </w:p>
        </w:tc>
        <w:tc>
          <w:tcPr>
            <w:tcW w:w="960" w:type="dxa"/>
            <w:shd w:val="clear" w:color="auto" w:fill="9CC2E5" w:themeFill="accent1" w:themeFillTint="99"/>
            <w:noWrap/>
            <w:hideMark/>
          </w:tcPr>
          <w:p w:rsidR="00D7642B" w:rsidRPr="006F4425" w:rsidRDefault="00D7642B"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CA 2</w:t>
            </w:r>
          </w:p>
        </w:tc>
        <w:tc>
          <w:tcPr>
            <w:tcW w:w="960" w:type="dxa"/>
          </w:tcPr>
          <w:p w:rsidR="00D7642B" w:rsidRPr="006F4425" w:rsidRDefault="00D7642B"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tcPr>
          <w:p w:rsidR="00D7642B" w:rsidRPr="006F4425" w:rsidRDefault="00D7642B" w:rsidP="00D00765">
            <w:pPr>
              <w:spacing w:after="0" w:line="240" w:lineRule="auto"/>
              <w:rPr>
                <w:rFonts w:ascii="Arial" w:eastAsia="Times New Roman" w:hAnsi="Arial" w:cs="Arial"/>
                <w:color w:val="000000"/>
                <w:lang w:eastAsia="en-GB"/>
              </w:rPr>
            </w:pPr>
          </w:p>
        </w:tc>
        <w:tc>
          <w:tcPr>
            <w:tcW w:w="2699" w:type="dxa"/>
            <w:vMerge/>
            <w:shd w:val="clear" w:color="auto" w:fill="F7CAAC" w:themeFill="accent2" w:themeFillTint="66"/>
          </w:tcPr>
          <w:p w:rsidR="00D7642B" w:rsidRPr="006F4425" w:rsidRDefault="00D7642B" w:rsidP="00D00765">
            <w:pPr>
              <w:spacing w:after="0" w:line="240" w:lineRule="auto"/>
              <w:rPr>
                <w:rFonts w:ascii="Arial" w:eastAsia="Times New Roman" w:hAnsi="Arial" w:cs="Arial"/>
                <w:color w:val="000000"/>
                <w:lang w:eastAsia="en-GB"/>
              </w:rPr>
            </w:pPr>
          </w:p>
        </w:tc>
      </w:tr>
      <w:tr w:rsidR="00D7642B" w:rsidRPr="006F4425" w:rsidTr="00A56318">
        <w:trPr>
          <w:trHeight w:val="325"/>
        </w:trPr>
        <w:tc>
          <w:tcPr>
            <w:tcW w:w="2520" w:type="dxa"/>
            <w:vMerge/>
            <w:shd w:val="clear" w:color="auto" w:fill="0070C0"/>
            <w:vAlign w:val="center"/>
            <w:hideMark/>
          </w:tcPr>
          <w:p w:rsidR="00D7642B" w:rsidRPr="006F4425" w:rsidRDefault="00D7642B" w:rsidP="00D00765">
            <w:pPr>
              <w:spacing w:after="0" w:line="240" w:lineRule="auto"/>
              <w:rPr>
                <w:rFonts w:ascii="Arial" w:eastAsia="Times New Roman" w:hAnsi="Arial" w:cs="Arial"/>
                <w:color w:val="000000"/>
                <w:lang w:eastAsia="en-GB"/>
              </w:rPr>
            </w:pPr>
          </w:p>
        </w:tc>
        <w:tc>
          <w:tcPr>
            <w:tcW w:w="960" w:type="dxa"/>
            <w:shd w:val="clear" w:color="auto" w:fill="9CC2E5" w:themeFill="accent1" w:themeFillTint="99"/>
            <w:noWrap/>
            <w:hideMark/>
          </w:tcPr>
          <w:p w:rsidR="00D7642B" w:rsidRPr="006F4425" w:rsidRDefault="00D7642B"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CA 3</w:t>
            </w:r>
          </w:p>
        </w:tc>
        <w:tc>
          <w:tcPr>
            <w:tcW w:w="960" w:type="dxa"/>
          </w:tcPr>
          <w:p w:rsidR="00D7642B" w:rsidRPr="006F4425" w:rsidRDefault="00D7642B" w:rsidP="00D00765">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89984" behindDoc="0" locked="0" layoutInCell="1" allowOverlap="1" wp14:anchorId="2DC3E387" wp14:editId="4EFC8849">
                      <wp:simplePos x="0" y="0"/>
                      <wp:positionH relativeFrom="column">
                        <wp:posOffset>0</wp:posOffset>
                      </wp:positionH>
                      <wp:positionV relativeFrom="paragraph">
                        <wp:posOffset>168422</wp:posOffset>
                      </wp:positionV>
                      <wp:extent cx="463062" cy="128954"/>
                      <wp:effectExtent l="0" t="19050" r="32385" b="42545"/>
                      <wp:wrapNone/>
                      <wp:docPr id="20" name="Right Arrow 20"/>
                      <wp:cNvGraphicFramePr/>
                      <a:graphic xmlns:a="http://schemas.openxmlformats.org/drawingml/2006/main">
                        <a:graphicData uri="http://schemas.microsoft.com/office/word/2010/wordprocessingShape">
                          <wps:wsp>
                            <wps:cNvSpPr/>
                            <wps:spPr>
                              <a:xfrm>
                                <a:off x="0" y="0"/>
                                <a:ext cx="463062" cy="12895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C80687" id="Right Arrow 20" o:spid="_x0000_s1026" type="#_x0000_t13" style="position:absolute;margin-left:0;margin-top:13.25pt;width:36.45pt;height:1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" adj="18592" fillcolor="#5b9bd5" strokecolor="#41719c" strokeweight="1pt"/>
                  </w:pict>
                </mc:Fallback>
              </mc:AlternateContent>
            </w:r>
          </w:p>
        </w:tc>
        <w:tc>
          <w:tcPr>
            <w:tcW w:w="2359" w:type="dxa"/>
            <w:vMerge/>
            <w:shd w:val="clear" w:color="auto" w:fill="ED7D31" w:themeFill="accent2"/>
          </w:tcPr>
          <w:p w:rsidR="00D7642B" w:rsidRPr="006F4425" w:rsidRDefault="00D7642B" w:rsidP="00D00765">
            <w:pPr>
              <w:spacing w:after="0" w:line="240" w:lineRule="auto"/>
              <w:rPr>
                <w:rFonts w:ascii="Arial" w:eastAsia="Times New Roman" w:hAnsi="Arial" w:cs="Arial"/>
                <w:color w:val="000000"/>
                <w:lang w:eastAsia="en-GB"/>
              </w:rPr>
            </w:pPr>
          </w:p>
        </w:tc>
        <w:tc>
          <w:tcPr>
            <w:tcW w:w="2699" w:type="dxa"/>
            <w:vMerge/>
            <w:shd w:val="clear" w:color="auto" w:fill="F7CAAC" w:themeFill="accent2" w:themeFillTint="66"/>
          </w:tcPr>
          <w:p w:rsidR="00D7642B" w:rsidRPr="006F4425" w:rsidRDefault="00D7642B" w:rsidP="00D00765">
            <w:pPr>
              <w:spacing w:after="0" w:line="240" w:lineRule="auto"/>
              <w:rPr>
                <w:rFonts w:ascii="Arial" w:eastAsia="Times New Roman" w:hAnsi="Arial" w:cs="Arial"/>
                <w:color w:val="000000"/>
                <w:lang w:eastAsia="en-GB"/>
              </w:rPr>
            </w:pPr>
          </w:p>
        </w:tc>
      </w:tr>
      <w:tr w:rsidR="00D7642B" w:rsidRPr="006F4425" w:rsidTr="00A56318">
        <w:trPr>
          <w:trHeight w:val="325"/>
        </w:trPr>
        <w:tc>
          <w:tcPr>
            <w:tcW w:w="2520" w:type="dxa"/>
            <w:vMerge/>
            <w:shd w:val="clear" w:color="auto" w:fill="0070C0"/>
            <w:vAlign w:val="center"/>
            <w:hideMark/>
          </w:tcPr>
          <w:p w:rsidR="00D7642B" w:rsidRPr="006F4425" w:rsidRDefault="00D7642B" w:rsidP="00D00765">
            <w:pPr>
              <w:spacing w:after="0" w:line="240" w:lineRule="auto"/>
              <w:rPr>
                <w:rFonts w:ascii="Arial" w:eastAsia="Times New Roman" w:hAnsi="Arial" w:cs="Arial"/>
                <w:color w:val="000000"/>
                <w:lang w:eastAsia="en-GB"/>
              </w:rPr>
            </w:pPr>
          </w:p>
        </w:tc>
        <w:tc>
          <w:tcPr>
            <w:tcW w:w="960" w:type="dxa"/>
            <w:shd w:val="clear" w:color="auto" w:fill="9CC2E5" w:themeFill="accent1" w:themeFillTint="99"/>
            <w:noWrap/>
            <w:hideMark/>
          </w:tcPr>
          <w:p w:rsidR="00D7642B" w:rsidRPr="006F4425" w:rsidRDefault="00D7642B"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CA 4</w:t>
            </w:r>
          </w:p>
        </w:tc>
        <w:tc>
          <w:tcPr>
            <w:tcW w:w="960" w:type="dxa"/>
          </w:tcPr>
          <w:p w:rsidR="00D7642B" w:rsidRPr="006F4425" w:rsidRDefault="00D7642B"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tcPr>
          <w:p w:rsidR="00D7642B" w:rsidRPr="006F4425" w:rsidRDefault="00D7642B" w:rsidP="00D00765">
            <w:pPr>
              <w:spacing w:after="0" w:line="240" w:lineRule="auto"/>
              <w:rPr>
                <w:rFonts w:ascii="Arial" w:eastAsia="Times New Roman" w:hAnsi="Arial" w:cs="Arial"/>
                <w:color w:val="000000"/>
                <w:lang w:eastAsia="en-GB"/>
              </w:rPr>
            </w:pPr>
          </w:p>
        </w:tc>
        <w:tc>
          <w:tcPr>
            <w:tcW w:w="2699" w:type="dxa"/>
            <w:vMerge/>
            <w:shd w:val="clear" w:color="auto" w:fill="F7CAAC" w:themeFill="accent2" w:themeFillTint="66"/>
          </w:tcPr>
          <w:p w:rsidR="00D7642B" w:rsidRPr="006F4425" w:rsidRDefault="00D7642B" w:rsidP="00D00765">
            <w:pPr>
              <w:spacing w:after="0" w:line="240" w:lineRule="auto"/>
              <w:rPr>
                <w:rFonts w:ascii="Arial" w:eastAsia="Times New Roman" w:hAnsi="Arial" w:cs="Arial"/>
                <w:color w:val="000000"/>
                <w:lang w:eastAsia="en-GB"/>
              </w:rPr>
            </w:pPr>
          </w:p>
        </w:tc>
      </w:tr>
      <w:tr w:rsidR="00D7642B" w:rsidRPr="006F4425" w:rsidTr="00A56318">
        <w:trPr>
          <w:trHeight w:val="325"/>
        </w:trPr>
        <w:tc>
          <w:tcPr>
            <w:tcW w:w="2520" w:type="dxa"/>
            <w:vMerge/>
            <w:shd w:val="clear" w:color="auto" w:fill="0070C0"/>
            <w:vAlign w:val="center"/>
            <w:hideMark/>
          </w:tcPr>
          <w:p w:rsidR="00D7642B" w:rsidRPr="006F4425" w:rsidRDefault="00D7642B" w:rsidP="00D00765">
            <w:pPr>
              <w:spacing w:after="0" w:line="240" w:lineRule="auto"/>
              <w:rPr>
                <w:rFonts w:ascii="Arial" w:eastAsia="Times New Roman" w:hAnsi="Arial" w:cs="Arial"/>
                <w:color w:val="000000"/>
                <w:lang w:eastAsia="en-GB"/>
              </w:rPr>
            </w:pPr>
          </w:p>
        </w:tc>
        <w:tc>
          <w:tcPr>
            <w:tcW w:w="960" w:type="dxa"/>
            <w:shd w:val="clear" w:color="auto" w:fill="9CC2E5" w:themeFill="accent1" w:themeFillTint="99"/>
            <w:noWrap/>
            <w:hideMark/>
          </w:tcPr>
          <w:p w:rsidR="00D7642B" w:rsidRPr="006F4425" w:rsidRDefault="00D7642B"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CA 5</w:t>
            </w:r>
          </w:p>
        </w:tc>
        <w:tc>
          <w:tcPr>
            <w:tcW w:w="960" w:type="dxa"/>
          </w:tcPr>
          <w:p w:rsidR="00D7642B" w:rsidRPr="006F4425" w:rsidRDefault="00D7642B"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tcPr>
          <w:p w:rsidR="00D7642B" w:rsidRPr="006F4425" w:rsidRDefault="00D7642B" w:rsidP="00D00765">
            <w:pPr>
              <w:spacing w:after="0" w:line="240" w:lineRule="auto"/>
              <w:rPr>
                <w:rFonts w:ascii="Arial" w:eastAsia="Times New Roman" w:hAnsi="Arial" w:cs="Arial"/>
                <w:color w:val="000000"/>
                <w:lang w:eastAsia="en-GB"/>
              </w:rPr>
            </w:pPr>
          </w:p>
        </w:tc>
        <w:tc>
          <w:tcPr>
            <w:tcW w:w="2699" w:type="dxa"/>
            <w:vMerge/>
            <w:shd w:val="clear" w:color="auto" w:fill="F7CAAC" w:themeFill="accent2" w:themeFillTint="66"/>
          </w:tcPr>
          <w:p w:rsidR="00D7642B" w:rsidRPr="006F4425" w:rsidRDefault="00D7642B" w:rsidP="00D00765">
            <w:pPr>
              <w:spacing w:after="0" w:line="240" w:lineRule="auto"/>
              <w:rPr>
                <w:rFonts w:ascii="Arial" w:eastAsia="Times New Roman" w:hAnsi="Arial" w:cs="Arial"/>
                <w:color w:val="000000"/>
                <w:lang w:eastAsia="en-GB"/>
              </w:rPr>
            </w:pPr>
          </w:p>
        </w:tc>
      </w:tr>
      <w:tr w:rsidR="00D00765" w:rsidRPr="006F4425" w:rsidTr="00A56318">
        <w:trPr>
          <w:trHeight w:val="325"/>
        </w:trPr>
        <w:tc>
          <w:tcPr>
            <w:tcW w:w="2520" w:type="dxa"/>
            <w:vMerge/>
            <w:shd w:val="clear" w:color="auto" w:fill="0070C0"/>
            <w:vAlign w:val="center"/>
            <w:hideMark/>
          </w:tcPr>
          <w:p w:rsidR="00D00765" w:rsidRPr="006F4425" w:rsidRDefault="00D00765" w:rsidP="00D00765">
            <w:pPr>
              <w:spacing w:after="0" w:line="240" w:lineRule="auto"/>
              <w:rPr>
                <w:rFonts w:ascii="Arial" w:eastAsia="Times New Roman" w:hAnsi="Arial" w:cs="Arial"/>
                <w:color w:val="000000"/>
                <w:lang w:eastAsia="en-GB"/>
              </w:rPr>
            </w:pPr>
          </w:p>
        </w:tc>
        <w:tc>
          <w:tcPr>
            <w:tcW w:w="960" w:type="dxa"/>
            <w:shd w:val="clear" w:color="auto" w:fill="9CC2E5" w:themeFill="accent1" w:themeFillTint="99"/>
            <w:noWrap/>
            <w:hideMark/>
          </w:tcPr>
          <w:p w:rsidR="00D00765" w:rsidRPr="006F4425" w:rsidRDefault="00D00765" w:rsidP="00D00765">
            <w:pPr>
              <w:spacing w:after="0" w:line="240" w:lineRule="auto"/>
              <w:rPr>
                <w:rFonts w:ascii="Arial" w:eastAsia="Times New Roman" w:hAnsi="Arial" w:cs="Arial"/>
                <w:color w:val="000000"/>
                <w:lang w:eastAsia="en-GB"/>
              </w:rPr>
            </w:pPr>
            <w:r w:rsidRPr="006F4425">
              <w:rPr>
                <w:rFonts w:ascii="Arial" w:eastAsia="Times New Roman" w:hAnsi="Arial" w:cs="Arial"/>
                <w:color w:val="000000"/>
                <w:lang w:eastAsia="en-GB"/>
              </w:rPr>
              <w:t>CA 6</w:t>
            </w:r>
          </w:p>
        </w:tc>
        <w:tc>
          <w:tcPr>
            <w:tcW w:w="960" w:type="dxa"/>
          </w:tcPr>
          <w:p w:rsidR="00D00765" w:rsidRPr="006F4425" w:rsidRDefault="00D00765" w:rsidP="00D00765">
            <w:pPr>
              <w:spacing w:after="0" w:line="240" w:lineRule="auto"/>
              <w:rPr>
                <w:rFonts w:ascii="Arial" w:eastAsia="Times New Roman" w:hAnsi="Arial" w:cs="Arial"/>
                <w:color w:val="000000"/>
                <w:lang w:eastAsia="en-GB"/>
              </w:rPr>
            </w:pPr>
          </w:p>
        </w:tc>
        <w:tc>
          <w:tcPr>
            <w:tcW w:w="2359" w:type="dxa"/>
            <w:vMerge/>
            <w:shd w:val="clear" w:color="auto" w:fill="ED7D31" w:themeFill="accent2"/>
          </w:tcPr>
          <w:p w:rsidR="00D00765" w:rsidRPr="006F4425" w:rsidRDefault="00D00765" w:rsidP="00D00765">
            <w:pPr>
              <w:spacing w:after="0" w:line="240" w:lineRule="auto"/>
              <w:rPr>
                <w:rFonts w:ascii="Arial" w:eastAsia="Times New Roman" w:hAnsi="Arial" w:cs="Arial"/>
                <w:color w:val="000000"/>
                <w:lang w:eastAsia="en-GB"/>
              </w:rPr>
            </w:pPr>
          </w:p>
        </w:tc>
        <w:tc>
          <w:tcPr>
            <w:tcW w:w="2699" w:type="dxa"/>
            <w:shd w:val="clear" w:color="auto" w:fill="F7CAAC" w:themeFill="accent2" w:themeFillTint="66"/>
          </w:tcPr>
          <w:p w:rsidR="00D00765" w:rsidRPr="006F4425" w:rsidRDefault="00D00765" w:rsidP="00D00765">
            <w:pPr>
              <w:spacing w:after="0" w:line="240" w:lineRule="auto"/>
              <w:rPr>
                <w:rFonts w:ascii="Arial" w:eastAsia="Times New Roman" w:hAnsi="Arial" w:cs="Arial"/>
                <w:color w:val="000000"/>
                <w:lang w:eastAsia="en-GB"/>
              </w:rPr>
            </w:pPr>
          </w:p>
        </w:tc>
      </w:tr>
    </w:tbl>
    <w:p w:rsidR="00E713A9" w:rsidRDefault="00E713A9">
      <w:pPr>
        <w:sectPr w:rsidR="00E713A9" w:rsidSect="00A443F2">
          <w:pgSz w:w="11906" w:h="16838"/>
          <w:pgMar w:top="851" w:right="1440" w:bottom="567" w:left="1440" w:header="709" w:footer="709" w:gutter="0"/>
          <w:cols w:space="708"/>
          <w:docGrid w:linePitch="360"/>
        </w:sectPr>
      </w:pPr>
    </w:p>
    <w:p w:rsidR="00E713A9" w:rsidRDefault="00E713A9">
      <w:pPr>
        <w:rPr>
          <w:b/>
          <w:caps/>
          <w:color w:val="2E74B5" w:themeColor="accent1" w:themeShade="BF"/>
          <w:sz w:val="32"/>
          <w:szCs w:val="32"/>
        </w:rPr>
      </w:pPr>
      <w:r w:rsidRPr="00E713A9">
        <w:rPr>
          <w:b/>
          <w:caps/>
          <w:color w:val="2E74B5" w:themeColor="accent1" w:themeShade="BF"/>
          <w:sz w:val="32"/>
          <w:szCs w:val="32"/>
        </w:rPr>
        <w:t>Plan guide</w:t>
      </w:r>
    </w:p>
    <w:p w:rsidR="00D00765" w:rsidRPr="00D00765" w:rsidRDefault="00D00765">
      <w:pPr>
        <w:rPr>
          <w:rFonts w:ascii="Arial" w:hAnsi="Arial" w:cs="Arial"/>
          <w:sz w:val="24"/>
          <w:szCs w:val="24"/>
        </w:rPr>
      </w:pPr>
      <w:r w:rsidRPr="00D00765">
        <w:rPr>
          <w:rFonts w:ascii="Arial" w:hAnsi="Arial" w:cs="Arial"/>
          <w:sz w:val="24"/>
          <w:szCs w:val="24"/>
        </w:rPr>
        <w:t xml:space="preserve">This </w:t>
      </w:r>
      <w:r>
        <w:rPr>
          <w:rFonts w:ascii="Arial" w:hAnsi="Arial" w:cs="Arial"/>
          <w:sz w:val="24"/>
          <w:szCs w:val="24"/>
        </w:rPr>
        <w:t>table gives a precis of the Chapter and Sections contents in our Plan.</w:t>
      </w:r>
    </w:p>
    <w:tbl>
      <w:tblPr>
        <w:tblW w:w="147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604"/>
        <w:gridCol w:w="1096"/>
        <w:gridCol w:w="3544"/>
        <w:gridCol w:w="7938"/>
      </w:tblGrid>
      <w:tr w:rsidR="005F2564" w:rsidRPr="000604A8" w:rsidTr="004E1FD2">
        <w:trPr>
          <w:trHeight w:val="20"/>
        </w:trPr>
        <w:tc>
          <w:tcPr>
            <w:tcW w:w="2165" w:type="dxa"/>
            <w:gridSpan w:val="2"/>
            <w:shd w:val="clear" w:color="auto" w:fill="2E74B5" w:themeFill="accent1" w:themeFillShade="BF"/>
            <w:vAlign w:val="center"/>
          </w:tcPr>
          <w:p w:rsidR="00E713A9" w:rsidRPr="000604A8" w:rsidRDefault="00E713A9" w:rsidP="004E1FD2">
            <w:pPr>
              <w:spacing w:after="120" w:line="240" w:lineRule="auto"/>
              <w:rPr>
                <w:rFonts w:ascii="Calibri" w:eastAsia="Times New Roman" w:hAnsi="Calibri" w:cs="Calibri"/>
                <w:b/>
                <w:bCs/>
                <w:color w:val="FFFFFF" w:themeColor="background1"/>
                <w:sz w:val="24"/>
                <w:szCs w:val="24"/>
                <w:lang w:eastAsia="en-GB"/>
              </w:rPr>
            </w:pPr>
            <w:r w:rsidRPr="000604A8">
              <w:rPr>
                <w:rFonts w:ascii="Calibri" w:eastAsia="Times New Roman" w:hAnsi="Calibri" w:cs="Calibri"/>
                <w:b/>
                <w:bCs/>
                <w:color w:val="FFFFFF" w:themeColor="background1"/>
                <w:sz w:val="24"/>
                <w:szCs w:val="24"/>
                <w:lang w:eastAsia="en-GB"/>
              </w:rPr>
              <w:t>Chapter</w:t>
            </w:r>
          </w:p>
        </w:tc>
        <w:tc>
          <w:tcPr>
            <w:tcW w:w="1096" w:type="dxa"/>
            <w:shd w:val="clear" w:color="auto" w:fill="2E74B5" w:themeFill="accent1" w:themeFillShade="BF"/>
            <w:vAlign w:val="center"/>
          </w:tcPr>
          <w:p w:rsidR="00E713A9" w:rsidRPr="000604A8" w:rsidRDefault="00E713A9"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 xml:space="preserve">Section </w:t>
            </w:r>
          </w:p>
        </w:tc>
        <w:tc>
          <w:tcPr>
            <w:tcW w:w="3544" w:type="dxa"/>
            <w:shd w:val="clear" w:color="auto" w:fill="2E74B5" w:themeFill="accent1" w:themeFillShade="BF"/>
            <w:vAlign w:val="center"/>
          </w:tcPr>
          <w:p w:rsidR="00E713A9" w:rsidRPr="000604A8" w:rsidRDefault="00E713A9"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Main Section Headings</w:t>
            </w:r>
          </w:p>
        </w:tc>
        <w:tc>
          <w:tcPr>
            <w:tcW w:w="7938" w:type="dxa"/>
            <w:shd w:val="clear" w:color="auto" w:fill="2E74B5" w:themeFill="accent1" w:themeFillShade="BF"/>
            <w:vAlign w:val="center"/>
          </w:tcPr>
          <w:p w:rsidR="004E1FD2" w:rsidRPr="000604A8" w:rsidRDefault="00E713A9"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Brief Description</w:t>
            </w:r>
          </w:p>
        </w:tc>
      </w:tr>
      <w:tr w:rsidR="00E713A9" w:rsidRPr="000604A8" w:rsidTr="00DB27A8">
        <w:trPr>
          <w:trHeight w:val="20"/>
        </w:trPr>
        <w:tc>
          <w:tcPr>
            <w:tcW w:w="561" w:type="dxa"/>
            <w:shd w:val="clear" w:color="auto" w:fill="2E74B5" w:themeFill="accent1" w:themeFillShade="BF"/>
          </w:tcPr>
          <w:p w:rsidR="00E713A9" w:rsidRPr="00D00765"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sz w:val="24"/>
                <w:szCs w:val="24"/>
                <w:lang w:eastAsia="en-GB"/>
              </w:rPr>
            </w:pPr>
            <w:r w:rsidRPr="000604A8">
              <w:rPr>
                <w:rFonts w:ascii="Calibri" w:eastAsia="Times New Roman" w:hAnsi="Calibri" w:cs="Calibri"/>
                <w:b/>
                <w:bCs/>
                <w:sz w:val="24"/>
                <w:szCs w:val="24"/>
                <w:lang w:eastAsia="en-GB"/>
              </w:rPr>
              <w:t>Our Chairman’s Foreword</w:t>
            </w: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1482" w:type="dxa"/>
            <w:gridSpan w:val="2"/>
          </w:tcPr>
          <w:p w:rsidR="00E713A9" w:rsidRPr="000604A8" w:rsidRDefault="00E713A9" w:rsidP="005E5934">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color w:val="000000"/>
                <w:sz w:val="24"/>
                <w:szCs w:val="24"/>
                <w:lang w:eastAsia="en-GB"/>
              </w:rPr>
              <w:t xml:space="preserve">Chairman’s overview of our </w:t>
            </w:r>
            <w:r w:rsidR="005E5934">
              <w:rPr>
                <w:rFonts w:ascii="Calibri" w:eastAsia="Times New Roman" w:hAnsi="Calibri" w:cs="Calibri"/>
                <w:b/>
                <w:color w:val="000000"/>
                <w:sz w:val="24"/>
                <w:szCs w:val="24"/>
                <w:lang w:eastAsia="en-GB"/>
              </w:rPr>
              <w:t>P</w:t>
            </w:r>
            <w:r w:rsidRPr="000604A8">
              <w:rPr>
                <w:rFonts w:ascii="Calibri" w:eastAsia="Times New Roman" w:hAnsi="Calibri" w:cs="Calibri"/>
                <w:b/>
                <w:color w:val="000000"/>
                <w:sz w:val="24"/>
                <w:szCs w:val="24"/>
                <w:lang w:eastAsia="en-GB"/>
              </w:rPr>
              <w:t>lan.</w:t>
            </w:r>
          </w:p>
        </w:tc>
      </w:tr>
      <w:tr w:rsidR="00D00765" w:rsidRPr="000604A8" w:rsidTr="00DB27A8">
        <w:trPr>
          <w:trHeight w:val="20"/>
        </w:trPr>
        <w:tc>
          <w:tcPr>
            <w:tcW w:w="561" w:type="dxa"/>
            <w:shd w:val="clear" w:color="auto" w:fill="2E74B5" w:themeFill="accent1" w:themeFillShade="BF"/>
          </w:tcPr>
          <w:p w:rsidR="00D00765" w:rsidRPr="00D00765" w:rsidRDefault="00D00765"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shd w:val="clear" w:color="auto" w:fill="F7CAAC" w:themeFill="accent2" w:themeFillTint="66"/>
            <w:vAlign w:val="center"/>
          </w:tcPr>
          <w:p w:rsidR="00D00765" w:rsidRPr="000604A8" w:rsidRDefault="00D00765" w:rsidP="00D00765">
            <w:pPr>
              <w:spacing w:after="0" w:line="240" w:lineRule="auto"/>
              <w:rPr>
                <w:rFonts w:ascii="Calibri" w:eastAsia="Times New Roman" w:hAnsi="Calibri" w:cs="Calibri"/>
                <w:b/>
                <w:bCs/>
                <w:sz w:val="24"/>
                <w:szCs w:val="24"/>
                <w:lang w:eastAsia="en-GB"/>
              </w:rPr>
            </w:pPr>
            <w:r w:rsidRPr="000604A8">
              <w:rPr>
                <w:rFonts w:ascii="Calibri" w:eastAsia="Times New Roman" w:hAnsi="Calibri" w:cs="Calibri"/>
                <w:b/>
                <w:bCs/>
                <w:sz w:val="24"/>
                <w:szCs w:val="24"/>
                <w:lang w:eastAsia="en-GB"/>
              </w:rPr>
              <w:t>Contents</w:t>
            </w:r>
          </w:p>
        </w:tc>
        <w:tc>
          <w:tcPr>
            <w:tcW w:w="1096" w:type="dxa"/>
          </w:tcPr>
          <w:p w:rsidR="00D00765" w:rsidRPr="000604A8" w:rsidRDefault="00D00765" w:rsidP="00D00765">
            <w:pPr>
              <w:spacing w:after="0" w:line="240" w:lineRule="auto"/>
              <w:rPr>
                <w:rFonts w:ascii="Calibri" w:eastAsia="Times New Roman" w:hAnsi="Calibri" w:cs="Calibri"/>
                <w:color w:val="000000"/>
                <w:sz w:val="24"/>
                <w:szCs w:val="24"/>
                <w:lang w:eastAsia="en-GB"/>
              </w:rPr>
            </w:pPr>
          </w:p>
        </w:tc>
        <w:tc>
          <w:tcPr>
            <w:tcW w:w="11482" w:type="dxa"/>
            <w:gridSpan w:val="2"/>
          </w:tcPr>
          <w:p w:rsidR="00D00765" w:rsidRPr="000604A8" w:rsidRDefault="00D00765" w:rsidP="00D00765">
            <w:pPr>
              <w:spacing w:after="0" w:line="240" w:lineRule="auto"/>
              <w:rPr>
                <w:rFonts w:ascii="Calibri" w:eastAsia="Times New Roman" w:hAnsi="Calibri" w:cs="Calibri"/>
                <w:b/>
                <w:color w:val="000000"/>
                <w:sz w:val="24"/>
                <w:szCs w:val="24"/>
                <w:lang w:eastAsia="en-GB"/>
              </w:rPr>
            </w:pPr>
          </w:p>
        </w:tc>
      </w:tr>
      <w:tr w:rsidR="00E713A9" w:rsidRPr="000604A8" w:rsidTr="00DB27A8">
        <w:trPr>
          <w:trHeight w:val="20"/>
        </w:trPr>
        <w:tc>
          <w:tcPr>
            <w:tcW w:w="561" w:type="dxa"/>
            <w:vMerge w:val="restart"/>
            <w:shd w:val="clear" w:color="auto" w:fill="2E74B5" w:themeFill="accent1" w:themeFillShade="BF"/>
            <w:vAlign w:val="center"/>
          </w:tcPr>
          <w:p w:rsidR="00E713A9" w:rsidRPr="00D00765"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D00765">
              <w:rPr>
                <w:rFonts w:ascii="Calibri" w:eastAsia="Times New Roman" w:hAnsi="Calibri" w:cs="Calibri"/>
                <w:b/>
                <w:bCs/>
                <w:color w:val="FFFFFF" w:themeColor="background1"/>
                <w:sz w:val="24"/>
                <w:szCs w:val="24"/>
                <w:lang w:eastAsia="en-GB"/>
              </w:rPr>
              <w:t>1</w:t>
            </w:r>
          </w:p>
        </w:tc>
        <w:tc>
          <w:tcPr>
            <w:tcW w:w="1604" w:type="dxa"/>
            <w:vMerge w:val="restart"/>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sz w:val="24"/>
                <w:szCs w:val="24"/>
                <w:lang w:eastAsia="en-GB"/>
              </w:rPr>
            </w:pPr>
            <w:r w:rsidRPr="000604A8">
              <w:rPr>
                <w:rFonts w:ascii="Calibri" w:eastAsia="Times New Roman" w:hAnsi="Calibri" w:cs="Calibri"/>
                <w:b/>
                <w:bCs/>
                <w:sz w:val="24"/>
                <w:szCs w:val="24"/>
                <w:lang w:eastAsia="en-GB"/>
              </w:rPr>
              <w:t>Introduction</w:t>
            </w: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1.1</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Executive Summary</w:t>
            </w:r>
          </w:p>
        </w:tc>
        <w:tc>
          <w:tcPr>
            <w:tcW w:w="7938" w:type="dxa"/>
            <w:shd w:val="clear" w:color="auto" w:fill="auto"/>
            <w:vAlign w:val="center"/>
            <w:hideMark/>
          </w:tcPr>
          <w:p w:rsidR="00E713A9" w:rsidRPr="000604A8" w:rsidRDefault="00E713A9" w:rsidP="00A31489">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 A five page summary of the </w:t>
            </w:r>
            <w:r w:rsidR="00A31489">
              <w:rPr>
                <w:rFonts w:ascii="Calibri" w:eastAsia="Times New Roman" w:hAnsi="Calibri" w:cs="Calibri"/>
                <w:color w:val="000000"/>
                <w:sz w:val="24"/>
                <w:szCs w:val="24"/>
                <w:lang w:eastAsia="en-GB"/>
              </w:rPr>
              <w:t>Plan</w:t>
            </w:r>
          </w:p>
        </w:tc>
      </w:tr>
      <w:tr w:rsidR="00E713A9" w:rsidRPr="000604A8" w:rsidTr="00DB27A8">
        <w:trPr>
          <w:trHeight w:val="20"/>
        </w:trPr>
        <w:tc>
          <w:tcPr>
            <w:tcW w:w="561" w:type="dxa"/>
            <w:vMerge/>
            <w:shd w:val="clear" w:color="auto" w:fill="2E74B5" w:themeFill="accent1" w:themeFillShade="BF"/>
          </w:tcPr>
          <w:p w:rsidR="00E713A9" w:rsidRPr="00D00765"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sz w:val="24"/>
                <w:szCs w:val="24"/>
                <w:lang w:eastAsia="en-GB"/>
              </w:rPr>
            </w:pPr>
          </w:p>
        </w:tc>
        <w:tc>
          <w:tcPr>
            <w:tcW w:w="1096" w:type="dxa"/>
          </w:tcPr>
          <w:p w:rsidR="00E713A9" w:rsidRPr="000604A8" w:rsidRDefault="00E713A9" w:rsidP="00D87350">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1.2 </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bCs/>
                <w:sz w:val="24"/>
                <w:szCs w:val="24"/>
                <w:lang w:eastAsia="en-GB"/>
              </w:rPr>
              <w:t>Our long term vision</w:t>
            </w:r>
          </w:p>
        </w:tc>
        <w:tc>
          <w:tcPr>
            <w:tcW w:w="7938" w:type="dxa"/>
            <w:shd w:val="clear" w:color="auto" w:fill="auto"/>
            <w:vAlign w:val="center"/>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Sets out our long term vision for customer service, regional water resilience and the environment, through to 2050. </w:t>
            </w:r>
          </w:p>
        </w:tc>
      </w:tr>
      <w:tr w:rsidR="00E713A9" w:rsidRPr="000604A8" w:rsidTr="00DB27A8">
        <w:trPr>
          <w:trHeight w:val="20"/>
        </w:trPr>
        <w:tc>
          <w:tcPr>
            <w:tcW w:w="561" w:type="dxa"/>
            <w:vMerge w:val="restart"/>
            <w:shd w:val="clear" w:color="auto" w:fill="2E74B5" w:themeFill="accent1" w:themeFillShade="BF"/>
            <w:vAlign w:val="center"/>
          </w:tcPr>
          <w:p w:rsidR="00E713A9" w:rsidRPr="00D00765"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D00765">
              <w:rPr>
                <w:rFonts w:ascii="Calibri" w:eastAsia="Times New Roman" w:hAnsi="Calibri" w:cs="Calibri"/>
                <w:b/>
                <w:bCs/>
                <w:color w:val="FFFFFF" w:themeColor="background1"/>
                <w:sz w:val="24"/>
                <w:szCs w:val="24"/>
                <w:lang w:eastAsia="en-GB"/>
              </w:rPr>
              <w:t>2</w:t>
            </w:r>
          </w:p>
        </w:tc>
        <w:tc>
          <w:tcPr>
            <w:tcW w:w="1604" w:type="dxa"/>
            <w:vMerge w:val="restart"/>
            <w:shd w:val="clear" w:color="auto" w:fill="F7CAAC" w:themeFill="accent2" w:themeFillTint="66"/>
            <w:vAlign w:val="center"/>
          </w:tcPr>
          <w:p w:rsidR="00E713A9" w:rsidRPr="000604A8" w:rsidRDefault="00143F3E" w:rsidP="00D00765">
            <w:pPr>
              <w:spacing w:after="0" w:line="240" w:lineRule="auto"/>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Customer Engagement O</w:t>
            </w:r>
            <w:r w:rsidR="00E713A9" w:rsidRPr="000604A8">
              <w:rPr>
                <w:rFonts w:ascii="Calibri" w:eastAsia="Times New Roman" w:hAnsi="Calibri" w:cs="Calibri"/>
                <w:b/>
                <w:bCs/>
                <w:color w:val="000000"/>
                <w:sz w:val="24"/>
                <w:szCs w:val="24"/>
                <w:lang w:eastAsia="en-GB"/>
              </w:rPr>
              <w:t>verview</w:t>
            </w: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2</w:t>
            </w:r>
          </w:p>
        </w:tc>
        <w:tc>
          <w:tcPr>
            <w:tcW w:w="11482" w:type="dxa"/>
            <w:gridSpan w:val="2"/>
          </w:tcPr>
          <w:p w:rsidR="00E713A9" w:rsidRPr="000604A8" w:rsidRDefault="00E713A9" w:rsidP="00D00765">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color w:val="000000"/>
                <w:sz w:val="24"/>
                <w:szCs w:val="24"/>
                <w:lang w:eastAsia="en-GB"/>
              </w:rPr>
              <w:t>An overview of our engagement journey, explaining our approach and planning cycle.</w:t>
            </w:r>
          </w:p>
        </w:tc>
      </w:tr>
      <w:tr w:rsidR="00E713A9" w:rsidRPr="000604A8" w:rsidTr="00DB27A8">
        <w:trPr>
          <w:trHeight w:val="20"/>
        </w:trPr>
        <w:tc>
          <w:tcPr>
            <w:tcW w:w="561" w:type="dxa"/>
            <w:vMerge/>
            <w:shd w:val="clear" w:color="auto" w:fill="2E74B5" w:themeFill="accent1" w:themeFillShade="BF"/>
          </w:tcPr>
          <w:p w:rsidR="00E713A9" w:rsidRPr="00D00765"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2.1</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Key Engagement Activities that shaped our plan</w:t>
            </w:r>
          </w:p>
        </w:tc>
        <w:tc>
          <w:tcPr>
            <w:tcW w:w="7938" w:type="dxa"/>
            <w:shd w:val="clear" w:color="auto" w:fill="auto"/>
            <w:vAlign w:val="center"/>
            <w:hideMark/>
          </w:tcPr>
          <w:p w:rsidR="00E713A9" w:rsidRPr="000604A8" w:rsidRDefault="00E713A9" w:rsidP="00A31489">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Summary of the key pieces of research that shaped our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lan.</w:t>
            </w:r>
          </w:p>
        </w:tc>
      </w:tr>
      <w:tr w:rsidR="00E713A9" w:rsidRPr="000604A8" w:rsidTr="00DB27A8">
        <w:trPr>
          <w:trHeight w:val="20"/>
        </w:trPr>
        <w:tc>
          <w:tcPr>
            <w:tcW w:w="561" w:type="dxa"/>
            <w:vMerge/>
            <w:shd w:val="clear" w:color="auto" w:fill="2E74B5" w:themeFill="accent1" w:themeFillShade="BF"/>
          </w:tcPr>
          <w:p w:rsidR="00E713A9" w:rsidRPr="00D00765"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2.2</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Business Plan Research and Triangulation – Key Messages</w:t>
            </w:r>
          </w:p>
        </w:tc>
        <w:tc>
          <w:tcPr>
            <w:tcW w:w="7938" w:type="dxa"/>
            <w:shd w:val="clear" w:color="auto" w:fill="auto"/>
            <w:vAlign w:val="center"/>
          </w:tcPr>
          <w:p w:rsidR="00E713A9" w:rsidRPr="000604A8" w:rsidRDefault="00A31489" w:rsidP="00A31489">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Key </w:t>
            </w:r>
            <w:r w:rsidR="00E713A9" w:rsidRPr="000604A8">
              <w:rPr>
                <w:rFonts w:ascii="Calibri" w:eastAsia="Times New Roman" w:hAnsi="Calibri" w:cs="Calibri"/>
                <w:color w:val="000000"/>
                <w:sz w:val="24"/>
                <w:szCs w:val="24"/>
                <w:lang w:eastAsia="en-GB"/>
              </w:rPr>
              <w:t>customer insight</w:t>
            </w:r>
            <w:r>
              <w:rPr>
                <w:rFonts w:ascii="Calibri" w:eastAsia="Times New Roman" w:hAnsi="Calibri" w:cs="Calibri"/>
                <w:color w:val="000000"/>
                <w:sz w:val="24"/>
                <w:szCs w:val="24"/>
                <w:lang w:eastAsia="en-GB"/>
              </w:rPr>
              <w:t>s</w:t>
            </w:r>
            <w:r w:rsidR="00E713A9" w:rsidRPr="000604A8">
              <w:rPr>
                <w:rFonts w:ascii="Calibri" w:eastAsia="Times New Roman" w:hAnsi="Calibri" w:cs="Calibri"/>
                <w:color w:val="000000"/>
                <w:sz w:val="24"/>
                <w:szCs w:val="24"/>
                <w:lang w:eastAsia="en-GB"/>
              </w:rPr>
              <w:t xml:space="preserve"> gained in preparing this </w:t>
            </w:r>
            <w:r>
              <w:rPr>
                <w:rFonts w:ascii="Calibri" w:eastAsia="Times New Roman" w:hAnsi="Calibri" w:cs="Calibri"/>
                <w:color w:val="000000"/>
                <w:sz w:val="24"/>
                <w:szCs w:val="24"/>
                <w:lang w:eastAsia="en-GB"/>
              </w:rPr>
              <w:t>P</w:t>
            </w:r>
            <w:r w:rsidR="00E713A9" w:rsidRPr="000604A8">
              <w:rPr>
                <w:rFonts w:ascii="Calibri" w:eastAsia="Times New Roman" w:hAnsi="Calibri" w:cs="Calibri"/>
                <w:color w:val="000000"/>
                <w:sz w:val="24"/>
                <w:szCs w:val="24"/>
                <w:lang w:eastAsia="en-GB"/>
              </w:rPr>
              <w:t>lan.</w:t>
            </w:r>
          </w:p>
        </w:tc>
      </w:tr>
      <w:tr w:rsidR="00E713A9" w:rsidRPr="000604A8" w:rsidTr="00DB27A8">
        <w:trPr>
          <w:trHeight w:val="20"/>
        </w:trPr>
        <w:tc>
          <w:tcPr>
            <w:tcW w:w="561" w:type="dxa"/>
            <w:vMerge/>
            <w:shd w:val="clear" w:color="auto" w:fill="2E74B5" w:themeFill="accent1" w:themeFillShade="BF"/>
          </w:tcPr>
          <w:p w:rsidR="00E713A9" w:rsidRPr="00D00765"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2.3</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How has engagement influenced our plan</w:t>
            </w:r>
          </w:p>
        </w:tc>
        <w:tc>
          <w:tcPr>
            <w:tcW w:w="7938" w:type="dxa"/>
            <w:shd w:val="clear" w:color="auto" w:fill="auto"/>
            <w:vAlign w:val="center"/>
          </w:tcPr>
          <w:p w:rsidR="00E713A9" w:rsidRPr="000604A8" w:rsidRDefault="00E713A9" w:rsidP="00A31489">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Table showing how customers</w:t>
            </w:r>
            <w:r w:rsidR="00A31489">
              <w:rPr>
                <w:rFonts w:ascii="Calibri" w:eastAsia="Times New Roman" w:hAnsi="Calibri" w:cs="Calibri"/>
                <w:color w:val="000000"/>
                <w:sz w:val="24"/>
                <w:szCs w:val="24"/>
                <w:lang w:eastAsia="en-GB"/>
              </w:rPr>
              <w:t>’</w:t>
            </w:r>
            <w:r w:rsidRPr="000604A8">
              <w:rPr>
                <w:rFonts w:ascii="Calibri" w:eastAsia="Times New Roman" w:hAnsi="Calibri" w:cs="Calibri"/>
                <w:color w:val="000000"/>
                <w:sz w:val="24"/>
                <w:szCs w:val="24"/>
                <w:lang w:eastAsia="en-GB"/>
              </w:rPr>
              <w:t xml:space="preserve"> views have </w:t>
            </w:r>
            <w:r w:rsidR="00A31489">
              <w:rPr>
                <w:rFonts w:ascii="Calibri" w:eastAsia="Times New Roman" w:hAnsi="Calibri" w:cs="Calibri"/>
                <w:color w:val="000000"/>
                <w:sz w:val="24"/>
                <w:szCs w:val="24"/>
                <w:lang w:eastAsia="en-GB"/>
              </w:rPr>
              <w:t>driven our Plan</w:t>
            </w:r>
            <w:r w:rsidRPr="000604A8">
              <w:rPr>
                <w:rFonts w:ascii="Calibri" w:eastAsia="Times New Roman" w:hAnsi="Calibri" w:cs="Calibri"/>
                <w:color w:val="000000"/>
                <w:sz w:val="24"/>
                <w:szCs w:val="24"/>
                <w:lang w:eastAsia="en-GB"/>
              </w:rPr>
              <w:t>.</w:t>
            </w:r>
          </w:p>
        </w:tc>
      </w:tr>
      <w:tr w:rsidR="00E713A9" w:rsidRPr="000604A8" w:rsidTr="00DB27A8">
        <w:trPr>
          <w:trHeight w:val="20"/>
        </w:trPr>
        <w:tc>
          <w:tcPr>
            <w:tcW w:w="561" w:type="dxa"/>
            <w:vMerge w:val="restart"/>
            <w:shd w:val="clear" w:color="auto" w:fill="2E74B5" w:themeFill="accent1" w:themeFillShade="BF"/>
            <w:vAlign w:val="center"/>
          </w:tcPr>
          <w:p w:rsidR="00E713A9" w:rsidRPr="00D00765"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D00765">
              <w:rPr>
                <w:rFonts w:ascii="Calibri" w:eastAsia="Times New Roman" w:hAnsi="Calibri" w:cs="Calibri"/>
                <w:b/>
                <w:bCs/>
                <w:color w:val="FFFFFF" w:themeColor="background1"/>
                <w:sz w:val="24"/>
                <w:szCs w:val="24"/>
                <w:lang w:eastAsia="en-GB"/>
              </w:rPr>
              <w:t>3</w:t>
            </w:r>
          </w:p>
        </w:tc>
        <w:tc>
          <w:tcPr>
            <w:tcW w:w="1604" w:type="dxa"/>
            <w:vMerge w:val="restart"/>
            <w:shd w:val="clear" w:color="auto" w:fill="F7CAAC" w:themeFill="accent2" w:themeFillTint="66"/>
            <w:vAlign w:val="center"/>
          </w:tcPr>
          <w:p w:rsidR="00143F3E" w:rsidRDefault="00E713A9" w:rsidP="00143F3E">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 xml:space="preserve">Delivering </w:t>
            </w:r>
            <w:r w:rsidR="00143F3E">
              <w:rPr>
                <w:rFonts w:ascii="Calibri" w:eastAsia="Times New Roman" w:hAnsi="Calibri" w:cs="Calibri"/>
                <w:b/>
                <w:bCs/>
                <w:color w:val="000000"/>
                <w:sz w:val="24"/>
                <w:szCs w:val="24"/>
                <w:lang w:eastAsia="en-GB"/>
              </w:rPr>
              <w:t>Customer</w:t>
            </w:r>
          </w:p>
          <w:p w:rsidR="00E713A9" w:rsidRPr="000604A8" w:rsidRDefault="00E713A9" w:rsidP="00143F3E">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Outcomes</w:t>
            </w: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1482" w:type="dxa"/>
            <w:gridSpan w:val="2"/>
          </w:tcPr>
          <w:p w:rsidR="00E713A9" w:rsidRPr="000604A8" w:rsidRDefault="00E713A9" w:rsidP="00D00765">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color w:val="000000"/>
                <w:sz w:val="24"/>
                <w:szCs w:val="24"/>
                <w:lang w:eastAsia="en-GB"/>
              </w:rPr>
              <w:t>This Chapter covers how our PR19 Outcomes and Performance Commitments were developed, the engagement that supports them, what they are and what our plan will deliver.</w:t>
            </w:r>
          </w:p>
        </w:tc>
      </w:tr>
      <w:tr w:rsidR="00143F3E" w:rsidRPr="000604A8" w:rsidTr="00DB27A8">
        <w:trPr>
          <w:trHeight w:val="20"/>
        </w:trPr>
        <w:tc>
          <w:tcPr>
            <w:tcW w:w="561" w:type="dxa"/>
            <w:vMerge/>
            <w:shd w:val="clear" w:color="auto" w:fill="2E74B5" w:themeFill="accent1" w:themeFillShade="BF"/>
          </w:tcPr>
          <w:p w:rsidR="00143F3E" w:rsidRPr="000604A8" w:rsidRDefault="00143F3E"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143F3E" w:rsidRPr="000604A8" w:rsidRDefault="00143F3E" w:rsidP="00D00765">
            <w:pPr>
              <w:spacing w:after="0" w:line="240" w:lineRule="auto"/>
              <w:rPr>
                <w:rFonts w:ascii="Calibri" w:eastAsia="Times New Roman" w:hAnsi="Calibri" w:cs="Calibri"/>
                <w:b/>
                <w:bCs/>
                <w:color w:val="000000"/>
                <w:sz w:val="24"/>
                <w:szCs w:val="24"/>
                <w:lang w:eastAsia="en-GB"/>
              </w:rPr>
            </w:pPr>
          </w:p>
        </w:tc>
        <w:tc>
          <w:tcPr>
            <w:tcW w:w="1096" w:type="dxa"/>
          </w:tcPr>
          <w:p w:rsidR="00143F3E" w:rsidRPr="000604A8" w:rsidRDefault="00143F3E" w:rsidP="00D00765">
            <w:pPr>
              <w:spacing w:after="0" w:line="240" w:lineRule="auto"/>
              <w:rPr>
                <w:rFonts w:ascii="Calibri" w:eastAsia="Times New Roman" w:hAnsi="Calibri" w:cs="Calibri"/>
                <w:color w:val="000000"/>
                <w:sz w:val="24"/>
                <w:szCs w:val="24"/>
                <w:lang w:eastAsia="en-GB"/>
              </w:rPr>
            </w:pPr>
          </w:p>
        </w:tc>
        <w:tc>
          <w:tcPr>
            <w:tcW w:w="11482" w:type="dxa"/>
            <w:gridSpan w:val="2"/>
          </w:tcPr>
          <w:p w:rsidR="00143F3E" w:rsidRPr="00A31489" w:rsidRDefault="00A31489"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The first sections 3.1 to 3.5 set out how Outcomes, Performance Commitments, Service Levels and ODI Rewards and Penalties have been established.</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3.1</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Background</w:t>
            </w:r>
          </w:p>
        </w:tc>
        <w:tc>
          <w:tcPr>
            <w:tcW w:w="7938" w:type="dxa"/>
            <w:shd w:val="clear" w:color="auto" w:fill="auto"/>
            <w:vAlign w:val="center"/>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Brief details of how our ODI framework has been established.</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3.2</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Establishing the Outcomes</w:t>
            </w:r>
          </w:p>
        </w:tc>
        <w:tc>
          <w:tcPr>
            <w:tcW w:w="7938" w:type="dxa"/>
            <w:shd w:val="clear" w:color="auto" w:fill="auto"/>
            <w:vAlign w:val="center"/>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The evolution of outcomes from PR14 to PR19.</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3.3</w:t>
            </w:r>
          </w:p>
        </w:tc>
        <w:tc>
          <w:tcPr>
            <w:tcW w:w="3544" w:type="dxa"/>
          </w:tcPr>
          <w:p w:rsidR="00E713A9" w:rsidRPr="000604A8" w:rsidRDefault="00E713A9" w:rsidP="00A31489">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Establishing </w:t>
            </w:r>
            <w:r w:rsidR="00A31489">
              <w:rPr>
                <w:rFonts w:ascii="Calibri" w:eastAsia="Times New Roman" w:hAnsi="Calibri" w:cs="Calibri"/>
                <w:color w:val="000000"/>
                <w:sz w:val="24"/>
                <w:szCs w:val="24"/>
                <w:lang w:eastAsia="en-GB"/>
              </w:rPr>
              <w:t>t</w:t>
            </w:r>
            <w:r w:rsidRPr="000604A8">
              <w:rPr>
                <w:rFonts w:ascii="Calibri" w:eastAsia="Times New Roman" w:hAnsi="Calibri" w:cs="Calibri"/>
                <w:color w:val="000000"/>
                <w:sz w:val="24"/>
                <w:szCs w:val="24"/>
                <w:lang w:eastAsia="en-GB"/>
              </w:rPr>
              <w:t>he Outcome Delivery Incentives</w:t>
            </w:r>
          </w:p>
        </w:tc>
        <w:tc>
          <w:tcPr>
            <w:tcW w:w="7938" w:type="dxa"/>
            <w:shd w:val="clear" w:color="auto" w:fill="auto"/>
            <w:vAlign w:val="center"/>
          </w:tcPr>
          <w:p w:rsidR="00E713A9" w:rsidRPr="000604A8" w:rsidRDefault="00EE49A3" w:rsidP="009136B8">
            <w:pPr>
              <w:rPr>
                <w:rFonts w:ascii="Calibri" w:eastAsia="Times New Roman" w:hAnsi="Calibri" w:cs="Calibri"/>
                <w:color w:val="000000"/>
                <w:sz w:val="24"/>
                <w:szCs w:val="24"/>
                <w:lang w:eastAsia="en-GB"/>
              </w:rPr>
            </w:pPr>
            <w:r w:rsidRPr="00EE49A3">
              <w:rPr>
                <w:sz w:val="24"/>
                <w:szCs w:val="24"/>
              </w:rPr>
              <w:t>The steps in the process of establishing Performance Commitments, determining stretching Service Levels and establishing rewards and penalties.</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3.4</w:t>
            </w:r>
          </w:p>
        </w:tc>
        <w:tc>
          <w:tcPr>
            <w:tcW w:w="3544" w:type="dxa"/>
          </w:tcPr>
          <w:p w:rsidR="00E713A9" w:rsidRPr="000604A8" w:rsidRDefault="00143F3E"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RoRE of ODI package</w:t>
            </w:r>
          </w:p>
        </w:tc>
        <w:tc>
          <w:tcPr>
            <w:tcW w:w="7938" w:type="dxa"/>
            <w:shd w:val="clear" w:color="auto" w:fill="auto"/>
            <w:vAlign w:val="center"/>
          </w:tcPr>
          <w:p w:rsidR="00E713A9" w:rsidRPr="00143F3E" w:rsidRDefault="00A31489" w:rsidP="00D00765">
            <w:pPr>
              <w:spacing w:after="0" w:line="240" w:lineRule="auto"/>
              <w:rPr>
                <w:rFonts w:ascii="Calibri" w:eastAsia="Times New Roman" w:hAnsi="Calibri" w:cs="Calibri"/>
                <w:color w:val="000000"/>
                <w:sz w:val="24"/>
                <w:szCs w:val="24"/>
                <w:highlight w:val="yellow"/>
                <w:lang w:eastAsia="en-GB"/>
              </w:rPr>
            </w:pPr>
            <w:r w:rsidRPr="00A31489">
              <w:rPr>
                <w:rFonts w:ascii="Calibri" w:eastAsia="Times New Roman" w:hAnsi="Calibri" w:cs="Calibri"/>
                <w:color w:val="000000"/>
                <w:sz w:val="24"/>
                <w:szCs w:val="24"/>
                <w:lang w:eastAsia="en-GB"/>
              </w:rPr>
              <w:t>Assessment of the overall ODI package and benchmarking against the RoRE range.</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3.5</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Disseminating performance  information effectively</w:t>
            </w:r>
          </w:p>
        </w:tc>
        <w:tc>
          <w:tcPr>
            <w:tcW w:w="7938" w:type="dxa"/>
            <w:shd w:val="clear" w:color="auto" w:fill="auto"/>
            <w:vAlign w:val="center"/>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An explanation of how we will share performance information </w:t>
            </w:r>
            <w:r w:rsidR="00A31489">
              <w:rPr>
                <w:rFonts w:ascii="Calibri" w:eastAsia="Times New Roman" w:hAnsi="Calibri" w:cs="Calibri"/>
                <w:color w:val="000000"/>
                <w:sz w:val="24"/>
                <w:szCs w:val="24"/>
                <w:lang w:eastAsia="en-GB"/>
              </w:rPr>
              <w:t xml:space="preserve">effectively </w:t>
            </w:r>
            <w:r w:rsidRPr="000604A8">
              <w:rPr>
                <w:rFonts w:ascii="Calibri" w:eastAsia="Times New Roman" w:hAnsi="Calibri" w:cs="Calibri"/>
                <w:color w:val="000000"/>
                <w:sz w:val="24"/>
                <w:szCs w:val="24"/>
                <w:lang w:eastAsia="en-GB"/>
              </w:rPr>
              <w:t>with customers and stakeholders</w:t>
            </w:r>
            <w:r w:rsidR="00A31489">
              <w:rPr>
                <w:rFonts w:ascii="Calibri" w:eastAsia="Times New Roman" w:hAnsi="Calibri" w:cs="Calibri"/>
                <w:color w:val="000000"/>
                <w:sz w:val="24"/>
                <w:szCs w:val="24"/>
                <w:lang w:eastAsia="en-GB"/>
              </w:rPr>
              <w:t>, to enhance trust and legitimacy</w:t>
            </w:r>
            <w:r w:rsidR="005E5934">
              <w:rPr>
                <w:rFonts w:ascii="Calibri" w:eastAsia="Times New Roman" w:hAnsi="Calibri" w:cs="Calibri"/>
                <w:color w:val="000000"/>
                <w:sz w:val="24"/>
                <w:szCs w:val="24"/>
                <w:lang w:eastAsia="en-GB"/>
              </w:rPr>
              <w:t>.</w:t>
            </w:r>
          </w:p>
        </w:tc>
      </w:tr>
    </w:tbl>
    <w:p w:rsidR="00D43FED" w:rsidRDefault="00D43FED"/>
    <w:p w:rsidR="004E1FD2" w:rsidRDefault="004E1FD2"/>
    <w:tbl>
      <w:tblPr>
        <w:tblW w:w="147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604"/>
        <w:gridCol w:w="1096"/>
        <w:gridCol w:w="3544"/>
        <w:gridCol w:w="7938"/>
      </w:tblGrid>
      <w:tr w:rsidR="00D43FED" w:rsidRPr="000604A8" w:rsidTr="007C45DD">
        <w:trPr>
          <w:trHeight w:val="20"/>
        </w:trPr>
        <w:tc>
          <w:tcPr>
            <w:tcW w:w="2165" w:type="dxa"/>
            <w:gridSpan w:val="2"/>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bCs/>
                <w:color w:val="FFFFFF" w:themeColor="background1"/>
                <w:sz w:val="24"/>
                <w:szCs w:val="24"/>
                <w:lang w:eastAsia="en-GB"/>
              </w:rPr>
            </w:pPr>
            <w:r w:rsidRPr="000604A8">
              <w:rPr>
                <w:rFonts w:ascii="Calibri" w:eastAsia="Times New Roman" w:hAnsi="Calibri" w:cs="Calibri"/>
                <w:b/>
                <w:bCs/>
                <w:color w:val="FFFFFF" w:themeColor="background1"/>
                <w:sz w:val="24"/>
                <w:szCs w:val="24"/>
                <w:lang w:eastAsia="en-GB"/>
              </w:rPr>
              <w:t>Chapter</w:t>
            </w:r>
          </w:p>
        </w:tc>
        <w:tc>
          <w:tcPr>
            <w:tcW w:w="1096" w:type="dxa"/>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 xml:space="preserve">Section </w:t>
            </w:r>
          </w:p>
        </w:tc>
        <w:tc>
          <w:tcPr>
            <w:tcW w:w="3544" w:type="dxa"/>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Main Section Headings</w:t>
            </w:r>
          </w:p>
        </w:tc>
        <w:tc>
          <w:tcPr>
            <w:tcW w:w="7938" w:type="dxa"/>
            <w:shd w:val="clear" w:color="auto" w:fill="2E74B5" w:themeFill="accent1" w:themeFillShade="BF"/>
            <w:vAlign w:val="center"/>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Brief Description</w:t>
            </w:r>
          </w:p>
        </w:tc>
      </w:tr>
      <w:tr w:rsidR="00D43FED" w:rsidRPr="000604A8" w:rsidTr="00B336B5">
        <w:trPr>
          <w:trHeight w:val="20"/>
        </w:trPr>
        <w:tc>
          <w:tcPr>
            <w:tcW w:w="561" w:type="dxa"/>
            <w:vMerge w:val="restart"/>
            <w:shd w:val="clear" w:color="auto" w:fill="2E74B5" w:themeFill="accent1" w:themeFillShade="BF"/>
            <w:vAlign w:val="center"/>
          </w:tcPr>
          <w:p w:rsidR="00D43FED" w:rsidRPr="00D00765" w:rsidRDefault="00D43FED" w:rsidP="00D43FED">
            <w:pPr>
              <w:spacing w:after="0" w:line="240" w:lineRule="auto"/>
              <w:jc w:val="center"/>
              <w:rPr>
                <w:rFonts w:ascii="Calibri" w:eastAsia="Times New Roman" w:hAnsi="Calibri" w:cs="Calibri"/>
                <w:b/>
                <w:bCs/>
                <w:color w:val="FFFFFF" w:themeColor="background1"/>
                <w:sz w:val="24"/>
                <w:szCs w:val="24"/>
                <w:lang w:eastAsia="en-GB"/>
              </w:rPr>
            </w:pPr>
            <w:r w:rsidRPr="00D00765">
              <w:rPr>
                <w:rFonts w:ascii="Calibri" w:eastAsia="Times New Roman" w:hAnsi="Calibri" w:cs="Calibri"/>
                <w:b/>
                <w:bCs/>
                <w:color w:val="FFFFFF" w:themeColor="background1"/>
                <w:sz w:val="24"/>
                <w:szCs w:val="24"/>
                <w:lang w:eastAsia="en-GB"/>
              </w:rPr>
              <w:t>3</w:t>
            </w:r>
          </w:p>
        </w:tc>
        <w:tc>
          <w:tcPr>
            <w:tcW w:w="1604" w:type="dxa"/>
            <w:vMerge w:val="restart"/>
            <w:shd w:val="clear" w:color="auto" w:fill="F7CAAC" w:themeFill="accent2" w:themeFillTint="66"/>
            <w:vAlign w:val="center"/>
          </w:tcPr>
          <w:p w:rsidR="00D43FED" w:rsidRDefault="00D43FED" w:rsidP="00D43FED">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 xml:space="preserve">Delivering </w:t>
            </w:r>
            <w:r>
              <w:rPr>
                <w:rFonts w:ascii="Calibri" w:eastAsia="Times New Roman" w:hAnsi="Calibri" w:cs="Calibri"/>
                <w:b/>
                <w:bCs/>
                <w:color w:val="000000"/>
                <w:sz w:val="24"/>
                <w:szCs w:val="24"/>
                <w:lang w:eastAsia="en-GB"/>
              </w:rPr>
              <w:t>Customer</w:t>
            </w:r>
          </w:p>
          <w:p w:rsidR="00D43FED" w:rsidRPr="000604A8" w:rsidRDefault="00D43FED" w:rsidP="00D43FED">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Outcomes</w:t>
            </w:r>
          </w:p>
        </w:tc>
        <w:tc>
          <w:tcPr>
            <w:tcW w:w="1096" w:type="dxa"/>
          </w:tcPr>
          <w:p w:rsidR="00D43FED" w:rsidRPr="000604A8" w:rsidRDefault="00D43FED" w:rsidP="00D43FED">
            <w:pPr>
              <w:spacing w:after="0" w:line="240" w:lineRule="auto"/>
              <w:rPr>
                <w:rFonts w:ascii="Calibri" w:eastAsia="Times New Roman" w:hAnsi="Calibri" w:cs="Calibri"/>
                <w:color w:val="000000"/>
                <w:sz w:val="24"/>
                <w:szCs w:val="24"/>
                <w:lang w:eastAsia="en-GB"/>
              </w:rPr>
            </w:pPr>
          </w:p>
        </w:tc>
        <w:tc>
          <w:tcPr>
            <w:tcW w:w="11482" w:type="dxa"/>
            <w:gridSpan w:val="2"/>
          </w:tcPr>
          <w:p w:rsidR="00D43FED" w:rsidRPr="00143F3E" w:rsidRDefault="00D43FED" w:rsidP="00D43FED">
            <w:pPr>
              <w:spacing w:after="0" w:line="240" w:lineRule="auto"/>
              <w:rPr>
                <w:rFonts w:ascii="Calibri" w:eastAsia="Times New Roman" w:hAnsi="Calibri" w:cs="Calibri"/>
                <w:b/>
                <w:color w:val="000000"/>
                <w:sz w:val="24"/>
                <w:szCs w:val="24"/>
                <w:lang w:eastAsia="en-GB"/>
              </w:rPr>
            </w:pPr>
            <w:r>
              <w:rPr>
                <w:rFonts w:ascii="Calibri" w:eastAsia="Times New Roman" w:hAnsi="Calibri" w:cs="Calibri"/>
                <w:b/>
                <w:color w:val="000000"/>
                <w:sz w:val="24"/>
                <w:szCs w:val="24"/>
                <w:lang w:eastAsia="en-GB"/>
              </w:rPr>
              <w:t>The following Sections cover each of our Outcomes and related Performance Commitment.  Each section gives further detail on the relevant customer engagement and explains how the Outcome and related Performance Commitments will be delivered.</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3.6</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Safe, Secure and Reliable supply of drinking water</w:t>
            </w:r>
          </w:p>
        </w:tc>
        <w:tc>
          <w:tcPr>
            <w:tcW w:w="7938" w:type="dxa"/>
            <w:shd w:val="clear" w:color="auto" w:fill="auto"/>
            <w:vAlign w:val="center"/>
            <w:hideMark/>
          </w:tcPr>
          <w:p w:rsidR="00E713A9" w:rsidRPr="000604A8" w:rsidRDefault="00E713A9" w:rsidP="00A31489">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This section covers engagement undertaken and the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erformance </w:t>
            </w:r>
            <w:r w:rsidR="00A31489">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 xml:space="preserve">ommitments associated. There are seven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erformance </w:t>
            </w:r>
            <w:r w:rsidR="00A31489">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 xml:space="preserve">ommitments related to this </w:t>
            </w:r>
            <w:r w:rsidR="00A31489">
              <w:rPr>
                <w:rFonts w:ascii="Calibri" w:eastAsia="Times New Roman" w:hAnsi="Calibri" w:cs="Calibri"/>
                <w:color w:val="000000"/>
                <w:sz w:val="24"/>
                <w:szCs w:val="24"/>
                <w:lang w:eastAsia="en-GB"/>
              </w:rPr>
              <w:t>O</w:t>
            </w:r>
            <w:r w:rsidRPr="000604A8">
              <w:rPr>
                <w:rFonts w:ascii="Calibri" w:eastAsia="Times New Roman" w:hAnsi="Calibri" w:cs="Calibri"/>
                <w:color w:val="000000"/>
                <w:sz w:val="24"/>
                <w:szCs w:val="24"/>
                <w:lang w:eastAsia="en-GB"/>
              </w:rPr>
              <w:t xml:space="preserve">utcome, Water Quality Compliance, </w:t>
            </w:r>
            <w:r w:rsidR="00A31489">
              <w:rPr>
                <w:rFonts w:ascii="Calibri" w:eastAsia="Times New Roman" w:hAnsi="Calibri" w:cs="Calibri"/>
                <w:color w:val="000000"/>
                <w:sz w:val="24"/>
                <w:szCs w:val="24"/>
                <w:lang w:eastAsia="en-GB"/>
              </w:rPr>
              <w:t xml:space="preserve">Customer </w:t>
            </w:r>
            <w:r w:rsidRPr="000604A8">
              <w:rPr>
                <w:rFonts w:ascii="Calibri" w:eastAsia="Times New Roman" w:hAnsi="Calibri" w:cs="Calibri"/>
                <w:color w:val="000000"/>
                <w:sz w:val="24"/>
                <w:szCs w:val="24"/>
                <w:lang w:eastAsia="en-GB"/>
              </w:rPr>
              <w:t xml:space="preserve">Contacts, Unplanned Outage, Resilience Schemes, Mains Burst, Supply Interruptions and Properties at risk of low pressure. </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096" w:type="dxa"/>
            <w:shd w:val="clear" w:color="000000" w:fill="FFFFFF"/>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3.7</w:t>
            </w:r>
          </w:p>
        </w:tc>
        <w:tc>
          <w:tcPr>
            <w:tcW w:w="3544" w:type="dxa"/>
            <w:shd w:val="clear" w:color="000000" w:fill="FFFFFF"/>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Long Term resilience of supplies for our own customers and to support the South East Region</w:t>
            </w:r>
          </w:p>
        </w:tc>
        <w:tc>
          <w:tcPr>
            <w:tcW w:w="7938" w:type="dxa"/>
            <w:shd w:val="clear" w:color="000000" w:fill="FFFFFF"/>
            <w:vAlign w:val="center"/>
            <w:hideMark/>
          </w:tcPr>
          <w:p w:rsidR="00E713A9" w:rsidRPr="000604A8" w:rsidRDefault="00E713A9" w:rsidP="00026292">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This </w:t>
            </w:r>
            <w:r w:rsidR="00026292">
              <w:rPr>
                <w:rFonts w:ascii="Calibri" w:eastAsia="Times New Roman" w:hAnsi="Calibri" w:cs="Calibri"/>
                <w:color w:val="000000"/>
                <w:sz w:val="24"/>
                <w:szCs w:val="24"/>
                <w:lang w:eastAsia="en-GB"/>
              </w:rPr>
              <w:t xml:space="preserve">section covers our plans to deliver more resilient water resources for the South East.  It also </w:t>
            </w:r>
            <w:r w:rsidRPr="000604A8">
              <w:rPr>
                <w:rFonts w:ascii="Calibri" w:eastAsia="Times New Roman" w:hAnsi="Calibri" w:cs="Calibri"/>
                <w:color w:val="000000"/>
                <w:sz w:val="24"/>
                <w:szCs w:val="24"/>
                <w:lang w:eastAsia="en-GB"/>
              </w:rPr>
              <w:t xml:space="preserve">covers engagement undertaken and the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erformance </w:t>
            </w:r>
            <w:r w:rsidR="00A31489">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 xml:space="preserve">ommitments associated. There are three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erformance </w:t>
            </w:r>
            <w:r w:rsidR="00A31489">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ommitments</w:t>
            </w:r>
            <w:r w:rsidR="00A31489">
              <w:rPr>
                <w:rFonts w:ascii="Calibri" w:eastAsia="Times New Roman" w:hAnsi="Calibri" w:cs="Calibri"/>
                <w:color w:val="000000"/>
                <w:sz w:val="24"/>
                <w:szCs w:val="24"/>
                <w:lang w:eastAsia="en-GB"/>
              </w:rPr>
              <w:t>;</w:t>
            </w:r>
            <w:r w:rsidRPr="000604A8">
              <w:rPr>
                <w:rFonts w:ascii="Calibri" w:eastAsia="Times New Roman" w:hAnsi="Calibri" w:cs="Calibri"/>
                <w:color w:val="000000"/>
                <w:sz w:val="24"/>
                <w:szCs w:val="24"/>
                <w:lang w:eastAsia="en-GB"/>
              </w:rPr>
              <w:t xml:space="preserve"> PCC, Risk of severe restrictions in drought and Requirement to introduce Temporary Use Bans. </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3.8</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Low leakage</w:t>
            </w:r>
          </w:p>
        </w:tc>
        <w:tc>
          <w:tcPr>
            <w:tcW w:w="7938" w:type="dxa"/>
            <w:shd w:val="clear" w:color="auto" w:fill="auto"/>
            <w:vAlign w:val="center"/>
            <w:hideMark/>
          </w:tcPr>
          <w:p w:rsidR="00E713A9" w:rsidRPr="000604A8" w:rsidRDefault="00E713A9" w:rsidP="00A31489">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This section covers engagement undertaken and the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erformance </w:t>
            </w:r>
            <w:r w:rsidR="00A31489">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ommitment</w:t>
            </w:r>
            <w:r w:rsidR="00A31489">
              <w:rPr>
                <w:rFonts w:ascii="Calibri" w:eastAsia="Times New Roman" w:hAnsi="Calibri" w:cs="Calibri"/>
                <w:color w:val="000000"/>
                <w:sz w:val="24"/>
                <w:szCs w:val="24"/>
                <w:lang w:eastAsia="en-GB"/>
              </w:rPr>
              <w:t>s</w:t>
            </w:r>
            <w:r w:rsidRPr="000604A8">
              <w:rPr>
                <w:rFonts w:ascii="Calibri" w:eastAsia="Times New Roman" w:hAnsi="Calibri" w:cs="Calibri"/>
                <w:color w:val="000000"/>
                <w:sz w:val="24"/>
                <w:szCs w:val="24"/>
                <w:lang w:eastAsia="en-GB"/>
              </w:rPr>
              <w:t xml:space="preserve"> associated. There is one Performance Commitment related to Low Leakage, which is a </w:t>
            </w:r>
            <w:r w:rsidR="00A31489">
              <w:rPr>
                <w:rFonts w:ascii="Calibri" w:eastAsia="Times New Roman" w:hAnsi="Calibri" w:cs="Calibri"/>
                <w:color w:val="000000"/>
                <w:sz w:val="24"/>
                <w:szCs w:val="24"/>
                <w:lang w:eastAsia="en-GB"/>
              </w:rPr>
              <w:t>l</w:t>
            </w:r>
            <w:r w:rsidRPr="000604A8">
              <w:rPr>
                <w:rFonts w:ascii="Calibri" w:eastAsia="Times New Roman" w:hAnsi="Calibri" w:cs="Calibri"/>
                <w:color w:val="000000"/>
                <w:sz w:val="24"/>
                <w:szCs w:val="24"/>
                <w:lang w:eastAsia="en-GB"/>
              </w:rPr>
              <w:t xml:space="preserve">eakage reduction target. </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3.9</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A service tailored to individual needs at a long term affordable price</w:t>
            </w:r>
          </w:p>
        </w:tc>
        <w:tc>
          <w:tcPr>
            <w:tcW w:w="7938" w:type="dxa"/>
            <w:shd w:val="clear" w:color="auto" w:fill="auto"/>
            <w:vAlign w:val="center"/>
            <w:hideMark/>
          </w:tcPr>
          <w:p w:rsidR="00E713A9" w:rsidRPr="000604A8" w:rsidRDefault="00E713A9" w:rsidP="00A31489">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This section covers engagement undertaken and the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erformance </w:t>
            </w:r>
            <w:r w:rsidR="00A31489">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ommitment</w:t>
            </w:r>
            <w:r w:rsidR="00A31489">
              <w:rPr>
                <w:rFonts w:ascii="Calibri" w:eastAsia="Times New Roman" w:hAnsi="Calibri" w:cs="Calibri"/>
                <w:color w:val="000000"/>
                <w:sz w:val="24"/>
                <w:szCs w:val="24"/>
                <w:lang w:eastAsia="en-GB"/>
              </w:rPr>
              <w:t>s</w:t>
            </w:r>
            <w:r w:rsidRPr="000604A8">
              <w:rPr>
                <w:rFonts w:ascii="Calibri" w:eastAsia="Times New Roman" w:hAnsi="Calibri" w:cs="Calibri"/>
                <w:color w:val="000000"/>
                <w:sz w:val="24"/>
                <w:szCs w:val="24"/>
                <w:lang w:eastAsia="en-GB"/>
              </w:rPr>
              <w:t xml:space="preserve"> associated. There are four Performance Commitments</w:t>
            </w:r>
            <w:r w:rsidR="00A31489">
              <w:rPr>
                <w:rFonts w:ascii="Calibri" w:eastAsia="Times New Roman" w:hAnsi="Calibri" w:cs="Calibri"/>
                <w:color w:val="000000"/>
                <w:sz w:val="24"/>
                <w:szCs w:val="24"/>
                <w:lang w:eastAsia="en-GB"/>
              </w:rPr>
              <w:t>;</w:t>
            </w:r>
            <w:r w:rsidRPr="000604A8">
              <w:rPr>
                <w:rFonts w:ascii="Calibri" w:eastAsia="Times New Roman" w:hAnsi="Calibri" w:cs="Calibri"/>
                <w:color w:val="000000"/>
                <w:sz w:val="24"/>
                <w:szCs w:val="24"/>
                <w:lang w:eastAsia="en-GB"/>
              </w:rPr>
              <w:t xml:space="preserve"> C-Mex, D-Mex, Affordability and Void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roperties</w:t>
            </w:r>
            <w:r w:rsidR="00A31489">
              <w:rPr>
                <w:rFonts w:ascii="Calibri" w:eastAsia="Times New Roman" w:hAnsi="Calibri" w:cs="Calibri"/>
                <w:color w:val="000000"/>
                <w:sz w:val="24"/>
                <w:szCs w:val="24"/>
                <w:lang w:eastAsia="en-GB"/>
              </w:rPr>
              <w:t xml:space="preserve"> and Gap Sites</w:t>
            </w:r>
            <w:r w:rsidRPr="000604A8">
              <w:rPr>
                <w:rFonts w:ascii="Calibri" w:eastAsia="Times New Roman" w:hAnsi="Calibri" w:cs="Calibri"/>
                <w:color w:val="000000"/>
                <w:sz w:val="24"/>
                <w:szCs w:val="24"/>
                <w:lang w:eastAsia="en-GB"/>
              </w:rPr>
              <w:t>.</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3.10</w:t>
            </w:r>
          </w:p>
        </w:tc>
        <w:tc>
          <w:tcPr>
            <w:tcW w:w="3544" w:type="dxa"/>
            <w:vAlign w:val="center"/>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An improved environment, supporting biodiversity</w:t>
            </w:r>
          </w:p>
        </w:tc>
        <w:tc>
          <w:tcPr>
            <w:tcW w:w="7938" w:type="dxa"/>
            <w:shd w:val="clear" w:color="auto" w:fill="auto"/>
            <w:vAlign w:val="center"/>
            <w:hideMark/>
          </w:tcPr>
          <w:p w:rsidR="00E713A9" w:rsidRPr="000604A8" w:rsidRDefault="00E713A9" w:rsidP="00A31489">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This section covers engagement undertaken and the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erformance </w:t>
            </w:r>
            <w:r w:rsidR="00A31489">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ommitments associated. There are four Performance Commitments</w:t>
            </w:r>
            <w:r w:rsidR="00A31489">
              <w:rPr>
                <w:rFonts w:ascii="Calibri" w:eastAsia="Times New Roman" w:hAnsi="Calibri" w:cs="Calibri"/>
                <w:color w:val="000000"/>
                <w:sz w:val="24"/>
                <w:szCs w:val="24"/>
                <w:lang w:eastAsia="en-GB"/>
              </w:rPr>
              <w:t>;</w:t>
            </w:r>
            <w:r w:rsidRPr="000604A8">
              <w:rPr>
                <w:rFonts w:ascii="Calibri" w:eastAsia="Times New Roman" w:hAnsi="Calibri" w:cs="Calibri"/>
                <w:color w:val="000000"/>
                <w:sz w:val="24"/>
                <w:szCs w:val="24"/>
                <w:lang w:eastAsia="en-GB"/>
              </w:rPr>
              <w:t xml:space="preserve"> Biodiversity, Catchment Management, AIM and Carbon.</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3.11</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Being recognised by the community as a good corporate citizen</w:t>
            </w:r>
          </w:p>
        </w:tc>
        <w:tc>
          <w:tcPr>
            <w:tcW w:w="7938" w:type="dxa"/>
            <w:shd w:val="clear" w:color="auto" w:fill="auto"/>
            <w:vAlign w:val="center"/>
            <w:hideMark/>
          </w:tcPr>
          <w:p w:rsidR="00E713A9" w:rsidRPr="000604A8" w:rsidRDefault="00E713A9" w:rsidP="00240901">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This section covers engagement undertaken and the </w:t>
            </w:r>
            <w:r w:rsidR="00A31489">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erformance </w:t>
            </w:r>
            <w:r w:rsidR="00A31489">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 xml:space="preserve">ommitment associated. There is one Performance Commitment related to satisfaction of our vulnerability management. </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3.12</w:t>
            </w:r>
          </w:p>
        </w:tc>
        <w:tc>
          <w:tcPr>
            <w:tcW w:w="3544" w:type="dxa"/>
          </w:tcPr>
          <w:p w:rsidR="00E713A9" w:rsidRPr="000604A8" w:rsidRDefault="00E713A9" w:rsidP="00A5283E">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Recognised by stakeholders as having a culture of Health and Safety </w:t>
            </w:r>
          </w:p>
        </w:tc>
        <w:tc>
          <w:tcPr>
            <w:tcW w:w="7938" w:type="dxa"/>
            <w:shd w:val="clear" w:color="auto" w:fill="auto"/>
            <w:vAlign w:val="center"/>
            <w:hideMark/>
          </w:tcPr>
          <w:p w:rsidR="00E713A9" w:rsidRPr="000604A8" w:rsidRDefault="00E713A9" w:rsidP="00240901">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This section covers engagement undertaken and the </w:t>
            </w:r>
            <w:r w:rsidR="00240901">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erformance </w:t>
            </w:r>
            <w:r w:rsidR="00240901">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ommitment associated. There is one Performance Commitment</w:t>
            </w:r>
            <w:r w:rsidR="00240901">
              <w:rPr>
                <w:rFonts w:ascii="Calibri" w:eastAsia="Times New Roman" w:hAnsi="Calibri" w:cs="Calibri"/>
                <w:color w:val="000000"/>
                <w:sz w:val="24"/>
                <w:szCs w:val="24"/>
                <w:lang w:eastAsia="en-GB"/>
              </w:rPr>
              <w:t>;</w:t>
            </w:r>
            <w:r w:rsidRPr="000604A8">
              <w:rPr>
                <w:rFonts w:ascii="Calibri" w:eastAsia="Times New Roman" w:hAnsi="Calibri" w:cs="Calibri"/>
                <w:color w:val="000000"/>
                <w:sz w:val="24"/>
                <w:szCs w:val="24"/>
                <w:lang w:eastAsia="en-GB"/>
              </w:rPr>
              <w:t xml:space="preserve"> </w:t>
            </w:r>
            <w:r w:rsidR="00240901">
              <w:rPr>
                <w:rFonts w:ascii="Calibri" w:eastAsia="Times New Roman" w:hAnsi="Calibri" w:cs="Calibri"/>
                <w:color w:val="000000"/>
                <w:sz w:val="24"/>
                <w:szCs w:val="24"/>
                <w:lang w:eastAsia="en-GB"/>
              </w:rPr>
              <w:t>t</w:t>
            </w:r>
            <w:r w:rsidRPr="000604A8">
              <w:rPr>
                <w:rFonts w:ascii="Calibri" w:eastAsia="Times New Roman" w:hAnsi="Calibri" w:cs="Calibri"/>
                <w:color w:val="000000"/>
                <w:sz w:val="24"/>
                <w:szCs w:val="24"/>
                <w:lang w:eastAsia="en-GB"/>
              </w:rPr>
              <w:t xml:space="preserve">he Annual President’s award, from RoSPA. </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3.13</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Delivering Statutory Responsibilities</w:t>
            </w:r>
          </w:p>
        </w:tc>
        <w:tc>
          <w:tcPr>
            <w:tcW w:w="7938" w:type="dxa"/>
            <w:shd w:val="clear" w:color="auto" w:fill="auto"/>
            <w:vAlign w:val="center"/>
            <w:hideMark/>
          </w:tcPr>
          <w:p w:rsidR="00E713A9" w:rsidRPr="000604A8" w:rsidRDefault="00240901"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This provides a summary of how the Plan meets</w:t>
            </w:r>
            <w:r w:rsidR="00E713A9" w:rsidRPr="000604A8">
              <w:rPr>
                <w:rFonts w:ascii="Calibri" w:eastAsia="Times New Roman" w:hAnsi="Calibri" w:cs="Calibri"/>
                <w:color w:val="000000"/>
                <w:sz w:val="24"/>
                <w:szCs w:val="24"/>
                <w:lang w:eastAsia="en-GB"/>
              </w:rPr>
              <w:t xml:space="preserve"> the statutory requirements placed on Portsmouth Water.  </w:t>
            </w:r>
            <w:r>
              <w:rPr>
                <w:rFonts w:ascii="Calibri" w:eastAsia="Times New Roman" w:hAnsi="Calibri" w:cs="Calibri"/>
                <w:color w:val="000000"/>
                <w:sz w:val="24"/>
                <w:szCs w:val="24"/>
                <w:lang w:eastAsia="en-GB"/>
              </w:rPr>
              <w:t>There is also a summary of how the Plan addresses the strategic priorities of UK Gov and other key stakeholders.</w:t>
            </w:r>
          </w:p>
        </w:tc>
      </w:tr>
    </w:tbl>
    <w:p w:rsidR="00D43FED" w:rsidRDefault="00D43FED"/>
    <w:tbl>
      <w:tblPr>
        <w:tblW w:w="147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604"/>
        <w:gridCol w:w="1096"/>
        <w:gridCol w:w="3544"/>
        <w:gridCol w:w="7938"/>
      </w:tblGrid>
      <w:tr w:rsidR="00D43FED" w:rsidRPr="000604A8" w:rsidTr="007C45DD">
        <w:trPr>
          <w:trHeight w:val="20"/>
        </w:trPr>
        <w:tc>
          <w:tcPr>
            <w:tcW w:w="2165" w:type="dxa"/>
            <w:gridSpan w:val="2"/>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bCs/>
                <w:color w:val="FFFFFF" w:themeColor="background1"/>
                <w:sz w:val="24"/>
                <w:szCs w:val="24"/>
                <w:lang w:eastAsia="en-GB"/>
              </w:rPr>
            </w:pPr>
            <w:r w:rsidRPr="000604A8">
              <w:rPr>
                <w:rFonts w:ascii="Calibri" w:eastAsia="Times New Roman" w:hAnsi="Calibri" w:cs="Calibri"/>
                <w:b/>
                <w:bCs/>
                <w:color w:val="FFFFFF" w:themeColor="background1"/>
                <w:sz w:val="24"/>
                <w:szCs w:val="24"/>
                <w:lang w:eastAsia="en-GB"/>
              </w:rPr>
              <w:t>Chapter</w:t>
            </w:r>
          </w:p>
        </w:tc>
        <w:tc>
          <w:tcPr>
            <w:tcW w:w="1096" w:type="dxa"/>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 xml:space="preserve">Section </w:t>
            </w:r>
          </w:p>
        </w:tc>
        <w:tc>
          <w:tcPr>
            <w:tcW w:w="3544" w:type="dxa"/>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Main Section Headings</w:t>
            </w:r>
          </w:p>
        </w:tc>
        <w:tc>
          <w:tcPr>
            <w:tcW w:w="7938" w:type="dxa"/>
            <w:shd w:val="clear" w:color="auto" w:fill="2E74B5" w:themeFill="accent1" w:themeFillShade="BF"/>
            <w:vAlign w:val="center"/>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Brief Description</w:t>
            </w:r>
          </w:p>
        </w:tc>
      </w:tr>
      <w:tr w:rsidR="00E713A9" w:rsidRPr="000604A8" w:rsidTr="00DB27A8">
        <w:trPr>
          <w:trHeight w:val="20"/>
        </w:trPr>
        <w:tc>
          <w:tcPr>
            <w:tcW w:w="561" w:type="dxa"/>
            <w:vMerge w:val="restart"/>
            <w:shd w:val="clear" w:color="auto" w:fill="2E74B5" w:themeFill="accent1" w:themeFillShade="BF"/>
            <w:vAlign w:val="center"/>
          </w:tcPr>
          <w:p w:rsidR="00E713A9" w:rsidRPr="005755E3" w:rsidRDefault="00180F4D"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color w:val="FFFFFF" w:themeColor="background1"/>
                <w:sz w:val="24"/>
                <w:szCs w:val="24"/>
              </w:rPr>
              <w:br w:type="page"/>
            </w:r>
            <w:r w:rsidR="00E713A9" w:rsidRPr="005755E3">
              <w:rPr>
                <w:rFonts w:ascii="Calibri" w:eastAsia="Times New Roman" w:hAnsi="Calibri" w:cs="Calibri"/>
                <w:b/>
                <w:bCs/>
                <w:color w:val="FFFFFF" w:themeColor="background1"/>
                <w:sz w:val="24"/>
                <w:szCs w:val="24"/>
                <w:lang w:eastAsia="en-GB"/>
              </w:rPr>
              <w:t>4</w:t>
            </w:r>
          </w:p>
        </w:tc>
        <w:tc>
          <w:tcPr>
            <w:tcW w:w="1604" w:type="dxa"/>
            <w:vMerge w:val="restart"/>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sz w:val="24"/>
                <w:szCs w:val="24"/>
                <w:lang w:eastAsia="en-GB"/>
              </w:rPr>
            </w:pPr>
            <w:r w:rsidRPr="000604A8">
              <w:rPr>
                <w:rFonts w:ascii="Calibri" w:eastAsia="Times New Roman" w:hAnsi="Calibri" w:cs="Calibri"/>
                <w:b/>
                <w:bCs/>
                <w:sz w:val="24"/>
                <w:szCs w:val="24"/>
                <w:lang w:eastAsia="en-GB"/>
              </w:rPr>
              <w:t>Great Customer Service</w:t>
            </w:r>
          </w:p>
        </w:tc>
        <w:tc>
          <w:tcPr>
            <w:tcW w:w="12578" w:type="dxa"/>
            <w:gridSpan w:val="3"/>
          </w:tcPr>
          <w:p w:rsidR="00E713A9" w:rsidRPr="000604A8" w:rsidRDefault="00E713A9" w:rsidP="00240901">
            <w:pPr>
              <w:spacing w:after="0" w:line="240" w:lineRule="auto"/>
              <w:rPr>
                <w:rFonts w:ascii="Calibri" w:eastAsia="Times New Roman" w:hAnsi="Calibri" w:cs="Calibri"/>
                <w:b/>
                <w:sz w:val="24"/>
                <w:szCs w:val="24"/>
                <w:lang w:eastAsia="en-GB"/>
              </w:rPr>
            </w:pPr>
            <w:r w:rsidRPr="000604A8">
              <w:rPr>
                <w:rFonts w:ascii="Calibri" w:eastAsia="Times New Roman" w:hAnsi="Calibri" w:cs="Calibri"/>
                <w:b/>
                <w:sz w:val="24"/>
                <w:szCs w:val="24"/>
                <w:lang w:eastAsia="en-GB"/>
              </w:rPr>
              <w:t xml:space="preserve">This </w:t>
            </w:r>
            <w:r w:rsidR="00240901">
              <w:rPr>
                <w:rFonts w:ascii="Calibri" w:eastAsia="Times New Roman" w:hAnsi="Calibri" w:cs="Calibri"/>
                <w:b/>
                <w:sz w:val="24"/>
                <w:szCs w:val="24"/>
                <w:lang w:eastAsia="en-GB"/>
              </w:rPr>
              <w:t>C</w:t>
            </w:r>
            <w:r w:rsidRPr="000604A8">
              <w:rPr>
                <w:rFonts w:ascii="Calibri" w:eastAsia="Times New Roman" w:hAnsi="Calibri" w:cs="Calibri"/>
                <w:b/>
                <w:sz w:val="24"/>
                <w:szCs w:val="24"/>
                <w:lang w:eastAsia="en-GB"/>
              </w:rPr>
              <w:t xml:space="preserve">hapter </w:t>
            </w:r>
            <w:r w:rsidR="00240901">
              <w:rPr>
                <w:rFonts w:ascii="Calibri" w:eastAsia="Times New Roman" w:hAnsi="Calibri" w:cs="Calibri"/>
                <w:b/>
                <w:sz w:val="24"/>
                <w:szCs w:val="24"/>
                <w:lang w:eastAsia="en-GB"/>
              </w:rPr>
              <w:t xml:space="preserve">explains </w:t>
            </w:r>
            <w:r w:rsidRPr="000604A8">
              <w:rPr>
                <w:rFonts w:ascii="Calibri" w:eastAsia="Times New Roman" w:hAnsi="Calibri" w:cs="Calibri"/>
                <w:b/>
                <w:sz w:val="24"/>
                <w:szCs w:val="24"/>
                <w:lang w:eastAsia="en-GB"/>
              </w:rPr>
              <w:t>how we serve customer</w:t>
            </w:r>
            <w:r w:rsidR="00240901">
              <w:rPr>
                <w:rFonts w:ascii="Calibri" w:eastAsia="Times New Roman" w:hAnsi="Calibri" w:cs="Calibri"/>
                <w:b/>
                <w:sz w:val="24"/>
                <w:szCs w:val="24"/>
                <w:lang w:eastAsia="en-GB"/>
              </w:rPr>
              <w:t xml:space="preserve">s, </w:t>
            </w:r>
            <w:r w:rsidRPr="000604A8">
              <w:rPr>
                <w:rFonts w:ascii="Calibri" w:eastAsia="Times New Roman" w:hAnsi="Calibri" w:cs="Calibri"/>
                <w:b/>
                <w:sz w:val="24"/>
                <w:szCs w:val="24"/>
                <w:lang w:eastAsia="en-GB"/>
              </w:rPr>
              <w:t>our service culture</w:t>
            </w:r>
            <w:r w:rsidR="00240901">
              <w:rPr>
                <w:rFonts w:ascii="Calibri" w:eastAsia="Times New Roman" w:hAnsi="Calibri" w:cs="Calibri"/>
                <w:b/>
                <w:sz w:val="24"/>
                <w:szCs w:val="24"/>
                <w:lang w:eastAsia="en-GB"/>
              </w:rPr>
              <w:t xml:space="preserve"> and </w:t>
            </w:r>
            <w:r w:rsidR="00240901" w:rsidRPr="000604A8">
              <w:rPr>
                <w:rFonts w:ascii="Calibri" w:eastAsia="Times New Roman" w:hAnsi="Calibri" w:cs="Calibri"/>
                <w:b/>
                <w:sz w:val="24"/>
                <w:szCs w:val="24"/>
                <w:lang w:eastAsia="en-GB"/>
              </w:rPr>
              <w:t>how we measure our service levels</w:t>
            </w:r>
            <w:r w:rsidRPr="000604A8">
              <w:rPr>
                <w:rFonts w:ascii="Calibri" w:eastAsia="Times New Roman" w:hAnsi="Calibri" w:cs="Calibri"/>
                <w:b/>
                <w:sz w:val="24"/>
                <w:szCs w:val="24"/>
                <w:lang w:eastAsia="en-GB"/>
              </w:rPr>
              <w:t>.</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sz w:val="24"/>
                <w:szCs w:val="24"/>
                <w:lang w:eastAsia="en-GB"/>
              </w:rPr>
            </w:pPr>
            <w:r w:rsidRPr="000604A8">
              <w:rPr>
                <w:rFonts w:ascii="Calibri" w:eastAsia="Times New Roman" w:hAnsi="Calibri" w:cs="Calibri"/>
                <w:sz w:val="24"/>
                <w:szCs w:val="24"/>
                <w:lang w:eastAsia="en-GB"/>
              </w:rPr>
              <w:t>4.1</w:t>
            </w:r>
          </w:p>
        </w:tc>
        <w:tc>
          <w:tcPr>
            <w:tcW w:w="3544" w:type="dxa"/>
          </w:tcPr>
          <w:p w:rsidR="00E713A9" w:rsidRPr="000604A8" w:rsidRDefault="00E713A9" w:rsidP="00D00765">
            <w:pPr>
              <w:spacing w:after="0" w:line="240" w:lineRule="auto"/>
              <w:rPr>
                <w:rFonts w:ascii="Calibri" w:eastAsia="Times New Roman" w:hAnsi="Calibri" w:cs="Calibri"/>
                <w:sz w:val="24"/>
                <w:szCs w:val="24"/>
                <w:lang w:eastAsia="en-GB"/>
              </w:rPr>
            </w:pPr>
            <w:r w:rsidRPr="000604A8">
              <w:rPr>
                <w:rFonts w:ascii="Calibri" w:eastAsia="Times New Roman" w:hAnsi="Calibri" w:cs="Calibri"/>
                <w:sz w:val="24"/>
                <w:szCs w:val="24"/>
                <w:lang w:eastAsia="en-GB"/>
              </w:rPr>
              <w:t>Customer Service Overview</w:t>
            </w:r>
          </w:p>
        </w:tc>
        <w:tc>
          <w:tcPr>
            <w:tcW w:w="7938" w:type="dxa"/>
            <w:shd w:val="clear" w:color="auto" w:fill="auto"/>
            <w:vAlign w:val="center"/>
            <w:hideMark/>
          </w:tcPr>
          <w:p w:rsidR="00E713A9" w:rsidRPr="000604A8" w:rsidRDefault="00E713A9" w:rsidP="00D00765">
            <w:pPr>
              <w:spacing w:after="0" w:line="240" w:lineRule="auto"/>
              <w:rPr>
                <w:rFonts w:ascii="Calibri" w:eastAsia="Times New Roman" w:hAnsi="Calibri" w:cs="Calibri"/>
                <w:sz w:val="24"/>
                <w:szCs w:val="24"/>
                <w:lang w:eastAsia="en-GB"/>
              </w:rPr>
            </w:pPr>
            <w:r w:rsidRPr="000604A8">
              <w:rPr>
                <w:rFonts w:ascii="Calibri" w:eastAsia="Times New Roman" w:hAnsi="Calibri" w:cs="Calibri"/>
                <w:sz w:val="24"/>
                <w:szCs w:val="24"/>
                <w:lang w:eastAsia="en-GB"/>
              </w:rPr>
              <w:t xml:space="preserve"> How we compare service with others, help those at times of vulnerability, serve developers, react to customer feedback, drive a customer service culture and innovate. </w:t>
            </w:r>
          </w:p>
        </w:tc>
      </w:tr>
      <w:tr w:rsidR="00E713A9" w:rsidRPr="000604A8" w:rsidTr="00DB27A8">
        <w:trPr>
          <w:trHeight w:val="20"/>
        </w:trPr>
        <w:tc>
          <w:tcPr>
            <w:tcW w:w="561" w:type="dxa"/>
            <w:vMerge w:val="restart"/>
            <w:shd w:val="clear" w:color="auto" w:fill="2E74B5" w:themeFill="accent1" w:themeFillShade="BF"/>
            <w:vAlign w:val="center"/>
          </w:tcPr>
          <w:p w:rsidR="00E713A9" w:rsidRPr="005755E3"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rFonts w:ascii="Calibri" w:eastAsia="Times New Roman" w:hAnsi="Calibri" w:cs="Calibri"/>
                <w:b/>
                <w:bCs/>
                <w:color w:val="FFFFFF" w:themeColor="background1"/>
                <w:sz w:val="24"/>
                <w:szCs w:val="24"/>
                <w:lang w:eastAsia="en-GB"/>
              </w:rPr>
              <w:t>5</w:t>
            </w:r>
          </w:p>
        </w:tc>
        <w:tc>
          <w:tcPr>
            <w:tcW w:w="1604" w:type="dxa"/>
            <w:vMerge w:val="restart"/>
            <w:shd w:val="clear" w:color="auto" w:fill="F7CAAC" w:themeFill="accent2" w:themeFillTint="66"/>
            <w:vAlign w:val="center"/>
          </w:tcPr>
          <w:p w:rsidR="00E713A9" w:rsidRPr="000604A8" w:rsidRDefault="00D240AC" w:rsidP="00D00765">
            <w:pPr>
              <w:spacing w:after="0" w:line="240" w:lineRule="auto"/>
              <w:rPr>
                <w:rFonts w:ascii="Calibri" w:eastAsia="Times New Roman" w:hAnsi="Calibri" w:cs="Calibri"/>
                <w:b/>
                <w:bCs/>
                <w:sz w:val="24"/>
                <w:szCs w:val="24"/>
                <w:lang w:eastAsia="en-GB"/>
              </w:rPr>
            </w:pPr>
            <w:r>
              <w:rPr>
                <w:rFonts w:ascii="Calibri" w:eastAsia="Times New Roman" w:hAnsi="Calibri" w:cs="Calibri"/>
                <w:b/>
                <w:bCs/>
                <w:sz w:val="24"/>
                <w:szCs w:val="24"/>
                <w:lang w:eastAsia="en-GB"/>
              </w:rPr>
              <w:t>Addressing Affordability &amp; V</w:t>
            </w:r>
            <w:r w:rsidR="00E713A9" w:rsidRPr="000604A8">
              <w:rPr>
                <w:rFonts w:ascii="Calibri" w:eastAsia="Times New Roman" w:hAnsi="Calibri" w:cs="Calibri"/>
                <w:b/>
                <w:bCs/>
                <w:sz w:val="24"/>
                <w:szCs w:val="24"/>
                <w:lang w:eastAsia="en-GB"/>
              </w:rPr>
              <w:t>ulnerability</w:t>
            </w:r>
          </w:p>
        </w:tc>
        <w:tc>
          <w:tcPr>
            <w:tcW w:w="12578" w:type="dxa"/>
            <w:gridSpan w:val="3"/>
          </w:tcPr>
          <w:p w:rsidR="00E713A9" w:rsidRPr="000604A8" w:rsidRDefault="00E713A9" w:rsidP="00240901">
            <w:pPr>
              <w:spacing w:after="0" w:line="240" w:lineRule="auto"/>
              <w:rPr>
                <w:rFonts w:ascii="Calibri" w:eastAsia="Times New Roman" w:hAnsi="Calibri" w:cs="Calibri"/>
                <w:b/>
                <w:sz w:val="24"/>
                <w:szCs w:val="24"/>
                <w:lang w:eastAsia="en-GB"/>
              </w:rPr>
            </w:pPr>
            <w:r w:rsidRPr="000604A8">
              <w:rPr>
                <w:rFonts w:ascii="Calibri" w:eastAsia="Times New Roman" w:hAnsi="Calibri" w:cs="Calibri"/>
                <w:b/>
                <w:sz w:val="24"/>
                <w:szCs w:val="24"/>
                <w:lang w:eastAsia="en-GB"/>
              </w:rPr>
              <w:t xml:space="preserve">This Chapter looks at Affordability </w:t>
            </w:r>
            <w:r w:rsidR="00240901">
              <w:rPr>
                <w:rFonts w:ascii="Calibri" w:eastAsia="Times New Roman" w:hAnsi="Calibri" w:cs="Calibri"/>
                <w:b/>
                <w:sz w:val="24"/>
                <w:szCs w:val="24"/>
                <w:lang w:eastAsia="en-GB"/>
              </w:rPr>
              <w:t>(</w:t>
            </w:r>
            <w:r w:rsidRPr="000604A8">
              <w:rPr>
                <w:rFonts w:ascii="Calibri" w:eastAsia="Times New Roman" w:hAnsi="Calibri" w:cs="Calibri"/>
                <w:b/>
                <w:sz w:val="24"/>
                <w:szCs w:val="24"/>
                <w:lang w:eastAsia="en-GB"/>
              </w:rPr>
              <w:t>including how we meet Ofwat’s five principles</w:t>
            </w:r>
            <w:r w:rsidR="00240901">
              <w:rPr>
                <w:rFonts w:ascii="Calibri" w:eastAsia="Times New Roman" w:hAnsi="Calibri" w:cs="Calibri"/>
                <w:b/>
                <w:sz w:val="24"/>
                <w:szCs w:val="24"/>
                <w:lang w:eastAsia="en-GB"/>
              </w:rPr>
              <w:t>) and Vulnerability</w:t>
            </w:r>
            <w:r w:rsidRPr="000604A8">
              <w:rPr>
                <w:rFonts w:ascii="Calibri" w:eastAsia="Times New Roman" w:hAnsi="Calibri" w:cs="Calibri"/>
                <w:b/>
                <w:sz w:val="24"/>
                <w:szCs w:val="24"/>
                <w:lang w:eastAsia="en-GB"/>
              </w:rPr>
              <w:t>.</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sz w:val="24"/>
                <w:szCs w:val="24"/>
                <w:lang w:eastAsia="en-GB"/>
              </w:rPr>
            </w:pPr>
            <w:r w:rsidRPr="000604A8">
              <w:rPr>
                <w:rFonts w:ascii="Calibri" w:eastAsia="Times New Roman" w:hAnsi="Calibri" w:cs="Calibri"/>
                <w:sz w:val="24"/>
                <w:szCs w:val="24"/>
                <w:lang w:eastAsia="en-GB"/>
              </w:rPr>
              <w:t>5.1</w:t>
            </w:r>
          </w:p>
        </w:tc>
        <w:tc>
          <w:tcPr>
            <w:tcW w:w="3544" w:type="dxa"/>
          </w:tcPr>
          <w:p w:rsidR="00E713A9" w:rsidRPr="000604A8" w:rsidRDefault="00E713A9" w:rsidP="00D00765">
            <w:pPr>
              <w:spacing w:after="0" w:line="240" w:lineRule="auto"/>
              <w:rPr>
                <w:rFonts w:ascii="Calibri" w:eastAsia="Times New Roman" w:hAnsi="Calibri" w:cs="Calibri"/>
                <w:sz w:val="24"/>
                <w:szCs w:val="24"/>
                <w:lang w:eastAsia="en-GB"/>
              </w:rPr>
            </w:pPr>
            <w:r w:rsidRPr="000604A8">
              <w:rPr>
                <w:rFonts w:ascii="Calibri" w:eastAsia="Times New Roman" w:hAnsi="Calibri" w:cs="Calibri"/>
                <w:sz w:val="24"/>
                <w:szCs w:val="24"/>
                <w:lang w:eastAsia="en-GB"/>
              </w:rPr>
              <w:t>Affordability</w:t>
            </w:r>
          </w:p>
        </w:tc>
        <w:tc>
          <w:tcPr>
            <w:tcW w:w="7938" w:type="dxa"/>
            <w:shd w:val="clear" w:color="000000" w:fill="FFFFFF"/>
            <w:vAlign w:val="center"/>
            <w:hideMark/>
          </w:tcPr>
          <w:p w:rsidR="00E713A9" w:rsidRPr="000604A8" w:rsidRDefault="00E713A9" w:rsidP="00240901">
            <w:pPr>
              <w:spacing w:after="0" w:line="240" w:lineRule="auto"/>
              <w:rPr>
                <w:rFonts w:ascii="Calibri" w:eastAsia="Times New Roman" w:hAnsi="Calibri" w:cs="Calibri"/>
                <w:sz w:val="24"/>
                <w:szCs w:val="24"/>
                <w:lang w:eastAsia="en-GB"/>
              </w:rPr>
            </w:pPr>
            <w:r w:rsidRPr="000604A8">
              <w:rPr>
                <w:rFonts w:ascii="Calibri" w:eastAsia="Times New Roman" w:hAnsi="Calibri" w:cs="Calibri"/>
                <w:sz w:val="24"/>
                <w:szCs w:val="24"/>
                <w:lang w:eastAsia="en-GB"/>
              </w:rPr>
              <w:t xml:space="preserve">How we manage affordability in line with Ofwat’s five principles, </w:t>
            </w:r>
            <w:r w:rsidR="00240901">
              <w:rPr>
                <w:rFonts w:ascii="Calibri" w:eastAsia="Times New Roman" w:hAnsi="Calibri" w:cs="Calibri"/>
                <w:sz w:val="24"/>
                <w:szCs w:val="24"/>
                <w:lang w:eastAsia="en-GB"/>
              </w:rPr>
              <w:t xml:space="preserve">and how we </w:t>
            </w:r>
            <w:r w:rsidRPr="000604A8">
              <w:rPr>
                <w:rFonts w:ascii="Calibri" w:eastAsia="Times New Roman" w:hAnsi="Calibri" w:cs="Calibri"/>
                <w:sz w:val="24"/>
                <w:szCs w:val="24"/>
                <w:lang w:eastAsia="en-GB"/>
              </w:rPr>
              <w:t xml:space="preserve">will achieve affordability in the long term. </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sz w:val="24"/>
                <w:szCs w:val="24"/>
                <w:lang w:eastAsia="en-GB"/>
              </w:rPr>
            </w:pPr>
            <w:r w:rsidRPr="000604A8">
              <w:rPr>
                <w:rFonts w:ascii="Calibri" w:eastAsia="Times New Roman" w:hAnsi="Calibri" w:cs="Calibri"/>
                <w:sz w:val="24"/>
                <w:szCs w:val="24"/>
                <w:lang w:eastAsia="en-GB"/>
              </w:rPr>
              <w:t>5.2</w:t>
            </w:r>
          </w:p>
        </w:tc>
        <w:tc>
          <w:tcPr>
            <w:tcW w:w="3544" w:type="dxa"/>
          </w:tcPr>
          <w:p w:rsidR="00E713A9" w:rsidRPr="000604A8" w:rsidRDefault="00E713A9" w:rsidP="00D00765">
            <w:pPr>
              <w:spacing w:after="0" w:line="240" w:lineRule="auto"/>
              <w:rPr>
                <w:rFonts w:ascii="Calibri" w:eastAsia="Times New Roman" w:hAnsi="Calibri" w:cs="Calibri"/>
                <w:sz w:val="24"/>
                <w:szCs w:val="24"/>
                <w:lang w:eastAsia="en-GB"/>
              </w:rPr>
            </w:pPr>
            <w:r w:rsidRPr="000604A8">
              <w:rPr>
                <w:rFonts w:ascii="Calibri" w:eastAsia="Times New Roman" w:hAnsi="Calibri" w:cs="Calibri"/>
                <w:sz w:val="24"/>
                <w:szCs w:val="24"/>
                <w:lang w:eastAsia="en-GB"/>
              </w:rPr>
              <w:t>Vulnerability</w:t>
            </w:r>
          </w:p>
        </w:tc>
        <w:tc>
          <w:tcPr>
            <w:tcW w:w="7938" w:type="dxa"/>
            <w:shd w:val="clear" w:color="000000" w:fill="FFFFFF"/>
            <w:vAlign w:val="center"/>
          </w:tcPr>
          <w:p w:rsidR="00E713A9" w:rsidRPr="000604A8" w:rsidRDefault="00E713A9" w:rsidP="00D00765">
            <w:pPr>
              <w:spacing w:after="0" w:line="240" w:lineRule="auto"/>
              <w:rPr>
                <w:rFonts w:ascii="Calibri" w:eastAsia="Times New Roman" w:hAnsi="Calibri" w:cs="Calibri"/>
                <w:sz w:val="24"/>
                <w:szCs w:val="24"/>
                <w:lang w:eastAsia="en-GB"/>
              </w:rPr>
            </w:pPr>
            <w:r w:rsidRPr="000604A8">
              <w:rPr>
                <w:rFonts w:ascii="Calibri" w:eastAsia="Times New Roman" w:hAnsi="Calibri" w:cs="Calibri"/>
                <w:sz w:val="24"/>
                <w:szCs w:val="24"/>
                <w:lang w:eastAsia="en-GB"/>
              </w:rPr>
              <w:t>How we</w:t>
            </w:r>
            <w:r w:rsidR="00240901">
              <w:rPr>
                <w:rFonts w:ascii="Calibri" w:eastAsia="Times New Roman" w:hAnsi="Calibri" w:cs="Calibri"/>
                <w:sz w:val="24"/>
                <w:szCs w:val="24"/>
                <w:lang w:eastAsia="en-GB"/>
              </w:rPr>
              <w:t xml:space="preserve"> effectively manage vulnerability.  This includes how we</w:t>
            </w:r>
            <w:r w:rsidRPr="000604A8">
              <w:rPr>
                <w:rFonts w:ascii="Calibri" w:eastAsia="Times New Roman" w:hAnsi="Calibri" w:cs="Calibri"/>
                <w:sz w:val="24"/>
                <w:szCs w:val="24"/>
                <w:lang w:eastAsia="en-GB"/>
              </w:rPr>
              <w:t xml:space="preserve"> use data, engage with third parties, and achieve a targeted approach. </w:t>
            </w:r>
          </w:p>
        </w:tc>
      </w:tr>
      <w:tr w:rsidR="00E713A9" w:rsidRPr="000604A8" w:rsidTr="00DB27A8">
        <w:trPr>
          <w:trHeight w:val="20"/>
        </w:trPr>
        <w:tc>
          <w:tcPr>
            <w:tcW w:w="561" w:type="dxa"/>
            <w:vMerge w:val="restart"/>
            <w:shd w:val="clear" w:color="auto" w:fill="2E74B5" w:themeFill="accent1" w:themeFillShade="BF"/>
            <w:vAlign w:val="center"/>
          </w:tcPr>
          <w:p w:rsidR="00E713A9" w:rsidRPr="005755E3"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rFonts w:ascii="Calibri" w:eastAsia="Times New Roman" w:hAnsi="Calibri" w:cs="Calibri"/>
                <w:b/>
                <w:bCs/>
                <w:color w:val="FFFFFF" w:themeColor="background1"/>
                <w:sz w:val="24"/>
                <w:szCs w:val="24"/>
                <w:lang w:eastAsia="en-GB"/>
              </w:rPr>
              <w:t>6</w:t>
            </w:r>
          </w:p>
        </w:tc>
        <w:tc>
          <w:tcPr>
            <w:tcW w:w="1604" w:type="dxa"/>
            <w:vMerge w:val="restart"/>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Resilience in the round</w:t>
            </w:r>
          </w:p>
        </w:tc>
        <w:tc>
          <w:tcPr>
            <w:tcW w:w="12578" w:type="dxa"/>
            <w:gridSpan w:val="3"/>
          </w:tcPr>
          <w:p w:rsidR="00E713A9" w:rsidRPr="000604A8" w:rsidRDefault="00E713A9" w:rsidP="00D00765">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color w:val="000000"/>
                <w:sz w:val="24"/>
                <w:szCs w:val="24"/>
                <w:lang w:eastAsia="en-GB"/>
              </w:rPr>
              <w:t>The Chapter explains all aspects of resilience.</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6.1</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Background</w:t>
            </w:r>
          </w:p>
        </w:tc>
        <w:tc>
          <w:tcPr>
            <w:tcW w:w="7938" w:type="dxa"/>
            <w:shd w:val="clear" w:color="auto" w:fill="auto"/>
            <w:hideMark/>
          </w:tcPr>
          <w:p w:rsidR="00E713A9" w:rsidRPr="000604A8" w:rsidRDefault="00240901" w:rsidP="00240901">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Our foundations of resilience for </w:t>
            </w:r>
            <w:r w:rsidR="00E713A9" w:rsidRPr="000604A8">
              <w:rPr>
                <w:rFonts w:ascii="Calibri" w:eastAsia="Times New Roman" w:hAnsi="Calibri" w:cs="Calibri"/>
                <w:color w:val="000000"/>
                <w:sz w:val="24"/>
                <w:szCs w:val="24"/>
                <w:lang w:eastAsia="en-GB"/>
              </w:rPr>
              <w:t>infrastructure, drought, and flood</w:t>
            </w:r>
            <w:r>
              <w:rPr>
                <w:rFonts w:ascii="Calibri" w:eastAsia="Times New Roman" w:hAnsi="Calibri" w:cs="Calibri"/>
                <w:color w:val="000000"/>
                <w:sz w:val="24"/>
                <w:szCs w:val="24"/>
                <w:lang w:eastAsia="en-GB"/>
              </w:rPr>
              <w:t>s</w:t>
            </w:r>
            <w:r w:rsidR="00E713A9" w:rsidRPr="000604A8">
              <w:rPr>
                <w:rFonts w:ascii="Calibri" w:eastAsia="Times New Roman" w:hAnsi="Calibri" w:cs="Calibri"/>
                <w:color w:val="000000"/>
                <w:sz w:val="24"/>
                <w:szCs w:val="24"/>
                <w:lang w:eastAsia="en-GB"/>
              </w:rPr>
              <w:t>.</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6.2</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Our approac</w:t>
            </w:r>
            <w:r w:rsidR="00A5283E">
              <w:rPr>
                <w:rFonts w:ascii="Calibri" w:eastAsia="Times New Roman" w:hAnsi="Calibri" w:cs="Calibri"/>
                <w:color w:val="000000"/>
                <w:sz w:val="24"/>
                <w:szCs w:val="24"/>
                <w:lang w:eastAsia="en-GB"/>
              </w:rPr>
              <w:t xml:space="preserve">h to Resilience and alignment with Ofwat’s Resilience </w:t>
            </w:r>
            <w:r w:rsidRPr="000604A8">
              <w:rPr>
                <w:rFonts w:ascii="Calibri" w:eastAsia="Times New Roman" w:hAnsi="Calibri" w:cs="Calibri"/>
                <w:color w:val="000000"/>
                <w:sz w:val="24"/>
                <w:szCs w:val="24"/>
                <w:lang w:eastAsia="en-GB"/>
              </w:rPr>
              <w:t>Principles</w:t>
            </w:r>
          </w:p>
        </w:tc>
        <w:tc>
          <w:tcPr>
            <w:tcW w:w="7938" w:type="dxa"/>
            <w:shd w:val="clear" w:color="auto" w:fill="auto"/>
          </w:tcPr>
          <w:p w:rsidR="00E713A9" w:rsidRPr="000604A8" w:rsidRDefault="00240901"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How our approach to resilience aligns to </w:t>
            </w:r>
            <w:r w:rsidR="00E713A9" w:rsidRPr="000604A8">
              <w:rPr>
                <w:rFonts w:ascii="Calibri" w:eastAsia="Times New Roman" w:hAnsi="Calibri" w:cs="Calibri"/>
                <w:color w:val="000000"/>
                <w:sz w:val="24"/>
                <w:szCs w:val="24"/>
                <w:lang w:eastAsia="en-GB"/>
              </w:rPr>
              <w:t xml:space="preserve">Ofwat’s seven resilience principles. </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6.3</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Governance and Corporate Resilience</w:t>
            </w:r>
          </w:p>
        </w:tc>
        <w:tc>
          <w:tcPr>
            <w:tcW w:w="7938" w:type="dxa"/>
            <w:shd w:val="clear" w:color="auto" w:fill="auto"/>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Overview of how we manage risk and resilience within Portsmouth Water.</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6.4</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Work Activity Undertaken to Support the Business Plan </w:t>
            </w:r>
            <w:r w:rsidR="00AF33DB">
              <w:rPr>
                <w:rFonts w:ascii="Calibri" w:eastAsia="Times New Roman" w:hAnsi="Calibri" w:cs="Calibri"/>
                <w:color w:val="000000"/>
                <w:sz w:val="24"/>
                <w:szCs w:val="24"/>
                <w:lang w:eastAsia="en-GB"/>
              </w:rPr>
              <w:t xml:space="preserve">for </w:t>
            </w:r>
            <w:r w:rsidRPr="000604A8">
              <w:rPr>
                <w:rFonts w:ascii="Calibri" w:eastAsia="Times New Roman" w:hAnsi="Calibri" w:cs="Calibri"/>
                <w:color w:val="000000"/>
                <w:sz w:val="24"/>
                <w:szCs w:val="24"/>
                <w:lang w:eastAsia="en-GB"/>
              </w:rPr>
              <w:t>2020-2025</w:t>
            </w:r>
          </w:p>
        </w:tc>
        <w:tc>
          <w:tcPr>
            <w:tcW w:w="7938" w:type="dxa"/>
            <w:shd w:val="clear" w:color="auto" w:fill="auto"/>
          </w:tcPr>
          <w:p w:rsidR="00E713A9" w:rsidRPr="000604A8" w:rsidRDefault="00240901" w:rsidP="00240901">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Explanation of the work undertaken to support our approach to resilience in the Business Plan.  This includes our r</w:t>
            </w:r>
            <w:r w:rsidR="00E713A9" w:rsidRPr="000604A8">
              <w:rPr>
                <w:rFonts w:ascii="Calibri" w:eastAsia="Times New Roman" w:hAnsi="Calibri" w:cs="Calibri"/>
                <w:color w:val="000000"/>
                <w:sz w:val="24"/>
                <w:szCs w:val="24"/>
                <w:lang w:eastAsia="en-GB"/>
              </w:rPr>
              <w:t xml:space="preserve">esilience planning </w:t>
            </w:r>
            <w:r>
              <w:rPr>
                <w:rFonts w:ascii="Calibri" w:eastAsia="Times New Roman" w:hAnsi="Calibri" w:cs="Calibri"/>
                <w:color w:val="000000"/>
                <w:sz w:val="24"/>
                <w:szCs w:val="24"/>
                <w:lang w:eastAsia="en-GB"/>
              </w:rPr>
              <w:t xml:space="preserve">approach </w:t>
            </w:r>
            <w:r w:rsidR="00E713A9" w:rsidRPr="000604A8">
              <w:rPr>
                <w:rFonts w:ascii="Calibri" w:eastAsia="Times New Roman" w:hAnsi="Calibri" w:cs="Calibri"/>
                <w:color w:val="000000"/>
                <w:sz w:val="24"/>
                <w:szCs w:val="24"/>
                <w:lang w:eastAsia="en-GB"/>
              </w:rPr>
              <w:t>based on the Cabinet Office</w:t>
            </w:r>
            <w:r>
              <w:rPr>
                <w:rFonts w:ascii="Calibri" w:eastAsia="Times New Roman" w:hAnsi="Calibri" w:cs="Calibri"/>
                <w:color w:val="000000"/>
                <w:sz w:val="24"/>
                <w:szCs w:val="24"/>
                <w:lang w:eastAsia="en-GB"/>
              </w:rPr>
              <w:t>’</w:t>
            </w:r>
            <w:r w:rsidR="00E713A9" w:rsidRPr="000604A8">
              <w:rPr>
                <w:rFonts w:ascii="Calibri" w:eastAsia="Times New Roman" w:hAnsi="Calibri" w:cs="Calibri"/>
                <w:color w:val="000000"/>
                <w:sz w:val="24"/>
                <w:szCs w:val="24"/>
                <w:lang w:eastAsia="en-GB"/>
              </w:rPr>
              <w:t>s 4R’s.</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6.5</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Specific Interventions at PR19</w:t>
            </w:r>
          </w:p>
        </w:tc>
        <w:tc>
          <w:tcPr>
            <w:tcW w:w="7938" w:type="dxa"/>
            <w:shd w:val="clear" w:color="auto" w:fill="auto"/>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Studies and assessments relevant to this plan.</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6.6</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Our People and Skills for the Future</w:t>
            </w:r>
          </w:p>
        </w:tc>
        <w:tc>
          <w:tcPr>
            <w:tcW w:w="7938" w:type="dxa"/>
            <w:shd w:val="clear" w:color="auto" w:fill="auto"/>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Workforce related resilience activities.</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6.7</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Conclusions and Inclusions in the Business Plan 2020-2025</w:t>
            </w:r>
          </w:p>
        </w:tc>
        <w:tc>
          <w:tcPr>
            <w:tcW w:w="7938" w:type="dxa"/>
            <w:shd w:val="clear" w:color="auto" w:fill="auto"/>
          </w:tcPr>
          <w:p w:rsidR="00E713A9" w:rsidRPr="000604A8" w:rsidRDefault="00240901"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Overall conclusions together with the additional resilience projects included at PR19.</w:t>
            </w:r>
          </w:p>
        </w:tc>
      </w:tr>
      <w:tr w:rsidR="00E713A9" w:rsidRPr="000604A8" w:rsidTr="00DB27A8">
        <w:trPr>
          <w:trHeight w:val="20"/>
        </w:trPr>
        <w:tc>
          <w:tcPr>
            <w:tcW w:w="561" w:type="dxa"/>
            <w:vMerge w:val="restart"/>
            <w:shd w:val="clear" w:color="auto" w:fill="2E74B5" w:themeFill="accent1" w:themeFillShade="BF"/>
            <w:vAlign w:val="center"/>
          </w:tcPr>
          <w:p w:rsidR="00E713A9" w:rsidRPr="005755E3"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rFonts w:ascii="Calibri" w:eastAsia="Times New Roman" w:hAnsi="Calibri" w:cs="Calibri"/>
                <w:b/>
                <w:bCs/>
                <w:color w:val="FFFFFF" w:themeColor="background1"/>
                <w:sz w:val="24"/>
                <w:szCs w:val="24"/>
                <w:lang w:eastAsia="en-GB"/>
              </w:rPr>
              <w:t>7</w:t>
            </w:r>
          </w:p>
        </w:tc>
        <w:tc>
          <w:tcPr>
            <w:tcW w:w="1604" w:type="dxa"/>
            <w:vMerge w:val="restart"/>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 Innovation</w:t>
            </w:r>
          </w:p>
        </w:tc>
        <w:tc>
          <w:tcPr>
            <w:tcW w:w="12578" w:type="dxa"/>
            <w:gridSpan w:val="3"/>
          </w:tcPr>
          <w:p w:rsidR="00E713A9" w:rsidRPr="000604A8" w:rsidRDefault="00E713A9" w:rsidP="00D00765">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color w:val="000000"/>
                <w:sz w:val="24"/>
                <w:szCs w:val="24"/>
                <w:lang w:eastAsia="en-GB"/>
              </w:rPr>
              <w:t>This Chapter covers our culture, evidence of past innovation and examples of innovation for PR19.</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7.1</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Innovation Culture; Systems and Processes</w:t>
            </w:r>
          </w:p>
        </w:tc>
        <w:tc>
          <w:tcPr>
            <w:tcW w:w="7938" w:type="dxa"/>
            <w:shd w:val="clear" w:color="auto" w:fill="auto"/>
            <w:hideMark/>
          </w:tcPr>
          <w:p w:rsidR="00E713A9" w:rsidRPr="000604A8" w:rsidRDefault="00240901"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How our systems and processes support and drive innovation.</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7.2</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Innovation Culture; People</w:t>
            </w:r>
          </w:p>
        </w:tc>
        <w:tc>
          <w:tcPr>
            <w:tcW w:w="7938" w:type="dxa"/>
            <w:shd w:val="clear" w:color="auto" w:fill="auto"/>
          </w:tcPr>
          <w:p w:rsidR="00E713A9" w:rsidRPr="000604A8" w:rsidRDefault="00240901" w:rsidP="00240901">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How our People drive innovation, including h</w:t>
            </w:r>
            <w:r w:rsidR="00E713A9" w:rsidRPr="000604A8">
              <w:rPr>
                <w:rFonts w:ascii="Calibri" w:eastAsia="Times New Roman" w:hAnsi="Calibri" w:cs="Calibri"/>
                <w:color w:val="000000"/>
                <w:sz w:val="24"/>
                <w:szCs w:val="24"/>
                <w:lang w:eastAsia="en-GB"/>
              </w:rPr>
              <w:t xml:space="preserve">ow we inform, enable, incentivise and collaborate to achieve innovation. </w:t>
            </w:r>
          </w:p>
        </w:tc>
      </w:tr>
      <w:tr w:rsidR="00D240AC" w:rsidRPr="000604A8" w:rsidTr="00DB27A8">
        <w:trPr>
          <w:trHeight w:val="20"/>
        </w:trPr>
        <w:tc>
          <w:tcPr>
            <w:tcW w:w="561" w:type="dxa"/>
            <w:vMerge/>
            <w:shd w:val="clear" w:color="auto" w:fill="2E74B5" w:themeFill="accent1" w:themeFillShade="BF"/>
          </w:tcPr>
          <w:p w:rsidR="00D240AC" w:rsidRPr="005755E3" w:rsidRDefault="00D240AC"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tcPr>
          <w:p w:rsidR="00D240AC" w:rsidRPr="000604A8" w:rsidRDefault="00D240AC" w:rsidP="00D00765">
            <w:pPr>
              <w:spacing w:after="0" w:line="240" w:lineRule="auto"/>
              <w:rPr>
                <w:rFonts w:ascii="Calibri" w:eastAsia="Times New Roman" w:hAnsi="Calibri" w:cs="Calibri"/>
                <w:b/>
                <w:bCs/>
                <w:color w:val="000000"/>
                <w:sz w:val="24"/>
                <w:szCs w:val="24"/>
                <w:lang w:eastAsia="en-GB"/>
              </w:rPr>
            </w:pPr>
          </w:p>
        </w:tc>
        <w:tc>
          <w:tcPr>
            <w:tcW w:w="1096" w:type="dxa"/>
          </w:tcPr>
          <w:p w:rsidR="00D240AC" w:rsidRPr="000604A8" w:rsidRDefault="00D240AC"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7.3</w:t>
            </w:r>
          </w:p>
        </w:tc>
        <w:tc>
          <w:tcPr>
            <w:tcW w:w="3544" w:type="dxa"/>
          </w:tcPr>
          <w:p w:rsidR="00D240AC" w:rsidRPr="000604A8" w:rsidRDefault="00D240AC"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Our Innovation Track Record</w:t>
            </w:r>
          </w:p>
        </w:tc>
        <w:tc>
          <w:tcPr>
            <w:tcW w:w="7938" w:type="dxa"/>
            <w:shd w:val="clear" w:color="auto" w:fill="auto"/>
          </w:tcPr>
          <w:p w:rsidR="00D240AC" w:rsidRPr="000604A8" w:rsidRDefault="00D240AC" w:rsidP="00240901">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Examples of innovative approaches already introduced by </w:t>
            </w:r>
            <w:r w:rsidR="00240901">
              <w:rPr>
                <w:rFonts w:ascii="Calibri" w:eastAsia="Times New Roman" w:hAnsi="Calibri" w:cs="Calibri"/>
                <w:color w:val="000000"/>
                <w:sz w:val="24"/>
                <w:szCs w:val="24"/>
                <w:lang w:eastAsia="en-GB"/>
              </w:rPr>
              <w:t>Portsmouth Water</w:t>
            </w:r>
            <w:r>
              <w:rPr>
                <w:rFonts w:ascii="Calibri" w:eastAsia="Times New Roman" w:hAnsi="Calibri" w:cs="Calibri"/>
                <w:color w:val="000000"/>
                <w:sz w:val="24"/>
                <w:szCs w:val="24"/>
                <w:lang w:eastAsia="en-GB"/>
              </w:rPr>
              <w:t>.</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D240AC"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7.4</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PR19 Innovation</w:t>
            </w:r>
          </w:p>
        </w:tc>
        <w:tc>
          <w:tcPr>
            <w:tcW w:w="7938" w:type="dxa"/>
            <w:shd w:val="clear" w:color="auto" w:fill="auto"/>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Innovative approaches and activities planned for PR19.</w:t>
            </w:r>
          </w:p>
        </w:tc>
      </w:tr>
    </w:tbl>
    <w:p w:rsidR="00D43FED" w:rsidRDefault="00D43FED"/>
    <w:tbl>
      <w:tblPr>
        <w:tblW w:w="147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604"/>
        <w:gridCol w:w="1096"/>
        <w:gridCol w:w="3544"/>
        <w:gridCol w:w="7938"/>
      </w:tblGrid>
      <w:tr w:rsidR="00D43FED" w:rsidRPr="000604A8" w:rsidTr="007C45DD">
        <w:trPr>
          <w:trHeight w:val="20"/>
        </w:trPr>
        <w:tc>
          <w:tcPr>
            <w:tcW w:w="2165" w:type="dxa"/>
            <w:gridSpan w:val="2"/>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bCs/>
                <w:color w:val="FFFFFF" w:themeColor="background1"/>
                <w:sz w:val="24"/>
                <w:szCs w:val="24"/>
                <w:lang w:eastAsia="en-GB"/>
              </w:rPr>
            </w:pPr>
            <w:r w:rsidRPr="000604A8">
              <w:rPr>
                <w:rFonts w:ascii="Calibri" w:eastAsia="Times New Roman" w:hAnsi="Calibri" w:cs="Calibri"/>
                <w:b/>
                <w:bCs/>
                <w:color w:val="FFFFFF" w:themeColor="background1"/>
                <w:sz w:val="24"/>
                <w:szCs w:val="24"/>
                <w:lang w:eastAsia="en-GB"/>
              </w:rPr>
              <w:t>Chapter</w:t>
            </w:r>
          </w:p>
        </w:tc>
        <w:tc>
          <w:tcPr>
            <w:tcW w:w="1096" w:type="dxa"/>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 xml:space="preserve">Section </w:t>
            </w:r>
          </w:p>
        </w:tc>
        <w:tc>
          <w:tcPr>
            <w:tcW w:w="3544" w:type="dxa"/>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Main Section Headings</w:t>
            </w:r>
          </w:p>
        </w:tc>
        <w:tc>
          <w:tcPr>
            <w:tcW w:w="7938" w:type="dxa"/>
            <w:shd w:val="clear" w:color="auto" w:fill="2E74B5" w:themeFill="accent1" w:themeFillShade="BF"/>
            <w:vAlign w:val="center"/>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Brief Description</w:t>
            </w:r>
          </w:p>
        </w:tc>
      </w:tr>
      <w:tr w:rsidR="00E713A9" w:rsidRPr="000604A8" w:rsidTr="00DB27A8">
        <w:trPr>
          <w:trHeight w:val="20"/>
        </w:trPr>
        <w:tc>
          <w:tcPr>
            <w:tcW w:w="561" w:type="dxa"/>
            <w:vMerge w:val="restart"/>
            <w:shd w:val="clear" w:color="auto" w:fill="2E74B5" w:themeFill="accent1" w:themeFillShade="BF"/>
            <w:vAlign w:val="center"/>
          </w:tcPr>
          <w:p w:rsidR="00E713A9" w:rsidRPr="005755E3"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rFonts w:ascii="Calibri" w:eastAsia="Times New Roman" w:hAnsi="Calibri" w:cs="Calibri"/>
                <w:b/>
                <w:bCs/>
                <w:color w:val="FFFFFF" w:themeColor="background1"/>
                <w:sz w:val="24"/>
                <w:szCs w:val="24"/>
                <w:lang w:eastAsia="en-GB"/>
              </w:rPr>
              <w:t>8</w:t>
            </w:r>
          </w:p>
        </w:tc>
        <w:tc>
          <w:tcPr>
            <w:tcW w:w="1604" w:type="dxa"/>
            <w:vMerge w:val="restart"/>
            <w:shd w:val="clear" w:color="auto" w:fill="F7CAAC" w:themeFill="accent2" w:themeFillTint="66"/>
            <w:vAlign w:val="center"/>
          </w:tcPr>
          <w:p w:rsidR="00E713A9" w:rsidRPr="000604A8" w:rsidRDefault="00E713A9" w:rsidP="00143F3E">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Targeted Controls &amp; Markets</w:t>
            </w:r>
          </w:p>
        </w:tc>
        <w:tc>
          <w:tcPr>
            <w:tcW w:w="12578" w:type="dxa"/>
            <w:gridSpan w:val="3"/>
          </w:tcPr>
          <w:p w:rsidR="00E713A9" w:rsidRPr="00240901" w:rsidRDefault="00240901" w:rsidP="00240901">
            <w:pPr>
              <w:spacing w:after="0" w:line="240" w:lineRule="auto"/>
              <w:rPr>
                <w:rFonts w:ascii="Calibri" w:eastAsia="Times New Roman" w:hAnsi="Calibri" w:cs="Calibri"/>
                <w:b/>
                <w:color w:val="000000"/>
                <w:sz w:val="24"/>
                <w:szCs w:val="24"/>
                <w:lang w:eastAsia="en-GB"/>
              </w:rPr>
            </w:pPr>
            <w:r w:rsidRPr="00240901">
              <w:rPr>
                <w:rFonts w:ascii="Calibri" w:eastAsia="Times New Roman" w:hAnsi="Calibri" w:cs="Calibri"/>
                <w:b/>
                <w:color w:val="000000"/>
                <w:sz w:val="24"/>
                <w:szCs w:val="24"/>
                <w:lang w:eastAsia="en-GB"/>
              </w:rPr>
              <w:t>How we engage with markets to deliver the best solutions for our Customers and the South East region.</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8.1</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Water Resources Trading – Havant Thicket Winter Storage Reservoir</w:t>
            </w:r>
          </w:p>
        </w:tc>
        <w:tc>
          <w:tcPr>
            <w:tcW w:w="7938" w:type="dxa"/>
            <w:shd w:val="clear" w:color="auto" w:fill="auto"/>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Explanation of </w:t>
            </w:r>
            <w:r w:rsidR="00240901">
              <w:rPr>
                <w:rFonts w:ascii="Calibri" w:eastAsia="Times New Roman" w:hAnsi="Calibri" w:cs="Calibri"/>
                <w:color w:val="000000"/>
                <w:sz w:val="24"/>
                <w:szCs w:val="24"/>
                <w:lang w:eastAsia="en-GB"/>
              </w:rPr>
              <w:t xml:space="preserve">the support for </w:t>
            </w:r>
            <w:r w:rsidRPr="000604A8">
              <w:rPr>
                <w:rFonts w:ascii="Calibri" w:eastAsia="Times New Roman" w:hAnsi="Calibri" w:cs="Calibri"/>
                <w:color w:val="000000"/>
                <w:sz w:val="24"/>
                <w:szCs w:val="24"/>
                <w:lang w:eastAsia="en-GB"/>
              </w:rPr>
              <w:t xml:space="preserve">our proposal to build a new winter storage reservoir at Havant Thicket. </w:t>
            </w:r>
            <w:r w:rsidR="002A04DC">
              <w:rPr>
                <w:rFonts w:ascii="Calibri" w:eastAsia="Times New Roman" w:hAnsi="Calibri" w:cs="Calibri"/>
                <w:color w:val="000000"/>
                <w:sz w:val="24"/>
                <w:szCs w:val="24"/>
                <w:lang w:eastAsia="en-GB"/>
              </w:rPr>
              <w:t xml:space="preserve"> This includes consideration of DPC, overall business case and uncertainty mechanisms.</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8.2</w:t>
            </w:r>
          </w:p>
        </w:tc>
        <w:tc>
          <w:tcPr>
            <w:tcW w:w="3544" w:type="dxa"/>
          </w:tcPr>
          <w:p w:rsidR="00E713A9" w:rsidRPr="000604A8" w:rsidRDefault="00691C58"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Bid</w:t>
            </w:r>
            <w:r w:rsidR="00E713A9" w:rsidRPr="000604A8">
              <w:rPr>
                <w:rFonts w:ascii="Calibri" w:eastAsia="Times New Roman" w:hAnsi="Calibri" w:cs="Calibri"/>
                <w:color w:val="000000"/>
                <w:sz w:val="24"/>
                <w:szCs w:val="24"/>
                <w:lang w:eastAsia="en-GB"/>
              </w:rPr>
              <w:t xml:space="preserve"> Assessment Framework</w:t>
            </w:r>
          </w:p>
        </w:tc>
        <w:tc>
          <w:tcPr>
            <w:tcW w:w="7938" w:type="dxa"/>
            <w:shd w:val="clear" w:color="auto" w:fill="auto"/>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Summary of the framework that we have developed.</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8.3</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RCV Allocation and Bi-lateral Markets</w:t>
            </w:r>
          </w:p>
        </w:tc>
        <w:tc>
          <w:tcPr>
            <w:tcW w:w="7938" w:type="dxa"/>
            <w:shd w:val="clear" w:color="auto" w:fill="auto"/>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Our methodology and proposed RCV split and our assessment of potential impact of Bi-lateral markets.</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8.4</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Retail</w:t>
            </w:r>
          </w:p>
        </w:tc>
        <w:tc>
          <w:tcPr>
            <w:tcW w:w="7938" w:type="dxa"/>
            <w:shd w:val="clear" w:color="auto" w:fill="auto"/>
            <w:hideMark/>
          </w:tcPr>
          <w:p w:rsidR="00E713A9" w:rsidRPr="000604A8" w:rsidRDefault="00E713A9" w:rsidP="002A04DC">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Our plans for managing Voids and Gap </w:t>
            </w:r>
            <w:r w:rsidR="002A04DC">
              <w:rPr>
                <w:rFonts w:ascii="Calibri" w:eastAsia="Times New Roman" w:hAnsi="Calibri" w:cs="Calibri"/>
                <w:color w:val="000000"/>
                <w:sz w:val="24"/>
                <w:szCs w:val="24"/>
                <w:lang w:eastAsia="en-GB"/>
              </w:rPr>
              <w:t>S</w:t>
            </w:r>
            <w:r w:rsidRPr="000604A8">
              <w:rPr>
                <w:rFonts w:ascii="Calibri" w:eastAsia="Times New Roman" w:hAnsi="Calibri" w:cs="Calibri"/>
                <w:color w:val="000000"/>
                <w:sz w:val="24"/>
                <w:szCs w:val="24"/>
                <w:lang w:eastAsia="en-GB"/>
              </w:rPr>
              <w:t xml:space="preserve">ites and lessons learnt from the Business Retail Market. </w:t>
            </w:r>
          </w:p>
        </w:tc>
      </w:tr>
      <w:tr w:rsidR="00E713A9" w:rsidRPr="000604A8" w:rsidTr="00DB27A8">
        <w:trPr>
          <w:trHeight w:val="20"/>
        </w:trPr>
        <w:tc>
          <w:tcPr>
            <w:tcW w:w="561" w:type="dxa"/>
            <w:vMerge w:val="restart"/>
            <w:shd w:val="clear" w:color="auto" w:fill="2E74B5" w:themeFill="accent1" w:themeFillShade="BF"/>
            <w:vAlign w:val="center"/>
          </w:tcPr>
          <w:p w:rsidR="00E713A9" w:rsidRPr="005755E3"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rFonts w:ascii="Calibri" w:eastAsia="Times New Roman" w:hAnsi="Calibri" w:cs="Calibri"/>
                <w:b/>
                <w:bCs/>
                <w:color w:val="FFFFFF" w:themeColor="background1"/>
                <w:sz w:val="24"/>
                <w:szCs w:val="24"/>
                <w:lang w:eastAsia="en-GB"/>
              </w:rPr>
              <w:t>9</w:t>
            </w:r>
          </w:p>
        </w:tc>
        <w:tc>
          <w:tcPr>
            <w:tcW w:w="1604" w:type="dxa"/>
            <w:vMerge w:val="restart"/>
            <w:shd w:val="clear" w:color="auto" w:fill="F7CAAC" w:themeFill="accent2" w:themeFillTint="66"/>
            <w:vAlign w:val="center"/>
          </w:tcPr>
          <w:p w:rsidR="00143F3E" w:rsidRPr="000604A8" w:rsidRDefault="00143F3E" w:rsidP="00D00765">
            <w:pPr>
              <w:spacing w:after="0" w:line="240" w:lineRule="auto"/>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Cost Efficiency</w:t>
            </w:r>
          </w:p>
        </w:tc>
        <w:tc>
          <w:tcPr>
            <w:tcW w:w="12578" w:type="dxa"/>
            <w:gridSpan w:val="3"/>
          </w:tcPr>
          <w:p w:rsidR="00E713A9" w:rsidRPr="000604A8" w:rsidRDefault="00E713A9" w:rsidP="00D00765">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sz w:val="24"/>
                <w:szCs w:val="24"/>
                <w:lang w:eastAsia="en-GB"/>
              </w:rPr>
              <w:t>This Chapter deals with wholesale and retail efficiency</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9.1</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Totex Efficiency (Wholesale)</w:t>
            </w:r>
          </w:p>
        </w:tc>
        <w:tc>
          <w:tcPr>
            <w:tcW w:w="7938" w:type="dxa"/>
            <w:shd w:val="clear" w:color="auto" w:fill="auto"/>
            <w:hideMark/>
          </w:tcPr>
          <w:p w:rsidR="00E713A9" w:rsidRPr="000604A8" w:rsidRDefault="00E713A9" w:rsidP="002A04DC">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A summary of Totex for AMP 7, benchmarking and use of markets, innovative models, optimising of approaches, use of technology, </w:t>
            </w:r>
            <w:r w:rsidR="002A04DC">
              <w:rPr>
                <w:rFonts w:ascii="Calibri" w:eastAsia="Times New Roman" w:hAnsi="Calibri" w:cs="Calibri"/>
                <w:color w:val="000000"/>
                <w:sz w:val="24"/>
                <w:szCs w:val="24"/>
                <w:lang w:eastAsia="en-GB"/>
              </w:rPr>
              <w:t xml:space="preserve">and targeted </w:t>
            </w:r>
            <w:r w:rsidRPr="000604A8">
              <w:rPr>
                <w:rFonts w:ascii="Calibri" w:eastAsia="Times New Roman" w:hAnsi="Calibri" w:cs="Calibri"/>
                <w:color w:val="000000"/>
                <w:sz w:val="24"/>
                <w:szCs w:val="24"/>
                <w:lang w:eastAsia="en-GB"/>
              </w:rPr>
              <w:t xml:space="preserve">efficiency savings. </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9.2</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Retail Efficiency</w:t>
            </w:r>
          </w:p>
        </w:tc>
        <w:tc>
          <w:tcPr>
            <w:tcW w:w="7938" w:type="dxa"/>
            <w:shd w:val="clear" w:color="auto" w:fill="auto"/>
            <w:hideMark/>
          </w:tcPr>
          <w:p w:rsidR="00E713A9" w:rsidRPr="000604A8" w:rsidRDefault="00E713A9" w:rsidP="002A04DC">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Bad debt and Input </w:t>
            </w:r>
            <w:r w:rsidR="002A04DC">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 xml:space="preserve">rice </w:t>
            </w:r>
            <w:r w:rsidR="002A04DC">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ressures.</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9.3</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Cost Efficiency – Enhancements expected</w:t>
            </w:r>
          </w:p>
        </w:tc>
        <w:tc>
          <w:tcPr>
            <w:tcW w:w="7938" w:type="dxa"/>
            <w:shd w:val="clear" w:color="auto" w:fill="auto"/>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Details of twelve schemes that qualify as enhancements. </w:t>
            </w:r>
          </w:p>
        </w:tc>
      </w:tr>
      <w:tr w:rsidR="00E713A9" w:rsidRPr="000604A8" w:rsidTr="00DB27A8">
        <w:trPr>
          <w:trHeight w:val="20"/>
        </w:trPr>
        <w:tc>
          <w:tcPr>
            <w:tcW w:w="561" w:type="dxa"/>
            <w:vMerge w:val="restart"/>
            <w:shd w:val="clear" w:color="auto" w:fill="2E74B5" w:themeFill="accent1" w:themeFillShade="BF"/>
            <w:vAlign w:val="center"/>
          </w:tcPr>
          <w:p w:rsidR="00E713A9" w:rsidRPr="005755E3"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rFonts w:ascii="Calibri" w:eastAsia="Times New Roman" w:hAnsi="Calibri" w:cs="Calibri"/>
                <w:b/>
                <w:bCs/>
                <w:color w:val="FFFFFF" w:themeColor="background1"/>
                <w:sz w:val="24"/>
                <w:szCs w:val="24"/>
                <w:lang w:eastAsia="en-GB"/>
              </w:rPr>
              <w:t>10</w:t>
            </w:r>
          </w:p>
        </w:tc>
        <w:tc>
          <w:tcPr>
            <w:tcW w:w="1604" w:type="dxa"/>
            <w:vMerge w:val="restart"/>
            <w:shd w:val="clear" w:color="auto" w:fill="F7CAAC" w:themeFill="accent2" w:themeFillTint="66"/>
            <w:vAlign w:val="center"/>
          </w:tcPr>
          <w:p w:rsidR="00E713A9" w:rsidRPr="000604A8" w:rsidRDefault="00E713A9" w:rsidP="00143F3E">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Risk and Return Alignment </w:t>
            </w:r>
          </w:p>
        </w:tc>
        <w:tc>
          <w:tcPr>
            <w:tcW w:w="12578" w:type="dxa"/>
            <w:gridSpan w:val="3"/>
          </w:tcPr>
          <w:p w:rsidR="00E713A9" w:rsidRPr="000604A8" w:rsidRDefault="00E713A9" w:rsidP="002A04DC">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color w:val="000000"/>
                <w:sz w:val="24"/>
                <w:szCs w:val="24"/>
                <w:lang w:eastAsia="en-GB"/>
              </w:rPr>
              <w:t xml:space="preserve">This Chapter deals with </w:t>
            </w:r>
            <w:r w:rsidR="002A04DC">
              <w:rPr>
                <w:rFonts w:ascii="Calibri" w:eastAsia="Times New Roman" w:hAnsi="Calibri" w:cs="Calibri"/>
                <w:b/>
                <w:color w:val="000000"/>
                <w:sz w:val="24"/>
                <w:szCs w:val="24"/>
                <w:lang w:eastAsia="en-GB"/>
              </w:rPr>
              <w:t>the factors contributing to how risk and return align within the Business Plan</w:t>
            </w:r>
            <w:r w:rsidRPr="000604A8">
              <w:rPr>
                <w:rFonts w:ascii="Calibri" w:eastAsia="Times New Roman" w:hAnsi="Calibri" w:cs="Calibri"/>
                <w:b/>
                <w:color w:val="000000"/>
                <w:sz w:val="24"/>
                <w:szCs w:val="24"/>
                <w:lang w:eastAsia="en-GB"/>
              </w:rPr>
              <w:t>.</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Borders>
              <w:right w:val="single" w:sz="4" w:space="0" w:color="auto"/>
            </w:tcBorders>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10.1</w:t>
            </w:r>
          </w:p>
        </w:tc>
        <w:tc>
          <w:tcPr>
            <w:tcW w:w="3544" w:type="dxa"/>
            <w:tcBorders>
              <w:top w:val="single" w:sz="4" w:space="0" w:color="auto"/>
              <w:left w:val="single" w:sz="4" w:space="0" w:color="auto"/>
              <w:bottom w:val="single" w:sz="4" w:space="0" w:color="auto"/>
              <w:right w:val="single" w:sz="4" w:space="0" w:color="auto"/>
            </w:tcBorders>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WACC and Retail Margin</w:t>
            </w:r>
          </w:p>
        </w:tc>
        <w:tc>
          <w:tcPr>
            <w:tcW w:w="7938" w:type="dxa"/>
            <w:tcBorders>
              <w:left w:val="single" w:sz="4" w:space="0" w:color="auto"/>
            </w:tcBorders>
            <w:shd w:val="clear" w:color="auto" w:fill="auto"/>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 Table summarising the build-up of our WACC and confirmation that a Retail Margin of 1% has been applied to the Retail Control. </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10.2</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Company Specific Premium</w:t>
            </w:r>
          </w:p>
        </w:tc>
        <w:tc>
          <w:tcPr>
            <w:tcW w:w="7938" w:type="dxa"/>
            <w:shd w:val="clear" w:color="auto" w:fill="auto"/>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Evidence of support for Company Specific Premium and level of adjustments sought.</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10.3</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Risks and Mitigation</w:t>
            </w:r>
          </w:p>
        </w:tc>
        <w:tc>
          <w:tcPr>
            <w:tcW w:w="7938" w:type="dxa"/>
            <w:shd w:val="clear" w:color="auto" w:fill="auto"/>
            <w:hideMark/>
          </w:tcPr>
          <w:p w:rsidR="00E713A9" w:rsidRPr="000604A8" w:rsidRDefault="00E713A9" w:rsidP="002A04DC">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How the </w:t>
            </w:r>
            <w:r w:rsidR="002A04DC">
              <w:rPr>
                <w:rFonts w:ascii="Calibri" w:eastAsia="Times New Roman" w:hAnsi="Calibri" w:cs="Calibri"/>
                <w:color w:val="000000"/>
                <w:sz w:val="24"/>
                <w:szCs w:val="24"/>
                <w:lang w:eastAsia="en-GB"/>
              </w:rPr>
              <w:t>C</w:t>
            </w:r>
            <w:r w:rsidRPr="000604A8">
              <w:rPr>
                <w:rFonts w:ascii="Calibri" w:eastAsia="Times New Roman" w:hAnsi="Calibri" w:cs="Calibri"/>
                <w:color w:val="000000"/>
                <w:sz w:val="24"/>
                <w:szCs w:val="24"/>
                <w:lang w:eastAsia="en-GB"/>
              </w:rPr>
              <w:t xml:space="preserve">ompany has reviewed and mitigated </w:t>
            </w:r>
            <w:r w:rsidR="002A04DC">
              <w:rPr>
                <w:rFonts w:ascii="Calibri" w:eastAsia="Times New Roman" w:hAnsi="Calibri" w:cs="Calibri"/>
                <w:color w:val="000000"/>
                <w:sz w:val="24"/>
                <w:szCs w:val="24"/>
                <w:lang w:eastAsia="en-GB"/>
              </w:rPr>
              <w:t xml:space="preserve">delivery </w:t>
            </w:r>
            <w:r w:rsidRPr="000604A8">
              <w:rPr>
                <w:rFonts w:ascii="Calibri" w:eastAsia="Times New Roman" w:hAnsi="Calibri" w:cs="Calibri"/>
                <w:color w:val="000000"/>
                <w:sz w:val="24"/>
                <w:szCs w:val="24"/>
                <w:lang w:eastAsia="en-GB"/>
              </w:rPr>
              <w:t xml:space="preserve">risks associated with our </w:t>
            </w:r>
            <w:r w:rsidR="002A04DC">
              <w:rPr>
                <w:rFonts w:ascii="Calibri" w:eastAsia="Times New Roman" w:hAnsi="Calibri" w:cs="Calibri"/>
                <w:color w:val="000000"/>
                <w:sz w:val="24"/>
                <w:szCs w:val="24"/>
                <w:lang w:eastAsia="en-GB"/>
              </w:rPr>
              <w:t>P</w:t>
            </w:r>
            <w:r w:rsidRPr="000604A8">
              <w:rPr>
                <w:rFonts w:ascii="Calibri" w:eastAsia="Times New Roman" w:hAnsi="Calibri" w:cs="Calibri"/>
                <w:color w:val="000000"/>
                <w:sz w:val="24"/>
                <w:szCs w:val="24"/>
                <w:lang w:eastAsia="en-GB"/>
              </w:rPr>
              <w:t>lan</w:t>
            </w:r>
            <w:r w:rsidR="002A04DC">
              <w:rPr>
                <w:rFonts w:ascii="Calibri" w:eastAsia="Times New Roman" w:hAnsi="Calibri" w:cs="Calibri"/>
                <w:color w:val="000000"/>
                <w:sz w:val="24"/>
                <w:szCs w:val="24"/>
                <w:lang w:eastAsia="en-GB"/>
              </w:rPr>
              <w:t xml:space="preserve"> and how these link to RoRE scenarios</w:t>
            </w:r>
            <w:r w:rsidRPr="000604A8">
              <w:rPr>
                <w:rFonts w:ascii="Calibri" w:eastAsia="Times New Roman" w:hAnsi="Calibri" w:cs="Calibri"/>
                <w:color w:val="000000"/>
                <w:sz w:val="24"/>
                <w:szCs w:val="24"/>
                <w:lang w:eastAsia="en-GB"/>
              </w:rPr>
              <w:t xml:space="preserve">. </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10.4</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RoRE Upside/Downside</w:t>
            </w:r>
          </w:p>
        </w:tc>
        <w:tc>
          <w:tcPr>
            <w:tcW w:w="7938" w:type="dxa"/>
            <w:shd w:val="clear" w:color="auto" w:fill="auto"/>
            <w:hideMark/>
          </w:tcPr>
          <w:p w:rsidR="00E713A9" w:rsidRPr="000604A8" w:rsidRDefault="00E713A9" w:rsidP="002A04DC">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RoRE modelling against various scenarios. </w:t>
            </w:r>
          </w:p>
        </w:tc>
      </w:tr>
    </w:tbl>
    <w:p w:rsidR="00D43FED" w:rsidRDefault="00D43FED"/>
    <w:p w:rsidR="00D43FED" w:rsidRDefault="00D43FED"/>
    <w:p w:rsidR="00D43FED" w:rsidRDefault="00D43FED"/>
    <w:p w:rsidR="00D43FED" w:rsidRDefault="00D43FED"/>
    <w:p w:rsidR="00D43FED" w:rsidRDefault="00D43FED"/>
    <w:p w:rsidR="004E1FD2" w:rsidRDefault="004E1FD2"/>
    <w:tbl>
      <w:tblPr>
        <w:tblW w:w="147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604"/>
        <w:gridCol w:w="1096"/>
        <w:gridCol w:w="3544"/>
        <w:gridCol w:w="7938"/>
      </w:tblGrid>
      <w:tr w:rsidR="00D43FED" w:rsidRPr="000604A8" w:rsidTr="007C45DD">
        <w:trPr>
          <w:trHeight w:val="20"/>
        </w:trPr>
        <w:tc>
          <w:tcPr>
            <w:tcW w:w="2165" w:type="dxa"/>
            <w:gridSpan w:val="2"/>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bCs/>
                <w:color w:val="FFFFFF" w:themeColor="background1"/>
                <w:sz w:val="24"/>
                <w:szCs w:val="24"/>
                <w:lang w:eastAsia="en-GB"/>
              </w:rPr>
            </w:pPr>
            <w:r w:rsidRPr="000604A8">
              <w:rPr>
                <w:rFonts w:ascii="Calibri" w:eastAsia="Times New Roman" w:hAnsi="Calibri" w:cs="Calibri"/>
                <w:b/>
                <w:bCs/>
                <w:color w:val="FFFFFF" w:themeColor="background1"/>
                <w:sz w:val="24"/>
                <w:szCs w:val="24"/>
                <w:lang w:eastAsia="en-GB"/>
              </w:rPr>
              <w:t>Chapter</w:t>
            </w:r>
          </w:p>
        </w:tc>
        <w:tc>
          <w:tcPr>
            <w:tcW w:w="1096" w:type="dxa"/>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 xml:space="preserve">Section </w:t>
            </w:r>
          </w:p>
        </w:tc>
        <w:tc>
          <w:tcPr>
            <w:tcW w:w="3544" w:type="dxa"/>
            <w:shd w:val="clear" w:color="auto" w:fill="2E74B5" w:themeFill="accent1" w:themeFillShade="BF"/>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Main Section Headings</w:t>
            </w:r>
          </w:p>
        </w:tc>
        <w:tc>
          <w:tcPr>
            <w:tcW w:w="7938" w:type="dxa"/>
            <w:shd w:val="clear" w:color="auto" w:fill="2E74B5" w:themeFill="accent1" w:themeFillShade="BF"/>
            <w:vAlign w:val="center"/>
          </w:tcPr>
          <w:p w:rsidR="00D43FED" w:rsidRPr="000604A8" w:rsidRDefault="00D43FED" w:rsidP="004E1FD2">
            <w:pPr>
              <w:spacing w:after="120" w:line="240" w:lineRule="auto"/>
              <w:rPr>
                <w:rFonts w:ascii="Calibri" w:eastAsia="Times New Roman" w:hAnsi="Calibri" w:cs="Calibri"/>
                <w:b/>
                <w:color w:val="FFFFFF" w:themeColor="background1"/>
                <w:sz w:val="24"/>
                <w:szCs w:val="24"/>
                <w:lang w:eastAsia="en-GB"/>
              </w:rPr>
            </w:pPr>
            <w:r w:rsidRPr="000604A8">
              <w:rPr>
                <w:rFonts w:ascii="Calibri" w:eastAsia="Times New Roman" w:hAnsi="Calibri" w:cs="Calibri"/>
                <w:b/>
                <w:color w:val="FFFFFF" w:themeColor="background1"/>
                <w:sz w:val="24"/>
                <w:szCs w:val="24"/>
                <w:lang w:eastAsia="en-GB"/>
              </w:rPr>
              <w:t>Brief Description</w:t>
            </w:r>
          </w:p>
        </w:tc>
      </w:tr>
      <w:tr w:rsidR="00E713A9" w:rsidRPr="000604A8" w:rsidTr="00DB27A8">
        <w:trPr>
          <w:trHeight w:val="20"/>
        </w:trPr>
        <w:tc>
          <w:tcPr>
            <w:tcW w:w="561" w:type="dxa"/>
            <w:vMerge w:val="restart"/>
            <w:shd w:val="clear" w:color="auto" w:fill="2E74B5" w:themeFill="accent1" w:themeFillShade="BF"/>
            <w:vAlign w:val="center"/>
          </w:tcPr>
          <w:p w:rsidR="00E713A9" w:rsidRPr="005755E3" w:rsidRDefault="00180F4D"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color w:val="FFFFFF" w:themeColor="background1"/>
                <w:sz w:val="24"/>
                <w:szCs w:val="24"/>
              </w:rPr>
              <w:br w:type="page"/>
            </w:r>
            <w:r w:rsidR="00E713A9" w:rsidRPr="005755E3">
              <w:rPr>
                <w:rFonts w:ascii="Calibri" w:eastAsia="Times New Roman" w:hAnsi="Calibri" w:cs="Calibri"/>
                <w:b/>
                <w:bCs/>
                <w:color w:val="FFFFFF" w:themeColor="background1"/>
                <w:sz w:val="24"/>
                <w:szCs w:val="24"/>
                <w:lang w:eastAsia="en-GB"/>
              </w:rPr>
              <w:t>11</w:t>
            </w:r>
          </w:p>
        </w:tc>
        <w:tc>
          <w:tcPr>
            <w:tcW w:w="1604" w:type="dxa"/>
            <w:vMerge w:val="restart"/>
            <w:shd w:val="clear" w:color="auto" w:fill="F7CAAC" w:themeFill="accent2" w:themeFillTint="66"/>
            <w:vAlign w:val="center"/>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Risk and Return - Financeability</w:t>
            </w:r>
          </w:p>
        </w:tc>
        <w:tc>
          <w:tcPr>
            <w:tcW w:w="12578" w:type="dxa"/>
            <w:gridSpan w:val="3"/>
          </w:tcPr>
          <w:p w:rsidR="00E713A9" w:rsidRPr="000604A8" w:rsidRDefault="00E713A9" w:rsidP="00D00765">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color w:val="000000"/>
                <w:sz w:val="24"/>
                <w:szCs w:val="24"/>
                <w:lang w:eastAsia="en-GB"/>
              </w:rPr>
              <w:t>This chapter covers our financeability based on our proposed plan.</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11.1</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Board statement on financeability</w:t>
            </w:r>
          </w:p>
        </w:tc>
        <w:tc>
          <w:tcPr>
            <w:tcW w:w="7938" w:type="dxa"/>
            <w:shd w:val="clear" w:color="auto" w:fill="auto"/>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The Board</w:t>
            </w:r>
            <w:r w:rsidR="002A04DC">
              <w:rPr>
                <w:rFonts w:ascii="Calibri" w:eastAsia="Times New Roman" w:hAnsi="Calibri" w:cs="Calibri"/>
                <w:color w:val="000000"/>
                <w:sz w:val="24"/>
                <w:szCs w:val="24"/>
                <w:lang w:eastAsia="en-GB"/>
              </w:rPr>
              <w:t>’</w:t>
            </w:r>
            <w:r w:rsidRPr="000604A8">
              <w:rPr>
                <w:rFonts w:ascii="Calibri" w:eastAsia="Times New Roman" w:hAnsi="Calibri" w:cs="Calibri"/>
                <w:color w:val="000000"/>
                <w:sz w:val="24"/>
                <w:szCs w:val="24"/>
                <w:lang w:eastAsia="en-GB"/>
              </w:rPr>
              <w:t xml:space="preserve">s review of financeability and their conclusions. </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11.2</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Financial resilience</w:t>
            </w:r>
          </w:p>
        </w:tc>
        <w:tc>
          <w:tcPr>
            <w:tcW w:w="7938" w:type="dxa"/>
            <w:shd w:val="clear" w:color="auto" w:fill="auto"/>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Financeability tested against the number of specific scenarios.</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11.3</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Assessment of financeability</w:t>
            </w:r>
          </w:p>
        </w:tc>
        <w:tc>
          <w:tcPr>
            <w:tcW w:w="7938" w:type="dxa"/>
            <w:shd w:val="clear" w:color="auto" w:fill="auto"/>
          </w:tcPr>
          <w:p w:rsidR="00E713A9" w:rsidRPr="000604A8" w:rsidRDefault="00E713A9" w:rsidP="002A04DC">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Conclusion </w:t>
            </w:r>
            <w:r w:rsidR="002A04DC">
              <w:rPr>
                <w:rFonts w:ascii="Calibri" w:eastAsia="Times New Roman" w:hAnsi="Calibri" w:cs="Calibri"/>
                <w:color w:val="000000"/>
                <w:sz w:val="24"/>
                <w:szCs w:val="24"/>
                <w:lang w:eastAsia="en-GB"/>
              </w:rPr>
              <w:t xml:space="preserve">on financeability </w:t>
            </w:r>
            <w:r w:rsidRPr="000604A8">
              <w:rPr>
                <w:rFonts w:ascii="Calibri" w:eastAsia="Times New Roman" w:hAnsi="Calibri" w:cs="Calibri"/>
                <w:color w:val="000000"/>
                <w:sz w:val="24"/>
                <w:szCs w:val="24"/>
                <w:lang w:eastAsia="en-GB"/>
              </w:rPr>
              <w:t xml:space="preserve">on both a notional and actual basis. </w:t>
            </w:r>
            <w:r w:rsidR="002A04DC">
              <w:rPr>
                <w:rFonts w:ascii="Calibri" w:eastAsia="Times New Roman" w:hAnsi="Calibri" w:cs="Calibri"/>
                <w:color w:val="000000"/>
                <w:sz w:val="24"/>
                <w:szCs w:val="24"/>
                <w:lang w:eastAsia="en-GB"/>
              </w:rPr>
              <w:t xml:space="preserve"> This includes financeability adjustments</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11.4</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Dividend policy </w:t>
            </w:r>
          </w:p>
        </w:tc>
        <w:tc>
          <w:tcPr>
            <w:tcW w:w="7938" w:type="dxa"/>
            <w:shd w:val="clear" w:color="auto" w:fill="auto"/>
          </w:tcPr>
          <w:p w:rsidR="00E713A9" w:rsidRPr="000604A8" w:rsidRDefault="00E713A9" w:rsidP="002A04DC">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The basis of which </w:t>
            </w:r>
            <w:r w:rsidR="002A04DC">
              <w:rPr>
                <w:rFonts w:ascii="Calibri" w:eastAsia="Times New Roman" w:hAnsi="Calibri" w:cs="Calibri"/>
                <w:color w:val="000000"/>
                <w:sz w:val="24"/>
                <w:szCs w:val="24"/>
                <w:lang w:eastAsia="en-GB"/>
              </w:rPr>
              <w:t xml:space="preserve">it </w:t>
            </w:r>
            <w:r w:rsidRPr="000604A8">
              <w:rPr>
                <w:rFonts w:ascii="Calibri" w:eastAsia="Times New Roman" w:hAnsi="Calibri" w:cs="Calibri"/>
                <w:color w:val="000000"/>
                <w:sz w:val="24"/>
                <w:szCs w:val="24"/>
                <w:lang w:eastAsia="en-GB"/>
              </w:rPr>
              <w:t xml:space="preserve">is intended </w:t>
            </w:r>
            <w:r w:rsidR="002A04DC">
              <w:rPr>
                <w:rFonts w:ascii="Calibri" w:eastAsia="Times New Roman" w:hAnsi="Calibri" w:cs="Calibri"/>
                <w:color w:val="000000"/>
                <w:sz w:val="24"/>
                <w:szCs w:val="24"/>
                <w:lang w:eastAsia="en-GB"/>
              </w:rPr>
              <w:t xml:space="preserve">that </w:t>
            </w:r>
            <w:r w:rsidRPr="000604A8">
              <w:rPr>
                <w:rFonts w:ascii="Calibri" w:eastAsia="Times New Roman" w:hAnsi="Calibri" w:cs="Calibri"/>
                <w:color w:val="000000"/>
                <w:sz w:val="24"/>
                <w:szCs w:val="24"/>
                <w:lang w:eastAsia="en-GB"/>
              </w:rPr>
              <w:t>dividends will be paid.</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11.5</w:t>
            </w:r>
          </w:p>
        </w:tc>
        <w:tc>
          <w:tcPr>
            <w:tcW w:w="3544" w:type="dxa"/>
          </w:tcPr>
          <w:p w:rsidR="00E713A9" w:rsidRPr="000604A8" w:rsidRDefault="00691C58"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Gearing o</w:t>
            </w:r>
            <w:r w:rsidR="00E713A9" w:rsidRPr="000604A8">
              <w:rPr>
                <w:rFonts w:ascii="Calibri" w:eastAsia="Times New Roman" w:hAnsi="Calibri" w:cs="Calibri"/>
                <w:color w:val="000000"/>
                <w:sz w:val="24"/>
                <w:szCs w:val="24"/>
                <w:lang w:eastAsia="en-GB"/>
              </w:rPr>
              <w:t xml:space="preserve">utperformance sharing mechanism </w:t>
            </w:r>
          </w:p>
        </w:tc>
        <w:tc>
          <w:tcPr>
            <w:tcW w:w="7938" w:type="dxa"/>
            <w:shd w:val="clear" w:color="auto" w:fill="auto"/>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Our proposal mechanism in respect of </w:t>
            </w:r>
            <w:r w:rsidR="002A04DC">
              <w:rPr>
                <w:rFonts w:ascii="Calibri" w:eastAsia="Times New Roman" w:hAnsi="Calibri" w:cs="Calibri"/>
                <w:color w:val="000000"/>
                <w:sz w:val="24"/>
                <w:szCs w:val="24"/>
                <w:lang w:eastAsia="en-GB"/>
              </w:rPr>
              <w:t xml:space="preserve">sharing the benefit of </w:t>
            </w:r>
            <w:r w:rsidRPr="000604A8">
              <w:rPr>
                <w:rFonts w:ascii="Calibri" w:eastAsia="Times New Roman" w:hAnsi="Calibri" w:cs="Calibri"/>
                <w:color w:val="000000"/>
                <w:sz w:val="24"/>
                <w:szCs w:val="24"/>
                <w:lang w:eastAsia="en-GB"/>
              </w:rPr>
              <w:t>high gearing.</w:t>
            </w:r>
          </w:p>
        </w:tc>
      </w:tr>
      <w:tr w:rsidR="00E713A9" w:rsidRPr="000604A8" w:rsidTr="00DB27A8">
        <w:trPr>
          <w:trHeight w:val="20"/>
        </w:trPr>
        <w:tc>
          <w:tcPr>
            <w:tcW w:w="561" w:type="dxa"/>
            <w:vMerge/>
            <w:shd w:val="clear" w:color="auto" w:fill="2E74B5" w:themeFill="accent1" w:themeFillShade="BF"/>
          </w:tcPr>
          <w:p w:rsidR="00E713A9" w:rsidRPr="005755E3" w:rsidRDefault="00E713A9"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11.6</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Ownership Structure</w:t>
            </w:r>
          </w:p>
        </w:tc>
        <w:tc>
          <w:tcPr>
            <w:tcW w:w="7938" w:type="dxa"/>
            <w:shd w:val="clear" w:color="auto" w:fill="auto"/>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 xml:space="preserve">Explanation of how Portsmouth Water Limited fits in with the overall group structure. </w:t>
            </w:r>
          </w:p>
        </w:tc>
      </w:tr>
      <w:tr w:rsidR="002A04DC" w:rsidRPr="000604A8" w:rsidTr="00DB27A8">
        <w:trPr>
          <w:trHeight w:val="20"/>
        </w:trPr>
        <w:tc>
          <w:tcPr>
            <w:tcW w:w="561" w:type="dxa"/>
            <w:vMerge w:val="restart"/>
            <w:shd w:val="clear" w:color="auto" w:fill="2E74B5" w:themeFill="accent1" w:themeFillShade="BF"/>
            <w:vAlign w:val="center"/>
          </w:tcPr>
          <w:p w:rsidR="002A04DC" w:rsidRPr="005755E3" w:rsidRDefault="002A04DC"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rFonts w:ascii="Calibri" w:eastAsia="Times New Roman" w:hAnsi="Calibri" w:cs="Calibri"/>
                <w:b/>
                <w:bCs/>
                <w:color w:val="FFFFFF" w:themeColor="background1"/>
                <w:sz w:val="24"/>
                <w:szCs w:val="24"/>
                <w:lang w:eastAsia="en-GB"/>
              </w:rPr>
              <w:t>12</w:t>
            </w:r>
          </w:p>
        </w:tc>
        <w:tc>
          <w:tcPr>
            <w:tcW w:w="1604" w:type="dxa"/>
            <w:vMerge w:val="restart"/>
            <w:shd w:val="clear" w:color="auto" w:fill="F7CAAC" w:themeFill="accent2" w:themeFillTint="66"/>
            <w:vAlign w:val="center"/>
          </w:tcPr>
          <w:p w:rsidR="002A04DC" w:rsidRPr="000604A8" w:rsidRDefault="002A04DC" w:rsidP="00D00765">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AMP 6 performance</w:t>
            </w:r>
          </w:p>
        </w:tc>
        <w:tc>
          <w:tcPr>
            <w:tcW w:w="12578" w:type="dxa"/>
            <w:gridSpan w:val="3"/>
          </w:tcPr>
          <w:p w:rsidR="002A04DC" w:rsidRPr="000604A8" w:rsidRDefault="002A04DC" w:rsidP="00D00765">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color w:val="000000"/>
                <w:sz w:val="24"/>
                <w:szCs w:val="24"/>
                <w:lang w:eastAsia="en-GB"/>
              </w:rPr>
              <w:t>This Chapter covers our AMP 6 Performance relative to our Performance Commitments and resultant rewards and penalties</w:t>
            </w:r>
          </w:p>
        </w:tc>
      </w:tr>
      <w:tr w:rsidR="002A04DC" w:rsidRPr="000604A8" w:rsidTr="00DB27A8">
        <w:trPr>
          <w:trHeight w:val="20"/>
        </w:trPr>
        <w:tc>
          <w:tcPr>
            <w:tcW w:w="561" w:type="dxa"/>
            <w:vMerge/>
            <w:shd w:val="clear" w:color="auto" w:fill="2E74B5" w:themeFill="accent1" w:themeFillShade="BF"/>
          </w:tcPr>
          <w:p w:rsidR="002A04DC" w:rsidRPr="005755E3" w:rsidRDefault="002A04DC"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hideMark/>
          </w:tcPr>
          <w:p w:rsidR="002A04DC" w:rsidRPr="000604A8" w:rsidRDefault="002A04DC" w:rsidP="00D00765">
            <w:pPr>
              <w:spacing w:after="0" w:line="240" w:lineRule="auto"/>
              <w:rPr>
                <w:rFonts w:ascii="Calibri" w:eastAsia="Times New Roman" w:hAnsi="Calibri" w:cs="Calibri"/>
                <w:b/>
                <w:bCs/>
                <w:color w:val="000000"/>
                <w:sz w:val="24"/>
                <w:szCs w:val="24"/>
                <w:lang w:eastAsia="en-GB"/>
              </w:rPr>
            </w:pPr>
          </w:p>
        </w:tc>
        <w:tc>
          <w:tcPr>
            <w:tcW w:w="1096" w:type="dxa"/>
          </w:tcPr>
          <w:p w:rsidR="002A04DC" w:rsidRPr="000604A8" w:rsidRDefault="002A04DC"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12.1</w:t>
            </w:r>
          </w:p>
        </w:tc>
        <w:tc>
          <w:tcPr>
            <w:tcW w:w="3544" w:type="dxa"/>
          </w:tcPr>
          <w:p w:rsidR="002A04DC" w:rsidRPr="000604A8" w:rsidRDefault="002A04DC"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Reconciliation for 2015-2020</w:t>
            </w:r>
          </w:p>
        </w:tc>
        <w:tc>
          <w:tcPr>
            <w:tcW w:w="7938" w:type="dxa"/>
            <w:shd w:val="clear" w:color="auto" w:fill="auto"/>
            <w:hideMark/>
          </w:tcPr>
          <w:p w:rsidR="002A04DC" w:rsidRPr="000604A8" w:rsidRDefault="002A04DC"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Reconciliation of performance during AMP 6.</w:t>
            </w:r>
          </w:p>
        </w:tc>
      </w:tr>
      <w:tr w:rsidR="002A04DC" w:rsidRPr="000604A8" w:rsidTr="00DB27A8">
        <w:trPr>
          <w:trHeight w:val="20"/>
        </w:trPr>
        <w:tc>
          <w:tcPr>
            <w:tcW w:w="561" w:type="dxa"/>
            <w:vMerge/>
            <w:shd w:val="clear" w:color="auto" w:fill="2E74B5" w:themeFill="accent1" w:themeFillShade="BF"/>
          </w:tcPr>
          <w:p w:rsidR="002A04DC" w:rsidRPr="005755E3" w:rsidRDefault="002A04DC"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tcPr>
          <w:p w:rsidR="002A04DC" w:rsidRPr="000604A8" w:rsidRDefault="002A04DC" w:rsidP="00D00765">
            <w:pPr>
              <w:spacing w:after="0" w:line="240" w:lineRule="auto"/>
              <w:rPr>
                <w:rFonts w:ascii="Calibri" w:eastAsia="Times New Roman" w:hAnsi="Calibri" w:cs="Calibri"/>
                <w:b/>
                <w:bCs/>
                <w:color w:val="000000"/>
                <w:sz w:val="24"/>
                <w:szCs w:val="24"/>
                <w:lang w:eastAsia="en-GB"/>
              </w:rPr>
            </w:pPr>
          </w:p>
        </w:tc>
        <w:tc>
          <w:tcPr>
            <w:tcW w:w="1096" w:type="dxa"/>
          </w:tcPr>
          <w:p w:rsidR="002A04DC" w:rsidRPr="000604A8" w:rsidRDefault="002A04DC"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12.2</w:t>
            </w:r>
          </w:p>
        </w:tc>
        <w:tc>
          <w:tcPr>
            <w:tcW w:w="3544" w:type="dxa"/>
          </w:tcPr>
          <w:p w:rsidR="002A04DC" w:rsidRPr="000604A8" w:rsidRDefault="002A04DC"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Overview of our Performance</w:t>
            </w:r>
          </w:p>
        </w:tc>
        <w:tc>
          <w:tcPr>
            <w:tcW w:w="7938" w:type="dxa"/>
            <w:shd w:val="clear" w:color="auto" w:fill="auto"/>
          </w:tcPr>
          <w:p w:rsidR="002A04DC" w:rsidRPr="000604A8" w:rsidRDefault="002A04DC"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Highlights from AMP6</w:t>
            </w:r>
          </w:p>
        </w:tc>
      </w:tr>
      <w:tr w:rsidR="002A04DC" w:rsidRPr="000604A8" w:rsidTr="00DB27A8">
        <w:trPr>
          <w:trHeight w:val="20"/>
        </w:trPr>
        <w:tc>
          <w:tcPr>
            <w:tcW w:w="561" w:type="dxa"/>
            <w:vMerge/>
            <w:shd w:val="clear" w:color="auto" w:fill="2E74B5" w:themeFill="accent1" w:themeFillShade="BF"/>
          </w:tcPr>
          <w:p w:rsidR="002A04DC" w:rsidRPr="005755E3" w:rsidRDefault="002A04DC" w:rsidP="00D00765">
            <w:pPr>
              <w:spacing w:after="0" w:line="240" w:lineRule="auto"/>
              <w:rPr>
                <w:rFonts w:ascii="Calibri" w:eastAsia="Times New Roman" w:hAnsi="Calibri" w:cs="Calibri"/>
                <w:b/>
                <w:bCs/>
                <w:color w:val="FFFFFF" w:themeColor="background1"/>
                <w:sz w:val="24"/>
                <w:szCs w:val="24"/>
                <w:lang w:eastAsia="en-GB"/>
              </w:rPr>
            </w:pPr>
          </w:p>
        </w:tc>
        <w:tc>
          <w:tcPr>
            <w:tcW w:w="1604" w:type="dxa"/>
            <w:vMerge/>
            <w:shd w:val="clear" w:color="auto" w:fill="F7CAAC" w:themeFill="accent2" w:themeFillTint="66"/>
            <w:vAlign w:val="center"/>
          </w:tcPr>
          <w:p w:rsidR="002A04DC" w:rsidRPr="000604A8" w:rsidRDefault="002A04DC" w:rsidP="00D00765">
            <w:pPr>
              <w:spacing w:after="0" w:line="240" w:lineRule="auto"/>
              <w:rPr>
                <w:rFonts w:ascii="Calibri" w:eastAsia="Times New Roman" w:hAnsi="Calibri" w:cs="Calibri"/>
                <w:b/>
                <w:bCs/>
                <w:color w:val="000000"/>
                <w:sz w:val="24"/>
                <w:szCs w:val="24"/>
                <w:lang w:eastAsia="en-GB"/>
              </w:rPr>
            </w:pPr>
          </w:p>
        </w:tc>
        <w:tc>
          <w:tcPr>
            <w:tcW w:w="1096" w:type="dxa"/>
          </w:tcPr>
          <w:p w:rsidR="002A04DC" w:rsidRPr="000604A8" w:rsidRDefault="002A04DC"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12.3</w:t>
            </w:r>
          </w:p>
        </w:tc>
        <w:tc>
          <w:tcPr>
            <w:tcW w:w="3544" w:type="dxa"/>
          </w:tcPr>
          <w:p w:rsidR="002A04DC" w:rsidRPr="000604A8" w:rsidRDefault="002A04DC"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Our promises to our Customers</w:t>
            </w:r>
          </w:p>
        </w:tc>
        <w:tc>
          <w:tcPr>
            <w:tcW w:w="7938" w:type="dxa"/>
            <w:shd w:val="clear" w:color="auto" w:fill="auto"/>
          </w:tcPr>
          <w:p w:rsidR="002A04DC" w:rsidRPr="000604A8" w:rsidRDefault="002A04DC" w:rsidP="00D0076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Performance against our AMP6 Targets</w:t>
            </w:r>
          </w:p>
        </w:tc>
      </w:tr>
      <w:tr w:rsidR="00E713A9" w:rsidRPr="000604A8" w:rsidTr="00DB27A8">
        <w:trPr>
          <w:trHeight w:val="20"/>
        </w:trPr>
        <w:tc>
          <w:tcPr>
            <w:tcW w:w="561" w:type="dxa"/>
            <w:vMerge w:val="restart"/>
            <w:shd w:val="clear" w:color="auto" w:fill="2E74B5" w:themeFill="accent1" w:themeFillShade="BF"/>
            <w:vAlign w:val="center"/>
          </w:tcPr>
          <w:p w:rsidR="00E713A9" w:rsidRPr="005755E3" w:rsidRDefault="00E713A9" w:rsidP="003D438B">
            <w:pPr>
              <w:spacing w:after="0" w:line="240" w:lineRule="auto"/>
              <w:jc w:val="center"/>
              <w:rPr>
                <w:rFonts w:ascii="Calibri" w:eastAsia="Times New Roman" w:hAnsi="Calibri" w:cs="Calibri"/>
                <w:b/>
                <w:bCs/>
                <w:color w:val="FFFFFF" w:themeColor="background1"/>
                <w:sz w:val="24"/>
                <w:szCs w:val="24"/>
                <w:lang w:eastAsia="en-GB"/>
              </w:rPr>
            </w:pPr>
            <w:r w:rsidRPr="005755E3">
              <w:rPr>
                <w:rFonts w:ascii="Calibri" w:eastAsia="Times New Roman" w:hAnsi="Calibri" w:cs="Calibri"/>
                <w:b/>
                <w:bCs/>
                <w:color w:val="FFFFFF" w:themeColor="background1"/>
                <w:sz w:val="24"/>
                <w:szCs w:val="24"/>
                <w:lang w:eastAsia="en-GB"/>
              </w:rPr>
              <w:t>13</w:t>
            </w:r>
          </w:p>
        </w:tc>
        <w:tc>
          <w:tcPr>
            <w:tcW w:w="1604" w:type="dxa"/>
            <w:vMerge w:val="restart"/>
            <w:shd w:val="clear" w:color="auto" w:fill="F7CAAC" w:themeFill="accent2" w:themeFillTint="66"/>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r w:rsidRPr="000604A8">
              <w:rPr>
                <w:rFonts w:ascii="Calibri" w:eastAsia="Times New Roman" w:hAnsi="Calibri" w:cs="Calibri"/>
                <w:b/>
                <w:bCs/>
                <w:color w:val="000000"/>
                <w:sz w:val="24"/>
                <w:szCs w:val="24"/>
                <w:lang w:eastAsia="en-GB"/>
              </w:rPr>
              <w:t>Securing Confidence and Assurance</w:t>
            </w:r>
          </w:p>
        </w:tc>
        <w:tc>
          <w:tcPr>
            <w:tcW w:w="12578" w:type="dxa"/>
            <w:gridSpan w:val="3"/>
          </w:tcPr>
          <w:p w:rsidR="00E713A9" w:rsidRPr="000604A8" w:rsidRDefault="00E713A9" w:rsidP="00D00765">
            <w:pPr>
              <w:spacing w:after="0" w:line="240" w:lineRule="auto"/>
              <w:rPr>
                <w:rFonts w:ascii="Calibri" w:eastAsia="Times New Roman" w:hAnsi="Calibri" w:cs="Calibri"/>
                <w:b/>
                <w:color w:val="000000"/>
                <w:sz w:val="24"/>
                <w:szCs w:val="24"/>
                <w:lang w:eastAsia="en-GB"/>
              </w:rPr>
            </w:pPr>
            <w:r w:rsidRPr="000604A8">
              <w:rPr>
                <w:rFonts w:ascii="Calibri" w:eastAsia="Times New Roman" w:hAnsi="Calibri" w:cs="Calibri"/>
                <w:b/>
                <w:color w:val="000000"/>
                <w:sz w:val="24"/>
                <w:szCs w:val="24"/>
                <w:lang w:eastAsia="en-GB"/>
              </w:rPr>
              <w:t xml:space="preserve">Details of Assurance activities and our summary of our CCG’s report </w:t>
            </w:r>
            <w:r w:rsidR="002A04DC">
              <w:rPr>
                <w:rFonts w:ascii="Calibri" w:eastAsia="Times New Roman" w:hAnsi="Calibri" w:cs="Calibri"/>
                <w:b/>
                <w:color w:val="000000"/>
                <w:sz w:val="24"/>
                <w:szCs w:val="24"/>
                <w:lang w:eastAsia="en-GB"/>
              </w:rPr>
              <w:t>– This should be read in conjunction with the separate Board Assurance Statement</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hideMark/>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Borders>
              <w:right w:val="single" w:sz="4" w:space="0" w:color="auto"/>
            </w:tcBorders>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13.1</w:t>
            </w:r>
          </w:p>
        </w:tc>
        <w:tc>
          <w:tcPr>
            <w:tcW w:w="3544" w:type="dxa"/>
            <w:tcBorders>
              <w:top w:val="single" w:sz="4" w:space="0" w:color="auto"/>
              <w:left w:val="single" w:sz="4" w:space="0" w:color="auto"/>
              <w:bottom w:val="single" w:sz="4" w:space="0" w:color="auto"/>
              <w:right w:val="single" w:sz="4" w:space="0" w:color="auto"/>
            </w:tcBorders>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Summary of Assurance</w:t>
            </w:r>
          </w:p>
        </w:tc>
        <w:tc>
          <w:tcPr>
            <w:tcW w:w="7938" w:type="dxa"/>
            <w:tcBorders>
              <w:left w:val="single" w:sz="4" w:space="0" w:color="auto"/>
            </w:tcBorders>
            <w:shd w:val="clear" w:color="auto" w:fill="auto"/>
            <w:hideMark/>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Summary of how our plan has been assured by external parties</w:t>
            </w:r>
          </w:p>
        </w:tc>
      </w:tr>
      <w:tr w:rsidR="00E713A9" w:rsidRPr="000604A8" w:rsidTr="00DB27A8">
        <w:trPr>
          <w:trHeight w:val="20"/>
        </w:trPr>
        <w:tc>
          <w:tcPr>
            <w:tcW w:w="561" w:type="dxa"/>
            <w:vMerge/>
            <w:shd w:val="clear" w:color="auto" w:fill="2E74B5" w:themeFill="accent1" w:themeFillShade="BF"/>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604" w:type="dxa"/>
            <w:vMerge/>
            <w:shd w:val="clear" w:color="auto" w:fill="F7CAAC" w:themeFill="accent2" w:themeFillTint="66"/>
          </w:tcPr>
          <w:p w:rsidR="00E713A9" w:rsidRPr="000604A8" w:rsidRDefault="00E713A9" w:rsidP="00D00765">
            <w:pPr>
              <w:spacing w:after="0" w:line="240" w:lineRule="auto"/>
              <w:rPr>
                <w:rFonts w:ascii="Calibri" w:eastAsia="Times New Roman" w:hAnsi="Calibri" w:cs="Calibri"/>
                <w:b/>
                <w:bCs/>
                <w:color w:val="000000"/>
                <w:sz w:val="24"/>
                <w:szCs w:val="24"/>
                <w:lang w:eastAsia="en-GB"/>
              </w:rPr>
            </w:pPr>
          </w:p>
        </w:tc>
        <w:tc>
          <w:tcPr>
            <w:tcW w:w="1096"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13.2</w:t>
            </w:r>
          </w:p>
        </w:tc>
        <w:tc>
          <w:tcPr>
            <w:tcW w:w="3544" w:type="dxa"/>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Our Summary of CCG Report</w:t>
            </w:r>
          </w:p>
        </w:tc>
        <w:tc>
          <w:tcPr>
            <w:tcW w:w="7938" w:type="dxa"/>
            <w:shd w:val="clear" w:color="auto" w:fill="auto"/>
          </w:tcPr>
          <w:p w:rsidR="00E713A9" w:rsidRPr="000604A8" w:rsidRDefault="00E713A9" w:rsidP="00D00765">
            <w:pPr>
              <w:spacing w:after="0" w:line="240" w:lineRule="auto"/>
              <w:rPr>
                <w:rFonts w:ascii="Calibri" w:eastAsia="Times New Roman" w:hAnsi="Calibri" w:cs="Calibri"/>
                <w:color w:val="000000"/>
                <w:sz w:val="24"/>
                <w:szCs w:val="24"/>
                <w:lang w:eastAsia="en-GB"/>
              </w:rPr>
            </w:pPr>
            <w:r w:rsidRPr="000604A8">
              <w:rPr>
                <w:rFonts w:ascii="Calibri" w:eastAsia="Times New Roman" w:hAnsi="Calibri" w:cs="Calibri"/>
                <w:color w:val="000000"/>
                <w:sz w:val="24"/>
                <w:szCs w:val="24"/>
                <w:lang w:eastAsia="en-GB"/>
              </w:rPr>
              <w:t>Our summary of the CCG’s Report</w:t>
            </w:r>
            <w:r w:rsidR="002A04DC">
              <w:rPr>
                <w:rFonts w:ascii="Calibri" w:eastAsia="Times New Roman" w:hAnsi="Calibri" w:cs="Calibri"/>
                <w:color w:val="000000"/>
                <w:sz w:val="24"/>
                <w:szCs w:val="24"/>
                <w:lang w:eastAsia="en-GB"/>
              </w:rPr>
              <w:t xml:space="preserve"> which is provided separately in full.</w:t>
            </w:r>
          </w:p>
        </w:tc>
      </w:tr>
    </w:tbl>
    <w:p w:rsidR="00527CAD" w:rsidRDefault="00527CAD" w:rsidP="00AC4D6E"/>
    <w:sectPr w:rsidR="00527CAD" w:rsidSect="00AC4D6E">
      <w:pgSz w:w="16838" w:h="11906" w:orient="landscape"/>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3A9"/>
    <w:rsid w:val="00026292"/>
    <w:rsid w:val="000604A8"/>
    <w:rsid w:val="00143F3E"/>
    <w:rsid w:val="0014509C"/>
    <w:rsid w:val="001509C0"/>
    <w:rsid w:val="00180F4D"/>
    <w:rsid w:val="00220C86"/>
    <w:rsid w:val="00240901"/>
    <w:rsid w:val="00294FD9"/>
    <w:rsid w:val="002A04DC"/>
    <w:rsid w:val="00301175"/>
    <w:rsid w:val="00314982"/>
    <w:rsid w:val="00337947"/>
    <w:rsid w:val="003509F6"/>
    <w:rsid w:val="003B1B26"/>
    <w:rsid w:val="003D438B"/>
    <w:rsid w:val="003F4867"/>
    <w:rsid w:val="004172F3"/>
    <w:rsid w:val="00494290"/>
    <w:rsid w:val="004E1FD2"/>
    <w:rsid w:val="00527CAD"/>
    <w:rsid w:val="005755E3"/>
    <w:rsid w:val="005E5934"/>
    <w:rsid w:val="005F2564"/>
    <w:rsid w:val="00634BBD"/>
    <w:rsid w:val="00667EF6"/>
    <w:rsid w:val="00691C58"/>
    <w:rsid w:val="006B2FC6"/>
    <w:rsid w:val="006C02A8"/>
    <w:rsid w:val="006C336F"/>
    <w:rsid w:val="007168D1"/>
    <w:rsid w:val="00732DCE"/>
    <w:rsid w:val="007E2E4F"/>
    <w:rsid w:val="0080761E"/>
    <w:rsid w:val="0083144B"/>
    <w:rsid w:val="00832444"/>
    <w:rsid w:val="00854DE6"/>
    <w:rsid w:val="0088419A"/>
    <w:rsid w:val="00910B7C"/>
    <w:rsid w:val="009136B8"/>
    <w:rsid w:val="009B35BD"/>
    <w:rsid w:val="009C261E"/>
    <w:rsid w:val="009D78A5"/>
    <w:rsid w:val="00A31489"/>
    <w:rsid w:val="00A443F2"/>
    <w:rsid w:val="00A5283E"/>
    <w:rsid w:val="00A56318"/>
    <w:rsid w:val="00A63A2A"/>
    <w:rsid w:val="00AC4D6E"/>
    <w:rsid w:val="00AD2D0F"/>
    <w:rsid w:val="00AF33DB"/>
    <w:rsid w:val="00B04601"/>
    <w:rsid w:val="00B34D13"/>
    <w:rsid w:val="00B44C98"/>
    <w:rsid w:val="00B56F8E"/>
    <w:rsid w:val="00B904F8"/>
    <w:rsid w:val="00BA7BBA"/>
    <w:rsid w:val="00C33BEF"/>
    <w:rsid w:val="00C600B0"/>
    <w:rsid w:val="00C73780"/>
    <w:rsid w:val="00D00765"/>
    <w:rsid w:val="00D240AC"/>
    <w:rsid w:val="00D43FED"/>
    <w:rsid w:val="00D7642B"/>
    <w:rsid w:val="00D87350"/>
    <w:rsid w:val="00DA4051"/>
    <w:rsid w:val="00DB27A8"/>
    <w:rsid w:val="00E713A9"/>
    <w:rsid w:val="00EB1E68"/>
    <w:rsid w:val="00EE49A3"/>
    <w:rsid w:val="00EE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BDD0BC-7037-49CE-8D96-82F64816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F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48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13D1D-5975-4E00-8B15-75FCC63BD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E92B6204</Template>
  <TotalTime>0</TotalTime>
  <Pages>1</Pages>
  <Words>2151</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Portsmouth Water</Company>
  <LinksUpToDate>false</LinksUpToDate>
  <CharactersWithSpaces>14384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Limb, Kate</dc:creator>
  <cp:keywords/>
  <dc:description/>
  <cp:lastModifiedBy>Limb, Kate</cp:lastModifiedBy>
  <cp:revision>2</cp:revision>
  <cp:lastPrinted>2018-09-02T07:53:00Z</cp:lastPrinted>
  <dcterms:created xsi:type="dcterms:W3CDTF">2018-09-03T14:02:00Z</dcterms:created>
  <dcterms:modified xsi:type="dcterms:W3CDTF">2018-09-03T14:02:00Z</dcterms:modified>
</cp:coreProperties>
</file>