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19070931"/>
        <w:docPartObj>
          <w:docPartGallery w:val="Cover Pages"/>
          <w:docPartUnique/>
        </w:docPartObj>
      </w:sdtPr>
      <w:sdtEndPr>
        <w:rPr>
          <w:rFonts w:ascii="Calibri" w:hAnsi="Calibri"/>
          <w:b/>
        </w:rPr>
      </w:sdtEndPr>
      <w:sdtContent>
        <w:p w:rsidR="0019042F" w:rsidRDefault="002A7E9C" w:rsidP="002A7E9C">
          <w:pPr>
            <w:pStyle w:val="StyleLeftBefore0cmAfter0pt"/>
            <w:jc w:val="center"/>
          </w:pPr>
          <w:r>
            <w:rPr>
              <w:noProof/>
            </w:rPr>
            <w:drawing>
              <wp:inline distT="0" distB="0" distL="0" distR="0">
                <wp:extent cx="6120130" cy="8653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INESS PLAN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4095" cy="8659387"/>
                        </a:xfrm>
                        <a:prstGeom prst="rect">
                          <a:avLst/>
                        </a:prstGeom>
                      </pic:spPr>
                    </pic:pic>
                  </a:graphicData>
                </a:graphic>
              </wp:inline>
            </w:drawing>
          </w:r>
        </w:p>
        <w:p w:rsidR="00160E87" w:rsidRDefault="00160E87">
          <w:pPr>
            <w:tabs>
              <w:tab w:val="clear" w:pos="851"/>
            </w:tabs>
            <w:spacing w:after="0"/>
            <w:ind w:left="0"/>
            <w:jc w:val="left"/>
            <w:sectPr w:rsidR="00160E87" w:rsidSect="000B485A">
              <w:headerReference w:type="default" r:id="rId9"/>
              <w:footerReference w:type="default" r:id="rId10"/>
              <w:pgSz w:w="11906" w:h="16838"/>
              <w:pgMar w:top="1440" w:right="1134" w:bottom="1440" w:left="1134" w:header="709" w:footer="709" w:gutter="0"/>
              <w:pgNumType w:fmt="lowerRoman" w:start="1"/>
              <w:cols w:space="708"/>
              <w:docGrid w:linePitch="360"/>
            </w:sectPr>
          </w:pPr>
        </w:p>
        <w:p w:rsidR="00387E54" w:rsidRPr="001E0DCD" w:rsidRDefault="004132EC" w:rsidP="00BD1EDE">
          <w:pPr>
            <w:pStyle w:val="StyleLeftBefore0cmAfter0pt"/>
            <w:rPr>
              <w:b/>
              <w:color w:val="2E74B5" w:themeColor="accent1" w:themeShade="BF"/>
              <w:sz w:val="40"/>
              <w:szCs w:val="40"/>
            </w:rPr>
          </w:pPr>
          <w:r w:rsidRPr="001E0DCD">
            <w:rPr>
              <w:b/>
              <w:color w:val="2E74B5" w:themeColor="accent1" w:themeShade="BF"/>
              <w:sz w:val="40"/>
              <w:szCs w:val="40"/>
            </w:rPr>
            <w:t>Business Plan Highlights</w:t>
          </w:r>
        </w:p>
        <w:p w:rsidR="004132EC" w:rsidRDefault="004132EC" w:rsidP="00BD1EDE">
          <w:pPr>
            <w:pStyle w:val="StyleLeftBefore0cmAfter0pt"/>
          </w:pPr>
        </w:p>
        <w:p w:rsidR="00EB2E82" w:rsidRDefault="00887EF6" w:rsidP="00887EF6">
          <w:pPr>
            <w:pStyle w:val="StyleLeftBefore0cmAfter0pt"/>
            <w:jc w:val="center"/>
          </w:pPr>
          <w:r>
            <w:rPr>
              <w:noProof/>
            </w:rPr>
            <w:drawing>
              <wp:inline distT="0" distB="0" distL="0" distR="0">
                <wp:extent cx="5902856" cy="8346558"/>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sinessplan_highlight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7929" cy="8353732"/>
                        </a:xfrm>
                        <a:prstGeom prst="rect">
                          <a:avLst/>
                        </a:prstGeom>
                      </pic:spPr>
                    </pic:pic>
                  </a:graphicData>
                </a:graphic>
              </wp:inline>
            </w:drawing>
          </w:r>
          <w:r w:rsidR="00EB2E82">
            <w:br w:type="page"/>
          </w:r>
        </w:p>
        <w:p w:rsidR="00EB2E82" w:rsidRPr="00EB2E82" w:rsidRDefault="00EB2E82" w:rsidP="00EB2E82">
          <w:pPr>
            <w:rPr>
              <w:b/>
              <w:color w:val="2E74B5" w:themeColor="accent1" w:themeShade="BF"/>
            </w:rPr>
          </w:pPr>
          <w:r w:rsidRPr="00EB2E82">
            <w:rPr>
              <w:b/>
              <w:color w:val="2E74B5" w:themeColor="accent1" w:themeShade="BF"/>
            </w:rPr>
            <w:t>Our Chairman’s Foreword</w:t>
          </w:r>
        </w:p>
        <w:p w:rsidR="006B7059" w:rsidRPr="006B7059" w:rsidRDefault="006B7059" w:rsidP="006B7059">
          <w:pPr>
            <w:rPr>
              <w:sz w:val="22"/>
              <w:szCs w:val="22"/>
            </w:rPr>
          </w:pPr>
          <w:bookmarkStart w:id="0" w:name="_Hlk523295601"/>
          <w:r w:rsidRPr="006B7059">
            <w:rPr>
              <w:sz w:val="22"/>
              <w:szCs w:val="22"/>
            </w:rPr>
            <w:t xml:space="preserve">Water is fundamental to life and we are in a privileged position as the sole supplier in our area.  At a time when many things are ephemeral in nature, we are truly a long-term business, acting as custodians of our water resources, infrastructure and non-infrastructure assets, and the wider environment within our area of supply.  The Government and DEFRA have set clear challenges for the industry regarding the need to preserve an essential and scarce resource, to ensure that it is always available for all our customers, both now and in the future, without causing damage to the local environment and at </w:t>
          </w:r>
          <w:r w:rsidR="00A82BD6" w:rsidRPr="006B7059">
            <w:rPr>
              <w:sz w:val="22"/>
              <w:szCs w:val="22"/>
            </w:rPr>
            <w:t>prices, which</w:t>
          </w:r>
          <w:r w:rsidRPr="006B7059">
            <w:rPr>
              <w:sz w:val="22"/>
              <w:szCs w:val="22"/>
            </w:rPr>
            <w:t xml:space="preserve"> are affordable.  We are confident that our Plan delivers against these challenges. </w:t>
          </w:r>
        </w:p>
        <w:p w:rsidR="006B7059" w:rsidRPr="006B7059" w:rsidRDefault="006B7059" w:rsidP="006B7059">
          <w:pPr>
            <w:rPr>
              <w:sz w:val="22"/>
              <w:szCs w:val="22"/>
            </w:rPr>
          </w:pPr>
          <w:r w:rsidRPr="006B7059">
            <w:rPr>
              <w:sz w:val="22"/>
              <w:szCs w:val="22"/>
            </w:rPr>
            <w:t>There is increasing scrutiny of the water industry and concerns, in some quarters, about legitimacy and trust.  At Portsmouth Water, these issues are fundamental to our successful delivery of an essential public service, for our current and future customers, at all times- not just during the process of developing our Business Plan.</w:t>
          </w:r>
        </w:p>
        <w:p w:rsidR="006B7059" w:rsidRPr="006B7059" w:rsidRDefault="006B7059" w:rsidP="006B7059">
          <w:pPr>
            <w:rPr>
              <w:sz w:val="22"/>
              <w:szCs w:val="22"/>
            </w:rPr>
          </w:pPr>
          <w:r w:rsidRPr="006B7059">
            <w:rPr>
              <w:sz w:val="22"/>
              <w:szCs w:val="22"/>
            </w:rPr>
            <w:t xml:space="preserve">We run our business as if our customers had a choice of their water provider, so that we can continue to improve our services in a cost-effective manner; using the wider service industry and not just other water companies or utilities as a benchmark.  Our approach of putting customers at the heart of our business, together with effective stewardship of our resources over the long-term have enabled Portsmouth Water to deliver </w:t>
          </w:r>
          <w:r w:rsidR="00E76864">
            <w:rPr>
              <w:sz w:val="22"/>
              <w:szCs w:val="22"/>
            </w:rPr>
            <w:t>Outcome</w:t>
          </w:r>
          <w:r w:rsidRPr="006B7059">
            <w:rPr>
              <w:sz w:val="22"/>
              <w:szCs w:val="22"/>
            </w:rPr>
            <w:t>s we are very proud of, including:</w:t>
          </w:r>
        </w:p>
        <w:p w:rsidR="006B7059" w:rsidRPr="006B7059" w:rsidRDefault="006B7059" w:rsidP="006B7059">
          <w:pPr>
            <w:pStyle w:val="Bullets"/>
            <w:rPr>
              <w:sz w:val="22"/>
              <w:szCs w:val="22"/>
              <w:lang w:eastAsia="en-US"/>
            </w:rPr>
          </w:pPr>
          <w:r w:rsidRPr="006B7059">
            <w:rPr>
              <w:sz w:val="22"/>
              <w:szCs w:val="22"/>
            </w:rPr>
            <w:t>Consistently a top performer in the industry measure of customer service;</w:t>
          </w:r>
        </w:p>
        <w:p w:rsidR="006B7059" w:rsidRPr="006B7059" w:rsidRDefault="006B7059" w:rsidP="006B7059">
          <w:pPr>
            <w:pStyle w:val="Bullets"/>
            <w:rPr>
              <w:sz w:val="22"/>
              <w:szCs w:val="22"/>
            </w:rPr>
          </w:pPr>
          <w:r w:rsidRPr="006B7059">
            <w:rPr>
              <w:sz w:val="22"/>
              <w:szCs w:val="22"/>
            </w:rPr>
            <w:t xml:space="preserve">Independent review of our customer service performance confirming that we have the highest </w:t>
          </w:r>
          <w:r w:rsidR="00A82BD6">
            <w:rPr>
              <w:sz w:val="22"/>
              <w:szCs w:val="22"/>
            </w:rPr>
            <w:t xml:space="preserve">satisfaction </w:t>
          </w:r>
          <w:r w:rsidRPr="006B7059">
            <w:rPr>
              <w:sz w:val="22"/>
              <w:szCs w:val="22"/>
            </w:rPr>
            <w:t>score in the sector and the second highest of all utilities;</w:t>
          </w:r>
        </w:p>
        <w:p w:rsidR="006B7059" w:rsidRPr="006B7059" w:rsidRDefault="006B7059" w:rsidP="006B7059">
          <w:pPr>
            <w:pStyle w:val="Bullets"/>
            <w:rPr>
              <w:sz w:val="22"/>
              <w:szCs w:val="22"/>
            </w:rPr>
          </w:pPr>
          <w:r w:rsidRPr="006B7059">
            <w:rPr>
              <w:sz w:val="22"/>
              <w:szCs w:val="22"/>
            </w:rPr>
            <w:t xml:space="preserve">Strong performance during the extreme weather events in 2018 – with the vast majority of customers having no interruptions to supply during the freeze/thaw and no hosepipe ban during the dry spring/summer period – demonstrating the benefits of investing in and maintaining resilient resources, infrastructure and distribution networks across our area of supply; and  </w:t>
          </w:r>
        </w:p>
        <w:p w:rsidR="006B7059" w:rsidRPr="006B7059" w:rsidRDefault="006B7059" w:rsidP="006B7059">
          <w:pPr>
            <w:pStyle w:val="Bullets"/>
            <w:rPr>
              <w:sz w:val="22"/>
              <w:szCs w:val="22"/>
            </w:rPr>
          </w:pPr>
          <w:r w:rsidRPr="006B7059">
            <w:rPr>
              <w:sz w:val="22"/>
              <w:szCs w:val="22"/>
            </w:rPr>
            <w:t>Having the lowest average customer bills in sector by a significant margin.</w:t>
          </w:r>
        </w:p>
        <w:p w:rsidR="006B7059" w:rsidRPr="006B7059" w:rsidRDefault="006B7059" w:rsidP="006B7059">
          <w:pPr>
            <w:pStyle w:val="Bullets"/>
            <w:numPr>
              <w:ilvl w:val="0"/>
              <w:numId w:val="0"/>
            </w:numPr>
            <w:ind w:left="1494"/>
            <w:rPr>
              <w:sz w:val="22"/>
              <w:szCs w:val="22"/>
            </w:rPr>
          </w:pPr>
        </w:p>
        <w:p w:rsidR="006B7059" w:rsidRPr="006B7059" w:rsidRDefault="006B7059" w:rsidP="006B7059">
          <w:pPr>
            <w:rPr>
              <w:sz w:val="22"/>
              <w:szCs w:val="22"/>
            </w:rPr>
          </w:pPr>
          <w:r w:rsidRPr="006B7059">
            <w:rPr>
              <w:sz w:val="22"/>
              <w:szCs w:val="22"/>
            </w:rPr>
            <w:t xml:space="preserve">A public service culture of doing the right thing for our customers is embedded in the business and when, occasionally we do not deliver against the high standards expected of us, we say sorry and put things right as quickly as possible. These high standards do not lead to complacency, but are used to drive continual improvement in our services.  Continuing investment in our business will ensure that we can deliver the </w:t>
          </w:r>
          <w:r w:rsidR="00E76864">
            <w:rPr>
              <w:sz w:val="22"/>
              <w:szCs w:val="22"/>
            </w:rPr>
            <w:t>Outcome</w:t>
          </w:r>
          <w:r w:rsidRPr="006B7059">
            <w:rPr>
              <w:sz w:val="22"/>
              <w:szCs w:val="22"/>
            </w:rPr>
            <w:t xml:space="preserve">s that our customers value the most whist preserving our resources, strengthening our resilience and seeing bills continue to reduce in real terms.  Our approach to both executive pay and dividends remains balanced, sustainable and transparent, with each based on delivering the </w:t>
          </w:r>
          <w:r w:rsidR="00E76864">
            <w:rPr>
              <w:sz w:val="22"/>
              <w:szCs w:val="22"/>
            </w:rPr>
            <w:t>Outcome</w:t>
          </w:r>
          <w:r w:rsidRPr="006B7059">
            <w:rPr>
              <w:sz w:val="22"/>
              <w:szCs w:val="22"/>
            </w:rPr>
            <w:t xml:space="preserve">s our customers expect and value. </w:t>
          </w:r>
        </w:p>
        <w:p w:rsidR="006B7059" w:rsidRPr="006B7059" w:rsidRDefault="006B7059" w:rsidP="006B7059">
          <w:pPr>
            <w:rPr>
              <w:sz w:val="22"/>
              <w:szCs w:val="22"/>
            </w:rPr>
          </w:pPr>
          <w:r w:rsidRPr="006B7059">
            <w:rPr>
              <w:sz w:val="22"/>
              <w:szCs w:val="22"/>
            </w:rPr>
            <w:t xml:space="preserve">We always listen to our customers, with the Board reviewing a summary of all letters of thanks and complaint at every Board meeting.  There is, of course, further focus around the development of the Business Plan, so that we can ensure that we really are delivering the services valued by current and future customers.  This process has delivered a step-change in engagement and has resulted in a plan that has, in effect, been co-created with our customers to meet their needs now and in the future.  </w:t>
          </w:r>
        </w:p>
        <w:p w:rsidR="006B7059" w:rsidRPr="006B7059" w:rsidRDefault="006B7059" w:rsidP="006B7059">
          <w:pPr>
            <w:rPr>
              <w:sz w:val="22"/>
              <w:szCs w:val="22"/>
            </w:rPr>
          </w:pPr>
          <w:r w:rsidRPr="006B7059">
            <w:rPr>
              <w:sz w:val="22"/>
              <w:szCs w:val="22"/>
            </w:rPr>
            <w:t xml:space="preserve">Our Business Plan is underpinned by the four pillars of Ofwat’s </w:t>
          </w:r>
          <w:r w:rsidR="00E76864">
            <w:rPr>
              <w:sz w:val="22"/>
              <w:szCs w:val="22"/>
            </w:rPr>
            <w:t>PR19</w:t>
          </w:r>
          <w:r w:rsidRPr="006B7059">
            <w:rPr>
              <w:sz w:val="22"/>
              <w:szCs w:val="22"/>
            </w:rPr>
            <w:t xml:space="preserve"> process: Great Customer Service, Affordable Bills, Resilience, and Innovation.  Innovation lies at the heart of our Business Plan and is fundamental to being able to deliver a real reduction in bills in parallel with significant improvements in the key </w:t>
          </w:r>
          <w:r w:rsidR="00E76864">
            <w:rPr>
              <w:sz w:val="22"/>
              <w:szCs w:val="22"/>
            </w:rPr>
            <w:t>Outcome</w:t>
          </w:r>
          <w:r w:rsidRPr="006B7059">
            <w:rPr>
              <w:sz w:val="22"/>
              <w:szCs w:val="22"/>
            </w:rPr>
            <w:t xml:space="preserve">s valued by our customers, the Government and DEFRA.  </w:t>
          </w:r>
        </w:p>
        <w:p w:rsidR="006B7059" w:rsidRPr="006B7059" w:rsidRDefault="006B7059" w:rsidP="006B7059">
          <w:pPr>
            <w:rPr>
              <w:sz w:val="22"/>
              <w:szCs w:val="22"/>
            </w:rPr>
          </w:pPr>
          <w:r w:rsidRPr="006B7059">
            <w:rPr>
              <w:sz w:val="22"/>
              <w:szCs w:val="22"/>
            </w:rPr>
            <w:t xml:space="preserve">The development of the Havant Thicket Winter Storage Reservoir (“HTWSR”), which is planned to enter service in 2029, is, we believe, an exemplar project which:  </w:t>
          </w:r>
        </w:p>
        <w:p w:rsidR="006B7059" w:rsidRPr="006B7059" w:rsidRDefault="006B7059" w:rsidP="006B7059">
          <w:pPr>
            <w:pStyle w:val="Bullets"/>
            <w:rPr>
              <w:sz w:val="22"/>
              <w:szCs w:val="22"/>
            </w:rPr>
          </w:pPr>
          <w:r w:rsidRPr="006B7059">
            <w:rPr>
              <w:sz w:val="22"/>
              <w:szCs w:val="22"/>
            </w:rPr>
            <w:t>Enables Portsmouth Water to share its resources with Southern Water and delivers a scheme that provides the most cost effective solution, on a regional basis, for their customers, with no impact on Portsmouth Water’s customer bills;</w:t>
          </w:r>
        </w:p>
        <w:p w:rsidR="006B7059" w:rsidRPr="006B7059" w:rsidRDefault="006B7059" w:rsidP="006B7059">
          <w:pPr>
            <w:pStyle w:val="Bullets"/>
            <w:rPr>
              <w:sz w:val="22"/>
              <w:szCs w:val="22"/>
            </w:rPr>
          </w:pPr>
          <w:r w:rsidRPr="006B7059">
            <w:rPr>
              <w:sz w:val="22"/>
              <w:szCs w:val="22"/>
            </w:rPr>
            <w:t>Ensures that our bills remain affordable for all whilst enabling further improvements in resilience, from a high base level, for our customers and for the wider region;</w:t>
          </w:r>
        </w:p>
        <w:p w:rsidR="006B7059" w:rsidRPr="006B7059" w:rsidRDefault="006B7059" w:rsidP="006B7059">
          <w:pPr>
            <w:pStyle w:val="Bullets"/>
            <w:rPr>
              <w:sz w:val="22"/>
              <w:szCs w:val="22"/>
            </w:rPr>
          </w:pPr>
          <w:r w:rsidRPr="006B7059">
            <w:rPr>
              <w:sz w:val="22"/>
              <w:szCs w:val="22"/>
            </w:rPr>
            <w:t xml:space="preserve">Provides a valuable leisure resource for the region, with enhanced biodiversity; and </w:t>
          </w:r>
        </w:p>
        <w:p w:rsidR="006B7059" w:rsidRPr="006B7059" w:rsidRDefault="006B7059" w:rsidP="006B7059">
          <w:pPr>
            <w:pStyle w:val="Bullets"/>
            <w:rPr>
              <w:sz w:val="22"/>
              <w:szCs w:val="22"/>
            </w:rPr>
          </w:pPr>
          <w:r w:rsidRPr="006B7059">
            <w:rPr>
              <w:sz w:val="22"/>
              <w:szCs w:val="22"/>
            </w:rPr>
            <w:t xml:space="preserve">Demonstrates an innovative approach to meeting the needs of the wider region without adversely affecting some of its sensitive river catchments.  </w:t>
          </w:r>
        </w:p>
        <w:p w:rsidR="006B7059" w:rsidRPr="006B7059" w:rsidRDefault="006B7059" w:rsidP="006B7059">
          <w:pPr>
            <w:spacing w:after="0"/>
            <w:ind w:left="1494"/>
            <w:rPr>
              <w:rFonts w:cs="Arial"/>
              <w:sz w:val="22"/>
              <w:szCs w:val="22"/>
            </w:rPr>
          </w:pPr>
        </w:p>
        <w:p w:rsidR="006B7059" w:rsidRPr="006B7059" w:rsidRDefault="006B7059" w:rsidP="006B7059">
          <w:pPr>
            <w:rPr>
              <w:sz w:val="22"/>
              <w:szCs w:val="22"/>
            </w:rPr>
          </w:pPr>
          <w:r w:rsidRPr="006B7059">
            <w:rPr>
              <w:sz w:val="22"/>
              <w:szCs w:val="22"/>
            </w:rPr>
            <w:t xml:space="preserve">Portsmouth Water has never been in public ownership and since 2002 was proudly majority-owned by an employee benefit trust.  This has fostered a culture that is focused on delivering exceptional outcomes for our customers, our people and the environment. Our plans for the company have increased in scale and ambition over recent years and we recognised the need for significant further investment over the next 10 years in particular. We were therefore please to completed a transaction in March of this year that enabled funds managed by Ancala Partners as new owners and custodians of our business. </w:t>
          </w:r>
        </w:p>
        <w:p w:rsidR="006B7059" w:rsidRPr="006B7059" w:rsidRDefault="006B7059" w:rsidP="006B7059">
          <w:pPr>
            <w:rPr>
              <w:sz w:val="22"/>
              <w:szCs w:val="22"/>
            </w:rPr>
          </w:pPr>
          <w:r w:rsidRPr="006B7059">
            <w:rPr>
              <w:sz w:val="22"/>
              <w:szCs w:val="22"/>
            </w:rPr>
            <w:t>In selecting Ancala Partners, we placed significant emphasis on Ancala’s long-term mind-set and robust alignment with our culture and values. As our new owners, Ancala will allow us to realise our ambitions and will be investing significant</w:t>
          </w:r>
          <w:r w:rsidR="00AB6F74">
            <w:rPr>
              <w:sz w:val="22"/>
              <w:szCs w:val="22"/>
            </w:rPr>
            <w:t xml:space="preserve"> new</w:t>
          </w:r>
          <w:r w:rsidRPr="006B7059">
            <w:rPr>
              <w:sz w:val="22"/>
              <w:szCs w:val="22"/>
            </w:rPr>
            <w:t xml:space="preserve"> </w:t>
          </w:r>
          <w:r w:rsidR="005115F9">
            <w:rPr>
              <w:sz w:val="22"/>
              <w:szCs w:val="22"/>
            </w:rPr>
            <w:t>capital</w:t>
          </w:r>
          <w:r w:rsidRPr="006B7059">
            <w:rPr>
              <w:sz w:val="22"/>
              <w:szCs w:val="22"/>
            </w:rPr>
            <w:t xml:space="preserve"> in the business during the Business Plan period to deliver our capital programme (which will include the commencement of the HTWSR), whilst also ensuring that our finances remain sound over the long-term. As the plan demonstrates, whilst our ambitions continue to grow, our commitment to our customers, our people and the environment is unwavering. </w:t>
          </w:r>
          <w:bookmarkEnd w:id="0"/>
        </w:p>
        <w:p w:rsidR="00EB2E82" w:rsidRDefault="00EB2E82" w:rsidP="00EB2E82">
          <w:r>
            <w:rPr>
              <w:noProof/>
            </w:rPr>
            <w:drawing>
              <wp:inline distT="0" distB="0" distL="0" distR="0">
                <wp:extent cx="1331367" cy="981602"/>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rk signatur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0514" cy="995719"/>
                        </a:xfrm>
                        <a:prstGeom prst="rect">
                          <a:avLst/>
                        </a:prstGeom>
                      </pic:spPr>
                    </pic:pic>
                  </a:graphicData>
                </a:graphic>
              </wp:inline>
            </w:drawing>
          </w:r>
        </w:p>
        <w:p w:rsidR="00EB2E82" w:rsidRPr="006B7059" w:rsidRDefault="00EB2E82" w:rsidP="00EB2E82">
          <w:pPr>
            <w:spacing w:after="0"/>
            <w:rPr>
              <w:color w:val="2E74B5" w:themeColor="accent1" w:themeShade="BF"/>
              <w:sz w:val="22"/>
              <w:szCs w:val="22"/>
            </w:rPr>
          </w:pPr>
          <w:r w:rsidRPr="006B7059">
            <w:rPr>
              <w:color w:val="2E74B5" w:themeColor="accent1" w:themeShade="BF"/>
              <w:sz w:val="22"/>
              <w:szCs w:val="22"/>
            </w:rPr>
            <w:t>Mike Kirk</w:t>
          </w:r>
        </w:p>
        <w:p w:rsidR="00EB2E82" w:rsidRPr="006B7059" w:rsidRDefault="00EB2E82" w:rsidP="00EB2E82">
          <w:pPr>
            <w:spacing w:after="0"/>
            <w:rPr>
              <w:color w:val="2E74B5" w:themeColor="accent1" w:themeShade="BF"/>
              <w:sz w:val="22"/>
              <w:szCs w:val="22"/>
            </w:rPr>
          </w:pPr>
          <w:r w:rsidRPr="006B7059">
            <w:rPr>
              <w:color w:val="2E74B5" w:themeColor="accent1" w:themeShade="BF"/>
              <w:sz w:val="22"/>
              <w:szCs w:val="22"/>
            </w:rPr>
            <w:t>Chairman</w:t>
          </w:r>
        </w:p>
        <w:p w:rsidR="00CB7B1D" w:rsidRDefault="00CB7B1D">
          <w:pPr>
            <w:tabs>
              <w:tab w:val="clear" w:pos="851"/>
            </w:tabs>
            <w:spacing w:after="0"/>
            <w:ind w:left="0"/>
            <w:jc w:val="left"/>
          </w:pPr>
          <w:r>
            <w:br w:type="page"/>
          </w:r>
        </w:p>
        <w:p w:rsidR="00CB7B1D" w:rsidRDefault="00CB7B1D" w:rsidP="00CB7B1D">
          <w:pPr>
            <w:tabs>
              <w:tab w:val="clear" w:pos="851"/>
            </w:tabs>
            <w:spacing w:after="0"/>
            <w:ind w:left="0"/>
            <w:jc w:val="left"/>
            <w:rPr>
              <w:b/>
              <w:color w:val="2E74B5" w:themeColor="accent1" w:themeShade="BF"/>
            </w:rPr>
          </w:pPr>
          <w:r w:rsidRPr="00F306A4">
            <w:rPr>
              <w:b/>
              <w:color w:val="2E74B5" w:themeColor="accent1" w:themeShade="BF"/>
            </w:rPr>
            <w:t>Signposting to Initial Assessment of Plan Tests</w:t>
          </w:r>
        </w:p>
        <w:p w:rsidR="00CB7B1D" w:rsidRDefault="0069753B" w:rsidP="0069753B">
          <w:pPr>
            <w:pStyle w:val="StyleLeftBefore0cmAfter0pt"/>
            <w:jc w:val="center"/>
            <w:sectPr w:rsidR="00CB7B1D" w:rsidSect="000B485A">
              <w:pgSz w:w="11906" w:h="16838"/>
              <w:pgMar w:top="1440" w:right="1134" w:bottom="1440" w:left="1134" w:header="709" w:footer="709" w:gutter="0"/>
              <w:pgNumType w:fmt="lowerRoman" w:start="1"/>
              <w:cols w:space="708"/>
              <w:docGrid w:linePitch="360"/>
            </w:sectPr>
          </w:pPr>
          <w:r>
            <w:rPr>
              <w:noProof/>
            </w:rPr>
            <w:drawing>
              <wp:inline distT="0" distB="0" distL="0" distR="0">
                <wp:extent cx="6098437" cy="86237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inessplan_structur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6538" cy="8635193"/>
                        </a:xfrm>
                        <a:prstGeom prst="rect">
                          <a:avLst/>
                        </a:prstGeom>
                      </pic:spPr>
                    </pic:pic>
                  </a:graphicData>
                </a:graphic>
              </wp:inline>
            </w:drawing>
          </w:r>
        </w:p>
        <w:sdt>
          <w:sdtPr>
            <w:rPr>
              <w:rFonts w:ascii="Arial" w:eastAsia="Times New Roman" w:hAnsi="Arial" w:cs="Times New Roman"/>
              <w:color w:val="auto"/>
              <w:sz w:val="24"/>
              <w:szCs w:val="24"/>
              <w:lang w:val="en-GB" w:eastAsia="en-GB"/>
            </w:rPr>
            <w:id w:val="-118384006"/>
            <w:docPartObj>
              <w:docPartGallery w:val="Table of Contents"/>
              <w:docPartUnique/>
            </w:docPartObj>
          </w:sdtPr>
          <w:sdtEndPr>
            <w:rPr>
              <w:b/>
              <w:bCs/>
              <w:noProof/>
            </w:rPr>
          </w:sdtEndPr>
          <w:sdtContent>
            <w:p w:rsidR="008F4A1A" w:rsidRDefault="008F4A1A">
              <w:pPr>
                <w:pStyle w:val="TOCHeading"/>
              </w:pPr>
              <w:r>
                <w:t>Table of Contents</w:t>
              </w:r>
            </w:p>
            <w:p w:rsidR="00350652" w:rsidRDefault="00D60125">
              <w:pPr>
                <w:pStyle w:val="TOC1"/>
                <w:tabs>
                  <w:tab w:val="left" w:pos="480"/>
                  <w:tab w:val="right" w:pos="8296"/>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23651228" w:history="1">
                <w:r w:rsidR="00350652" w:rsidRPr="00D475B4">
                  <w:rPr>
                    <w:rStyle w:val="Hyperlink"/>
                    <w:noProof/>
                  </w:rPr>
                  <w:t>1</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Introduction</w:t>
                </w:r>
                <w:r w:rsidR="00350652">
                  <w:rPr>
                    <w:noProof/>
                    <w:webHidden/>
                  </w:rPr>
                  <w:tab/>
                </w:r>
                <w:r w:rsidR="00350652">
                  <w:rPr>
                    <w:noProof/>
                    <w:webHidden/>
                  </w:rPr>
                  <w:fldChar w:fldCharType="begin"/>
                </w:r>
                <w:r w:rsidR="00350652">
                  <w:rPr>
                    <w:noProof/>
                    <w:webHidden/>
                  </w:rPr>
                  <w:instrText xml:space="preserve"> PAGEREF _Toc523651228 \h </w:instrText>
                </w:r>
                <w:r w:rsidR="00350652">
                  <w:rPr>
                    <w:noProof/>
                    <w:webHidden/>
                  </w:rPr>
                </w:r>
                <w:r w:rsidR="00350652">
                  <w:rPr>
                    <w:noProof/>
                    <w:webHidden/>
                  </w:rPr>
                  <w:fldChar w:fldCharType="separate"/>
                </w:r>
                <w:r w:rsidR="00EE7276">
                  <w:rPr>
                    <w:noProof/>
                    <w:webHidden/>
                  </w:rPr>
                  <w:t>1</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29" w:history="1">
                <w:r w:rsidR="00350652" w:rsidRPr="00D475B4">
                  <w:rPr>
                    <w:rStyle w:val="Hyperlink"/>
                    <w:noProof/>
                  </w:rPr>
                  <w:t>1.1</w:t>
                </w:r>
                <w:r w:rsidR="00350652">
                  <w:rPr>
                    <w:rFonts w:eastAsiaTheme="minorEastAsia" w:cstheme="minorBidi"/>
                    <w:b w:val="0"/>
                    <w:bCs w:val="0"/>
                    <w:noProof/>
                    <w:sz w:val="22"/>
                    <w:szCs w:val="22"/>
                  </w:rPr>
                  <w:tab/>
                </w:r>
                <w:r w:rsidR="00350652" w:rsidRPr="00D475B4">
                  <w:rPr>
                    <w:rStyle w:val="Hyperlink"/>
                    <w:noProof/>
                  </w:rPr>
                  <w:t>Executive Summary</w:t>
                </w:r>
                <w:r w:rsidR="00350652">
                  <w:rPr>
                    <w:noProof/>
                    <w:webHidden/>
                  </w:rPr>
                  <w:tab/>
                </w:r>
                <w:r w:rsidR="00350652">
                  <w:rPr>
                    <w:noProof/>
                    <w:webHidden/>
                  </w:rPr>
                  <w:fldChar w:fldCharType="begin"/>
                </w:r>
                <w:r w:rsidR="00350652">
                  <w:rPr>
                    <w:noProof/>
                    <w:webHidden/>
                  </w:rPr>
                  <w:instrText xml:space="preserve"> PAGEREF _Toc523651229 \h </w:instrText>
                </w:r>
                <w:r w:rsidR="00350652">
                  <w:rPr>
                    <w:noProof/>
                    <w:webHidden/>
                  </w:rPr>
                </w:r>
                <w:r w:rsidR="00350652">
                  <w:rPr>
                    <w:noProof/>
                    <w:webHidden/>
                  </w:rPr>
                  <w:fldChar w:fldCharType="separate"/>
                </w:r>
                <w:r w:rsidR="00EE7276">
                  <w:rPr>
                    <w:noProof/>
                    <w:webHidden/>
                  </w:rPr>
                  <w:t>1</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30" w:history="1">
                <w:r w:rsidR="00350652" w:rsidRPr="00D475B4">
                  <w:rPr>
                    <w:rStyle w:val="Hyperlink"/>
                    <w:noProof/>
                  </w:rPr>
                  <w:t>1.2</w:t>
                </w:r>
                <w:r w:rsidR="00350652">
                  <w:rPr>
                    <w:rFonts w:eastAsiaTheme="minorEastAsia" w:cstheme="minorBidi"/>
                    <w:b w:val="0"/>
                    <w:bCs w:val="0"/>
                    <w:noProof/>
                    <w:sz w:val="22"/>
                    <w:szCs w:val="22"/>
                  </w:rPr>
                  <w:tab/>
                </w:r>
                <w:r w:rsidR="00350652" w:rsidRPr="00D475B4">
                  <w:rPr>
                    <w:rStyle w:val="Hyperlink"/>
                    <w:noProof/>
                  </w:rPr>
                  <w:t>Our Long Term Vision</w:t>
                </w:r>
                <w:r w:rsidR="00350652">
                  <w:rPr>
                    <w:noProof/>
                    <w:webHidden/>
                  </w:rPr>
                  <w:tab/>
                </w:r>
                <w:r w:rsidR="00350652">
                  <w:rPr>
                    <w:noProof/>
                    <w:webHidden/>
                  </w:rPr>
                  <w:fldChar w:fldCharType="begin"/>
                </w:r>
                <w:r w:rsidR="00350652">
                  <w:rPr>
                    <w:noProof/>
                    <w:webHidden/>
                  </w:rPr>
                  <w:instrText xml:space="preserve"> PAGEREF _Toc523651230 \h </w:instrText>
                </w:r>
                <w:r w:rsidR="00350652">
                  <w:rPr>
                    <w:noProof/>
                    <w:webHidden/>
                  </w:rPr>
                </w:r>
                <w:r w:rsidR="00350652">
                  <w:rPr>
                    <w:noProof/>
                    <w:webHidden/>
                  </w:rPr>
                  <w:fldChar w:fldCharType="separate"/>
                </w:r>
                <w:r w:rsidR="00EE7276">
                  <w:rPr>
                    <w:noProof/>
                    <w:webHidden/>
                  </w:rPr>
                  <w:t>6</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231" w:history="1">
                <w:r w:rsidR="00350652" w:rsidRPr="00D475B4">
                  <w:rPr>
                    <w:rStyle w:val="Hyperlink"/>
                    <w:noProof/>
                  </w:rPr>
                  <w:t>2</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Customer Engagement Overview</w:t>
                </w:r>
                <w:r w:rsidR="00350652">
                  <w:rPr>
                    <w:noProof/>
                    <w:webHidden/>
                  </w:rPr>
                  <w:tab/>
                </w:r>
                <w:r w:rsidR="00350652">
                  <w:rPr>
                    <w:noProof/>
                    <w:webHidden/>
                  </w:rPr>
                  <w:fldChar w:fldCharType="begin"/>
                </w:r>
                <w:r w:rsidR="00350652">
                  <w:rPr>
                    <w:noProof/>
                    <w:webHidden/>
                  </w:rPr>
                  <w:instrText xml:space="preserve"> PAGEREF _Toc523651231 \h </w:instrText>
                </w:r>
                <w:r w:rsidR="00350652">
                  <w:rPr>
                    <w:noProof/>
                    <w:webHidden/>
                  </w:rPr>
                </w:r>
                <w:r w:rsidR="00350652">
                  <w:rPr>
                    <w:noProof/>
                    <w:webHidden/>
                  </w:rPr>
                  <w:fldChar w:fldCharType="separate"/>
                </w:r>
                <w:r w:rsidR="00EE7276">
                  <w:rPr>
                    <w:noProof/>
                    <w:webHidden/>
                  </w:rPr>
                  <w:t>8</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32" w:history="1">
                <w:r w:rsidR="00350652" w:rsidRPr="00D475B4">
                  <w:rPr>
                    <w:rStyle w:val="Hyperlink"/>
                    <w:noProof/>
                  </w:rPr>
                  <w:t>2.1</w:t>
                </w:r>
                <w:r w:rsidR="00350652">
                  <w:rPr>
                    <w:rFonts w:eastAsiaTheme="minorEastAsia" w:cstheme="minorBidi"/>
                    <w:b w:val="0"/>
                    <w:bCs w:val="0"/>
                    <w:noProof/>
                    <w:sz w:val="22"/>
                    <w:szCs w:val="22"/>
                  </w:rPr>
                  <w:tab/>
                </w:r>
                <w:r w:rsidR="00350652" w:rsidRPr="00D475B4">
                  <w:rPr>
                    <w:rStyle w:val="Hyperlink"/>
                    <w:noProof/>
                  </w:rPr>
                  <w:t>Key Engagement Activities that Shaped our Plan</w:t>
                </w:r>
                <w:r w:rsidR="00350652">
                  <w:rPr>
                    <w:noProof/>
                    <w:webHidden/>
                  </w:rPr>
                  <w:tab/>
                </w:r>
                <w:r w:rsidR="00350652">
                  <w:rPr>
                    <w:noProof/>
                    <w:webHidden/>
                  </w:rPr>
                  <w:fldChar w:fldCharType="begin"/>
                </w:r>
                <w:r w:rsidR="00350652">
                  <w:rPr>
                    <w:noProof/>
                    <w:webHidden/>
                  </w:rPr>
                  <w:instrText xml:space="preserve"> PAGEREF _Toc523651232 \h </w:instrText>
                </w:r>
                <w:r w:rsidR="00350652">
                  <w:rPr>
                    <w:noProof/>
                    <w:webHidden/>
                  </w:rPr>
                </w:r>
                <w:r w:rsidR="00350652">
                  <w:rPr>
                    <w:noProof/>
                    <w:webHidden/>
                  </w:rPr>
                  <w:fldChar w:fldCharType="separate"/>
                </w:r>
                <w:r w:rsidR="00EE7276">
                  <w:rPr>
                    <w:noProof/>
                    <w:webHidden/>
                  </w:rPr>
                  <w:t>12</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33" w:history="1">
                <w:r w:rsidR="00350652" w:rsidRPr="00D475B4">
                  <w:rPr>
                    <w:rStyle w:val="Hyperlink"/>
                    <w:noProof/>
                  </w:rPr>
                  <w:t>2.2</w:t>
                </w:r>
                <w:r w:rsidR="00350652">
                  <w:rPr>
                    <w:rFonts w:eastAsiaTheme="minorEastAsia" w:cstheme="minorBidi"/>
                    <w:b w:val="0"/>
                    <w:bCs w:val="0"/>
                    <w:noProof/>
                    <w:sz w:val="22"/>
                    <w:szCs w:val="22"/>
                  </w:rPr>
                  <w:tab/>
                </w:r>
                <w:r w:rsidR="00350652" w:rsidRPr="00D475B4">
                  <w:rPr>
                    <w:rStyle w:val="Hyperlink"/>
                    <w:noProof/>
                  </w:rPr>
                  <w:t>Business Plan Research and Triangulation – Key Messages</w:t>
                </w:r>
                <w:r w:rsidR="00350652">
                  <w:rPr>
                    <w:noProof/>
                    <w:webHidden/>
                  </w:rPr>
                  <w:tab/>
                </w:r>
                <w:r w:rsidR="00350652">
                  <w:rPr>
                    <w:noProof/>
                    <w:webHidden/>
                  </w:rPr>
                  <w:fldChar w:fldCharType="begin"/>
                </w:r>
                <w:r w:rsidR="00350652">
                  <w:rPr>
                    <w:noProof/>
                    <w:webHidden/>
                  </w:rPr>
                  <w:instrText xml:space="preserve"> PAGEREF _Toc523651233 \h </w:instrText>
                </w:r>
                <w:r w:rsidR="00350652">
                  <w:rPr>
                    <w:noProof/>
                    <w:webHidden/>
                  </w:rPr>
                </w:r>
                <w:r w:rsidR="00350652">
                  <w:rPr>
                    <w:noProof/>
                    <w:webHidden/>
                  </w:rPr>
                  <w:fldChar w:fldCharType="separate"/>
                </w:r>
                <w:r w:rsidR="00EE7276">
                  <w:rPr>
                    <w:noProof/>
                    <w:webHidden/>
                  </w:rPr>
                  <w:t>13</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34" w:history="1">
                <w:r w:rsidR="00350652" w:rsidRPr="00D475B4">
                  <w:rPr>
                    <w:rStyle w:val="Hyperlink"/>
                    <w:noProof/>
                  </w:rPr>
                  <w:t>2.3</w:t>
                </w:r>
                <w:r w:rsidR="00350652">
                  <w:rPr>
                    <w:rFonts w:eastAsiaTheme="minorEastAsia" w:cstheme="minorBidi"/>
                    <w:b w:val="0"/>
                    <w:bCs w:val="0"/>
                    <w:noProof/>
                    <w:sz w:val="22"/>
                    <w:szCs w:val="22"/>
                  </w:rPr>
                  <w:tab/>
                </w:r>
                <w:r w:rsidR="00350652" w:rsidRPr="00D475B4">
                  <w:rPr>
                    <w:rStyle w:val="Hyperlink"/>
                    <w:noProof/>
                  </w:rPr>
                  <w:t>How has engagement influenced our Plan?</w:t>
                </w:r>
                <w:r w:rsidR="00350652">
                  <w:rPr>
                    <w:noProof/>
                    <w:webHidden/>
                  </w:rPr>
                  <w:tab/>
                </w:r>
                <w:r w:rsidR="00350652">
                  <w:rPr>
                    <w:noProof/>
                    <w:webHidden/>
                  </w:rPr>
                  <w:fldChar w:fldCharType="begin"/>
                </w:r>
                <w:r w:rsidR="00350652">
                  <w:rPr>
                    <w:noProof/>
                    <w:webHidden/>
                  </w:rPr>
                  <w:instrText xml:space="preserve"> PAGEREF _Toc523651234 \h </w:instrText>
                </w:r>
                <w:r w:rsidR="00350652">
                  <w:rPr>
                    <w:noProof/>
                    <w:webHidden/>
                  </w:rPr>
                </w:r>
                <w:r w:rsidR="00350652">
                  <w:rPr>
                    <w:noProof/>
                    <w:webHidden/>
                  </w:rPr>
                  <w:fldChar w:fldCharType="separate"/>
                </w:r>
                <w:r w:rsidR="00EE7276">
                  <w:rPr>
                    <w:noProof/>
                    <w:webHidden/>
                  </w:rPr>
                  <w:t>13</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235" w:history="1">
                <w:r w:rsidR="00350652" w:rsidRPr="00D475B4">
                  <w:rPr>
                    <w:rStyle w:val="Hyperlink"/>
                    <w:noProof/>
                  </w:rPr>
                  <w:t>3</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DELIVERING CUSTOMER OUTCOMES</w:t>
                </w:r>
                <w:r w:rsidR="00350652">
                  <w:rPr>
                    <w:noProof/>
                    <w:webHidden/>
                  </w:rPr>
                  <w:tab/>
                </w:r>
                <w:r w:rsidR="00350652">
                  <w:rPr>
                    <w:noProof/>
                    <w:webHidden/>
                  </w:rPr>
                  <w:fldChar w:fldCharType="begin"/>
                </w:r>
                <w:r w:rsidR="00350652">
                  <w:rPr>
                    <w:noProof/>
                    <w:webHidden/>
                  </w:rPr>
                  <w:instrText xml:space="preserve"> PAGEREF _Toc523651235 \h </w:instrText>
                </w:r>
                <w:r w:rsidR="00350652">
                  <w:rPr>
                    <w:noProof/>
                    <w:webHidden/>
                  </w:rPr>
                </w:r>
                <w:r w:rsidR="00350652">
                  <w:rPr>
                    <w:noProof/>
                    <w:webHidden/>
                  </w:rPr>
                  <w:fldChar w:fldCharType="separate"/>
                </w:r>
                <w:r w:rsidR="00EE7276">
                  <w:rPr>
                    <w:noProof/>
                    <w:webHidden/>
                  </w:rPr>
                  <w:t>15</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36" w:history="1">
                <w:r w:rsidR="00350652" w:rsidRPr="00D475B4">
                  <w:rPr>
                    <w:rStyle w:val="Hyperlink"/>
                    <w:noProof/>
                  </w:rPr>
                  <w:t>3.1</w:t>
                </w:r>
                <w:r w:rsidR="00350652">
                  <w:rPr>
                    <w:rFonts w:eastAsiaTheme="minorEastAsia" w:cstheme="minorBidi"/>
                    <w:b w:val="0"/>
                    <w:bCs w:val="0"/>
                    <w:noProof/>
                    <w:sz w:val="22"/>
                    <w:szCs w:val="22"/>
                  </w:rPr>
                  <w:tab/>
                </w:r>
                <w:r w:rsidR="00350652" w:rsidRPr="00D475B4">
                  <w:rPr>
                    <w:rStyle w:val="Hyperlink"/>
                    <w:noProof/>
                  </w:rPr>
                  <w:t>Background</w:t>
                </w:r>
                <w:r w:rsidR="00350652">
                  <w:rPr>
                    <w:noProof/>
                    <w:webHidden/>
                  </w:rPr>
                  <w:tab/>
                </w:r>
                <w:r w:rsidR="00350652">
                  <w:rPr>
                    <w:noProof/>
                    <w:webHidden/>
                  </w:rPr>
                  <w:fldChar w:fldCharType="begin"/>
                </w:r>
                <w:r w:rsidR="00350652">
                  <w:rPr>
                    <w:noProof/>
                    <w:webHidden/>
                  </w:rPr>
                  <w:instrText xml:space="preserve"> PAGEREF _Toc523651236 \h </w:instrText>
                </w:r>
                <w:r w:rsidR="00350652">
                  <w:rPr>
                    <w:noProof/>
                    <w:webHidden/>
                  </w:rPr>
                </w:r>
                <w:r w:rsidR="00350652">
                  <w:rPr>
                    <w:noProof/>
                    <w:webHidden/>
                  </w:rPr>
                  <w:fldChar w:fldCharType="separate"/>
                </w:r>
                <w:r w:rsidR="00EE7276">
                  <w:rPr>
                    <w:noProof/>
                    <w:webHidden/>
                  </w:rPr>
                  <w:t>15</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37" w:history="1">
                <w:r w:rsidR="00350652" w:rsidRPr="00D475B4">
                  <w:rPr>
                    <w:rStyle w:val="Hyperlink"/>
                    <w:noProof/>
                  </w:rPr>
                  <w:t>3.2</w:t>
                </w:r>
                <w:r w:rsidR="00350652">
                  <w:rPr>
                    <w:rFonts w:eastAsiaTheme="minorEastAsia" w:cstheme="minorBidi"/>
                    <w:b w:val="0"/>
                    <w:bCs w:val="0"/>
                    <w:noProof/>
                    <w:sz w:val="22"/>
                    <w:szCs w:val="22"/>
                  </w:rPr>
                  <w:tab/>
                </w:r>
                <w:r w:rsidR="00350652" w:rsidRPr="00D475B4">
                  <w:rPr>
                    <w:rStyle w:val="Hyperlink"/>
                    <w:noProof/>
                  </w:rPr>
                  <w:t>Establishing the Outcomes</w:t>
                </w:r>
                <w:r w:rsidR="00350652">
                  <w:rPr>
                    <w:noProof/>
                    <w:webHidden/>
                  </w:rPr>
                  <w:tab/>
                </w:r>
                <w:r w:rsidR="00350652">
                  <w:rPr>
                    <w:noProof/>
                    <w:webHidden/>
                  </w:rPr>
                  <w:fldChar w:fldCharType="begin"/>
                </w:r>
                <w:r w:rsidR="00350652">
                  <w:rPr>
                    <w:noProof/>
                    <w:webHidden/>
                  </w:rPr>
                  <w:instrText xml:space="preserve"> PAGEREF _Toc523651237 \h </w:instrText>
                </w:r>
                <w:r w:rsidR="00350652">
                  <w:rPr>
                    <w:noProof/>
                    <w:webHidden/>
                  </w:rPr>
                </w:r>
                <w:r w:rsidR="00350652">
                  <w:rPr>
                    <w:noProof/>
                    <w:webHidden/>
                  </w:rPr>
                  <w:fldChar w:fldCharType="separate"/>
                </w:r>
                <w:r w:rsidR="00EE7276">
                  <w:rPr>
                    <w:noProof/>
                    <w:webHidden/>
                  </w:rPr>
                  <w:t>15</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38" w:history="1">
                <w:r w:rsidR="00350652" w:rsidRPr="00D475B4">
                  <w:rPr>
                    <w:rStyle w:val="Hyperlink"/>
                    <w:noProof/>
                  </w:rPr>
                  <w:t>3.3</w:t>
                </w:r>
                <w:r w:rsidR="00350652">
                  <w:rPr>
                    <w:rFonts w:eastAsiaTheme="minorEastAsia" w:cstheme="minorBidi"/>
                    <w:b w:val="0"/>
                    <w:bCs w:val="0"/>
                    <w:noProof/>
                    <w:sz w:val="22"/>
                    <w:szCs w:val="22"/>
                  </w:rPr>
                  <w:tab/>
                </w:r>
                <w:r w:rsidR="00350652" w:rsidRPr="00D475B4">
                  <w:rPr>
                    <w:rStyle w:val="Hyperlink"/>
                    <w:noProof/>
                  </w:rPr>
                  <w:t>Establishing the Outcome Delivery Incentive (ODI)</w:t>
                </w:r>
                <w:r w:rsidR="00350652">
                  <w:rPr>
                    <w:noProof/>
                    <w:webHidden/>
                  </w:rPr>
                  <w:tab/>
                </w:r>
                <w:r w:rsidR="00350652">
                  <w:rPr>
                    <w:noProof/>
                    <w:webHidden/>
                  </w:rPr>
                  <w:fldChar w:fldCharType="begin"/>
                </w:r>
                <w:r w:rsidR="00350652">
                  <w:rPr>
                    <w:noProof/>
                    <w:webHidden/>
                  </w:rPr>
                  <w:instrText xml:space="preserve"> PAGEREF _Toc523651238 \h </w:instrText>
                </w:r>
                <w:r w:rsidR="00350652">
                  <w:rPr>
                    <w:noProof/>
                    <w:webHidden/>
                  </w:rPr>
                </w:r>
                <w:r w:rsidR="00350652">
                  <w:rPr>
                    <w:noProof/>
                    <w:webHidden/>
                  </w:rPr>
                  <w:fldChar w:fldCharType="separate"/>
                </w:r>
                <w:r w:rsidR="00EE7276">
                  <w:rPr>
                    <w:noProof/>
                    <w:webHidden/>
                  </w:rPr>
                  <w:t>17</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39" w:history="1">
                <w:r w:rsidR="00350652" w:rsidRPr="00D475B4">
                  <w:rPr>
                    <w:rStyle w:val="Hyperlink"/>
                    <w:noProof/>
                    <w14:scene3d>
                      <w14:camera w14:prst="orthographicFront"/>
                      <w14:lightRig w14:rig="threePt" w14:dir="t">
                        <w14:rot w14:lat="0" w14:lon="0" w14:rev="0"/>
                      </w14:lightRig>
                    </w14:scene3d>
                  </w:rPr>
                  <w:t>3.3.1</w:t>
                </w:r>
                <w:r w:rsidR="00350652">
                  <w:rPr>
                    <w:rFonts w:eastAsiaTheme="minorEastAsia" w:cstheme="minorBidi"/>
                    <w:noProof/>
                    <w:sz w:val="22"/>
                    <w:szCs w:val="22"/>
                  </w:rPr>
                  <w:tab/>
                </w:r>
                <w:r w:rsidR="00350652" w:rsidRPr="00D475B4">
                  <w:rPr>
                    <w:rStyle w:val="Hyperlink"/>
                    <w:noProof/>
                  </w:rPr>
                  <w:t>Establishing Performance Commitments</w:t>
                </w:r>
                <w:r w:rsidR="00350652">
                  <w:rPr>
                    <w:noProof/>
                    <w:webHidden/>
                  </w:rPr>
                  <w:tab/>
                </w:r>
                <w:r w:rsidR="00350652">
                  <w:rPr>
                    <w:noProof/>
                    <w:webHidden/>
                  </w:rPr>
                  <w:fldChar w:fldCharType="begin"/>
                </w:r>
                <w:r w:rsidR="00350652">
                  <w:rPr>
                    <w:noProof/>
                    <w:webHidden/>
                  </w:rPr>
                  <w:instrText xml:space="preserve"> PAGEREF _Toc523651239 \h </w:instrText>
                </w:r>
                <w:r w:rsidR="00350652">
                  <w:rPr>
                    <w:noProof/>
                    <w:webHidden/>
                  </w:rPr>
                </w:r>
                <w:r w:rsidR="00350652">
                  <w:rPr>
                    <w:noProof/>
                    <w:webHidden/>
                  </w:rPr>
                  <w:fldChar w:fldCharType="separate"/>
                </w:r>
                <w:r w:rsidR="00EE7276">
                  <w:rPr>
                    <w:noProof/>
                    <w:webHidden/>
                  </w:rPr>
                  <w:t>17</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40" w:history="1">
                <w:r w:rsidR="00350652" w:rsidRPr="00D475B4">
                  <w:rPr>
                    <w:rStyle w:val="Hyperlink"/>
                    <w:noProof/>
                    <w14:scene3d>
                      <w14:camera w14:prst="orthographicFront"/>
                      <w14:lightRig w14:rig="threePt" w14:dir="t">
                        <w14:rot w14:lat="0" w14:lon="0" w14:rev="0"/>
                      </w14:lightRig>
                    </w14:scene3d>
                  </w:rPr>
                  <w:t>3.3.2</w:t>
                </w:r>
                <w:r w:rsidR="00350652">
                  <w:rPr>
                    <w:rFonts w:eastAsiaTheme="minorEastAsia" w:cstheme="minorBidi"/>
                    <w:noProof/>
                    <w:sz w:val="22"/>
                    <w:szCs w:val="22"/>
                  </w:rPr>
                  <w:tab/>
                </w:r>
                <w:r w:rsidR="00350652" w:rsidRPr="00D475B4">
                  <w:rPr>
                    <w:rStyle w:val="Hyperlink"/>
                    <w:noProof/>
                  </w:rPr>
                  <w:t>Determining Stretching Service Levels</w:t>
                </w:r>
                <w:r w:rsidR="00350652">
                  <w:rPr>
                    <w:noProof/>
                    <w:webHidden/>
                  </w:rPr>
                  <w:tab/>
                </w:r>
                <w:r w:rsidR="00350652">
                  <w:rPr>
                    <w:noProof/>
                    <w:webHidden/>
                  </w:rPr>
                  <w:fldChar w:fldCharType="begin"/>
                </w:r>
                <w:r w:rsidR="00350652">
                  <w:rPr>
                    <w:noProof/>
                    <w:webHidden/>
                  </w:rPr>
                  <w:instrText xml:space="preserve"> PAGEREF _Toc523651240 \h </w:instrText>
                </w:r>
                <w:r w:rsidR="00350652">
                  <w:rPr>
                    <w:noProof/>
                    <w:webHidden/>
                  </w:rPr>
                </w:r>
                <w:r w:rsidR="00350652">
                  <w:rPr>
                    <w:noProof/>
                    <w:webHidden/>
                  </w:rPr>
                  <w:fldChar w:fldCharType="separate"/>
                </w:r>
                <w:r w:rsidR="00EE7276">
                  <w:rPr>
                    <w:noProof/>
                    <w:webHidden/>
                  </w:rPr>
                  <w:t>20</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41" w:history="1">
                <w:r w:rsidR="00350652" w:rsidRPr="00D475B4">
                  <w:rPr>
                    <w:rStyle w:val="Hyperlink"/>
                    <w:noProof/>
                    <w14:scene3d>
                      <w14:camera w14:prst="orthographicFront"/>
                      <w14:lightRig w14:rig="threePt" w14:dir="t">
                        <w14:rot w14:lat="0" w14:lon="0" w14:rev="0"/>
                      </w14:lightRig>
                    </w14:scene3d>
                  </w:rPr>
                  <w:t>3.3.3</w:t>
                </w:r>
                <w:r w:rsidR="00350652">
                  <w:rPr>
                    <w:rFonts w:eastAsiaTheme="minorEastAsia" w:cstheme="minorBidi"/>
                    <w:noProof/>
                    <w:sz w:val="22"/>
                    <w:szCs w:val="22"/>
                  </w:rPr>
                  <w:tab/>
                </w:r>
                <w:r w:rsidR="00350652" w:rsidRPr="00D475B4">
                  <w:rPr>
                    <w:rStyle w:val="Hyperlink"/>
                    <w:noProof/>
                  </w:rPr>
                  <w:t>Determining rewards &amp; penalties (Outcome Delivery Incentives)</w:t>
                </w:r>
                <w:r w:rsidR="00350652">
                  <w:rPr>
                    <w:noProof/>
                    <w:webHidden/>
                  </w:rPr>
                  <w:tab/>
                </w:r>
                <w:r w:rsidR="00350652">
                  <w:rPr>
                    <w:noProof/>
                    <w:webHidden/>
                  </w:rPr>
                  <w:fldChar w:fldCharType="begin"/>
                </w:r>
                <w:r w:rsidR="00350652">
                  <w:rPr>
                    <w:noProof/>
                    <w:webHidden/>
                  </w:rPr>
                  <w:instrText xml:space="preserve"> PAGEREF _Toc523651241 \h </w:instrText>
                </w:r>
                <w:r w:rsidR="00350652">
                  <w:rPr>
                    <w:noProof/>
                    <w:webHidden/>
                  </w:rPr>
                </w:r>
                <w:r w:rsidR="00350652">
                  <w:rPr>
                    <w:noProof/>
                    <w:webHidden/>
                  </w:rPr>
                  <w:fldChar w:fldCharType="separate"/>
                </w:r>
                <w:r w:rsidR="00EE7276">
                  <w:rPr>
                    <w:noProof/>
                    <w:webHidden/>
                  </w:rPr>
                  <w:t>24</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42" w:history="1">
                <w:r w:rsidR="00350652" w:rsidRPr="00D475B4">
                  <w:rPr>
                    <w:rStyle w:val="Hyperlink"/>
                    <w:noProof/>
                    <w14:scene3d>
                      <w14:camera w14:prst="orthographicFront"/>
                      <w14:lightRig w14:rig="threePt" w14:dir="t">
                        <w14:rot w14:lat="0" w14:lon="0" w14:rev="0"/>
                      </w14:lightRig>
                    </w14:scene3d>
                  </w:rPr>
                  <w:t>3.3.4</w:t>
                </w:r>
                <w:r w:rsidR="00350652">
                  <w:rPr>
                    <w:rFonts w:eastAsiaTheme="minorEastAsia" w:cstheme="minorBidi"/>
                    <w:noProof/>
                    <w:sz w:val="22"/>
                    <w:szCs w:val="22"/>
                  </w:rPr>
                  <w:tab/>
                </w:r>
                <w:r w:rsidR="00350652" w:rsidRPr="00D475B4">
                  <w:rPr>
                    <w:rStyle w:val="Hyperlink"/>
                    <w:noProof/>
                  </w:rPr>
                  <w:t>Enhanced Incentives</w:t>
                </w:r>
                <w:r w:rsidR="00350652">
                  <w:rPr>
                    <w:noProof/>
                    <w:webHidden/>
                  </w:rPr>
                  <w:tab/>
                </w:r>
                <w:r w:rsidR="00350652">
                  <w:rPr>
                    <w:noProof/>
                    <w:webHidden/>
                  </w:rPr>
                  <w:fldChar w:fldCharType="begin"/>
                </w:r>
                <w:r w:rsidR="00350652">
                  <w:rPr>
                    <w:noProof/>
                    <w:webHidden/>
                  </w:rPr>
                  <w:instrText xml:space="preserve"> PAGEREF _Toc523651242 \h </w:instrText>
                </w:r>
                <w:r w:rsidR="00350652">
                  <w:rPr>
                    <w:noProof/>
                    <w:webHidden/>
                  </w:rPr>
                </w:r>
                <w:r w:rsidR="00350652">
                  <w:rPr>
                    <w:noProof/>
                    <w:webHidden/>
                  </w:rPr>
                  <w:fldChar w:fldCharType="separate"/>
                </w:r>
                <w:r w:rsidR="00EE7276">
                  <w:rPr>
                    <w:noProof/>
                    <w:webHidden/>
                  </w:rPr>
                  <w:t>28</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43" w:history="1">
                <w:r w:rsidR="00350652" w:rsidRPr="00D475B4">
                  <w:rPr>
                    <w:rStyle w:val="Hyperlink"/>
                    <w:noProof/>
                  </w:rPr>
                  <w:t>3.4</w:t>
                </w:r>
                <w:r w:rsidR="00350652">
                  <w:rPr>
                    <w:rFonts w:eastAsiaTheme="minorEastAsia" w:cstheme="minorBidi"/>
                    <w:b w:val="0"/>
                    <w:bCs w:val="0"/>
                    <w:noProof/>
                    <w:sz w:val="22"/>
                    <w:szCs w:val="22"/>
                  </w:rPr>
                  <w:tab/>
                </w:r>
                <w:r w:rsidR="00350652" w:rsidRPr="00D475B4">
                  <w:rPr>
                    <w:rStyle w:val="Hyperlink"/>
                    <w:noProof/>
                  </w:rPr>
                  <w:t>RoRE of ODI package</w:t>
                </w:r>
                <w:r w:rsidR="00350652">
                  <w:rPr>
                    <w:noProof/>
                    <w:webHidden/>
                  </w:rPr>
                  <w:tab/>
                </w:r>
                <w:r w:rsidR="00350652">
                  <w:rPr>
                    <w:noProof/>
                    <w:webHidden/>
                  </w:rPr>
                  <w:fldChar w:fldCharType="begin"/>
                </w:r>
                <w:r w:rsidR="00350652">
                  <w:rPr>
                    <w:noProof/>
                    <w:webHidden/>
                  </w:rPr>
                  <w:instrText xml:space="preserve"> PAGEREF _Toc523651243 \h </w:instrText>
                </w:r>
                <w:r w:rsidR="00350652">
                  <w:rPr>
                    <w:noProof/>
                    <w:webHidden/>
                  </w:rPr>
                </w:r>
                <w:r w:rsidR="00350652">
                  <w:rPr>
                    <w:noProof/>
                    <w:webHidden/>
                  </w:rPr>
                  <w:fldChar w:fldCharType="separate"/>
                </w:r>
                <w:r w:rsidR="00EE7276">
                  <w:rPr>
                    <w:noProof/>
                    <w:webHidden/>
                  </w:rPr>
                  <w:t>29</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44" w:history="1">
                <w:r w:rsidR="00350652" w:rsidRPr="00D475B4">
                  <w:rPr>
                    <w:rStyle w:val="Hyperlink"/>
                    <w:noProof/>
                    <w14:scene3d>
                      <w14:camera w14:prst="orthographicFront"/>
                      <w14:lightRig w14:rig="threePt" w14:dir="t">
                        <w14:rot w14:lat="0" w14:lon="0" w14:rev="0"/>
                      </w14:lightRig>
                    </w14:scene3d>
                  </w:rPr>
                  <w:t>3.4.1</w:t>
                </w:r>
                <w:r w:rsidR="00350652">
                  <w:rPr>
                    <w:rFonts w:eastAsiaTheme="minorEastAsia" w:cstheme="minorBidi"/>
                    <w:noProof/>
                    <w:sz w:val="22"/>
                    <w:szCs w:val="22"/>
                  </w:rPr>
                  <w:tab/>
                </w:r>
                <w:r w:rsidR="00350652" w:rsidRPr="00D475B4">
                  <w:rPr>
                    <w:rStyle w:val="Hyperlink"/>
                    <w:noProof/>
                  </w:rPr>
                  <w:t>Asset Health</w:t>
                </w:r>
                <w:r w:rsidR="00350652">
                  <w:rPr>
                    <w:noProof/>
                    <w:webHidden/>
                  </w:rPr>
                  <w:tab/>
                </w:r>
                <w:r w:rsidR="00350652">
                  <w:rPr>
                    <w:noProof/>
                    <w:webHidden/>
                  </w:rPr>
                  <w:fldChar w:fldCharType="begin"/>
                </w:r>
                <w:r w:rsidR="00350652">
                  <w:rPr>
                    <w:noProof/>
                    <w:webHidden/>
                  </w:rPr>
                  <w:instrText xml:space="preserve"> PAGEREF _Toc523651244 \h </w:instrText>
                </w:r>
                <w:r w:rsidR="00350652">
                  <w:rPr>
                    <w:noProof/>
                    <w:webHidden/>
                  </w:rPr>
                </w:r>
                <w:r w:rsidR="00350652">
                  <w:rPr>
                    <w:noProof/>
                    <w:webHidden/>
                  </w:rPr>
                  <w:fldChar w:fldCharType="separate"/>
                </w:r>
                <w:r w:rsidR="00EE7276">
                  <w:rPr>
                    <w:noProof/>
                    <w:webHidden/>
                  </w:rPr>
                  <w:t>30</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45" w:history="1">
                <w:r w:rsidR="00350652" w:rsidRPr="00D475B4">
                  <w:rPr>
                    <w:rStyle w:val="Hyperlink"/>
                    <w:noProof/>
                    <w14:scene3d>
                      <w14:camera w14:prst="orthographicFront"/>
                      <w14:lightRig w14:rig="threePt" w14:dir="t">
                        <w14:rot w14:lat="0" w14:lon="0" w14:rev="0"/>
                      </w14:lightRig>
                    </w14:scene3d>
                  </w:rPr>
                  <w:t>3.4.2</w:t>
                </w:r>
                <w:r w:rsidR="00350652">
                  <w:rPr>
                    <w:rFonts w:eastAsiaTheme="minorEastAsia" w:cstheme="minorBidi"/>
                    <w:noProof/>
                    <w:sz w:val="22"/>
                    <w:szCs w:val="22"/>
                  </w:rPr>
                  <w:tab/>
                </w:r>
                <w:r w:rsidR="00350652" w:rsidRPr="00D475B4">
                  <w:rPr>
                    <w:rStyle w:val="Hyperlink"/>
                    <w:noProof/>
                  </w:rPr>
                  <w:t>Bill volatility</w:t>
                </w:r>
                <w:r w:rsidR="00350652">
                  <w:rPr>
                    <w:noProof/>
                    <w:webHidden/>
                  </w:rPr>
                  <w:tab/>
                </w:r>
                <w:r w:rsidR="00350652">
                  <w:rPr>
                    <w:noProof/>
                    <w:webHidden/>
                  </w:rPr>
                  <w:fldChar w:fldCharType="begin"/>
                </w:r>
                <w:r w:rsidR="00350652">
                  <w:rPr>
                    <w:noProof/>
                    <w:webHidden/>
                  </w:rPr>
                  <w:instrText xml:space="preserve"> PAGEREF _Toc523651245 \h </w:instrText>
                </w:r>
                <w:r w:rsidR="00350652">
                  <w:rPr>
                    <w:noProof/>
                    <w:webHidden/>
                  </w:rPr>
                </w:r>
                <w:r w:rsidR="00350652">
                  <w:rPr>
                    <w:noProof/>
                    <w:webHidden/>
                  </w:rPr>
                  <w:fldChar w:fldCharType="separate"/>
                </w:r>
                <w:r w:rsidR="00EE7276">
                  <w:rPr>
                    <w:noProof/>
                    <w:webHidden/>
                  </w:rPr>
                  <w:t>31</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46" w:history="1">
                <w:r w:rsidR="00350652" w:rsidRPr="00D475B4">
                  <w:rPr>
                    <w:rStyle w:val="Hyperlink"/>
                    <w:noProof/>
                  </w:rPr>
                  <w:t>3.5</w:t>
                </w:r>
                <w:r w:rsidR="00350652">
                  <w:rPr>
                    <w:rFonts w:eastAsiaTheme="minorEastAsia" w:cstheme="minorBidi"/>
                    <w:b w:val="0"/>
                    <w:bCs w:val="0"/>
                    <w:noProof/>
                    <w:sz w:val="22"/>
                    <w:szCs w:val="22"/>
                  </w:rPr>
                  <w:tab/>
                </w:r>
                <w:r w:rsidR="00350652" w:rsidRPr="00D475B4">
                  <w:rPr>
                    <w:rStyle w:val="Hyperlink"/>
                    <w:noProof/>
                  </w:rPr>
                  <w:t>Disseminating performance information effectively</w:t>
                </w:r>
                <w:r w:rsidR="00350652">
                  <w:rPr>
                    <w:noProof/>
                    <w:webHidden/>
                  </w:rPr>
                  <w:tab/>
                </w:r>
                <w:r w:rsidR="00350652">
                  <w:rPr>
                    <w:noProof/>
                    <w:webHidden/>
                  </w:rPr>
                  <w:fldChar w:fldCharType="begin"/>
                </w:r>
                <w:r w:rsidR="00350652">
                  <w:rPr>
                    <w:noProof/>
                    <w:webHidden/>
                  </w:rPr>
                  <w:instrText xml:space="preserve"> PAGEREF _Toc523651246 \h </w:instrText>
                </w:r>
                <w:r w:rsidR="00350652">
                  <w:rPr>
                    <w:noProof/>
                    <w:webHidden/>
                  </w:rPr>
                </w:r>
                <w:r w:rsidR="00350652">
                  <w:rPr>
                    <w:noProof/>
                    <w:webHidden/>
                  </w:rPr>
                  <w:fldChar w:fldCharType="separate"/>
                </w:r>
                <w:r w:rsidR="00EE7276">
                  <w:rPr>
                    <w:noProof/>
                    <w:webHidden/>
                  </w:rPr>
                  <w:t>31</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47" w:history="1">
                <w:r w:rsidR="00350652" w:rsidRPr="00D475B4">
                  <w:rPr>
                    <w:rStyle w:val="Hyperlink"/>
                    <w:noProof/>
                    <w14:scene3d>
                      <w14:camera w14:prst="orthographicFront"/>
                      <w14:lightRig w14:rig="threePt" w14:dir="t">
                        <w14:rot w14:lat="0" w14:lon="0" w14:rev="0"/>
                      </w14:lightRig>
                    </w14:scene3d>
                  </w:rPr>
                  <w:t>3.5.1</w:t>
                </w:r>
                <w:r w:rsidR="00350652">
                  <w:rPr>
                    <w:rFonts w:eastAsiaTheme="minorEastAsia" w:cstheme="minorBidi"/>
                    <w:noProof/>
                    <w:sz w:val="22"/>
                    <w:szCs w:val="22"/>
                  </w:rPr>
                  <w:tab/>
                </w:r>
                <w:r w:rsidR="00350652" w:rsidRPr="00D475B4">
                  <w:rPr>
                    <w:rStyle w:val="Hyperlink"/>
                    <w:noProof/>
                  </w:rPr>
                  <w:t>Reporting performance</w:t>
                </w:r>
                <w:r w:rsidR="00350652">
                  <w:rPr>
                    <w:noProof/>
                    <w:webHidden/>
                  </w:rPr>
                  <w:tab/>
                </w:r>
                <w:r w:rsidR="00350652">
                  <w:rPr>
                    <w:noProof/>
                    <w:webHidden/>
                  </w:rPr>
                  <w:fldChar w:fldCharType="begin"/>
                </w:r>
                <w:r w:rsidR="00350652">
                  <w:rPr>
                    <w:noProof/>
                    <w:webHidden/>
                  </w:rPr>
                  <w:instrText xml:space="preserve"> PAGEREF _Toc523651247 \h </w:instrText>
                </w:r>
                <w:r w:rsidR="00350652">
                  <w:rPr>
                    <w:noProof/>
                    <w:webHidden/>
                  </w:rPr>
                </w:r>
                <w:r w:rsidR="00350652">
                  <w:rPr>
                    <w:noProof/>
                    <w:webHidden/>
                  </w:rPr>
                  <w:fldChar w:fldCharType="separate"/>
                </w:r>
                <w:r w:rsidR="00EE7276">
                  <w:rPr>
                    <w:noProof/>
                    <w:webHidden/>
                  </w:rPr>
                  <w:t>31</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48" w:history="1">
                <w:r w:rsidR="00350652" w:rsidRPr="00D475B4">
                  <w:rPr>
                    <w:rStyle w:val="Hyperlink"/>
                    <w:noProof/>
                    <w14:scene3d>
                      <w14:camera w14:prst="orthographicFront"/>
                      <w14:lightRig w14:rig="threePt" w14:dir="t">
                        <w14:rot w14:lat="0" w14:lon="0" w14:rev="0"/>
                      </w14:lightRig>
                    </w14:scene3d>
                  </w:rPr>
                  <w:t>3.5.2</w:t>
                </w:r>
                <w:r w:rsidR="00350652">
                  <w:rPr>
                    <w:rFonts w:eastAsiaTheme="minorEastAsia" w:cstheme="minorBidi"/>
                    <w:noProof/>
                    <w:sz w:val="22"/>
                    <w:szCs w:val="22"/>
                  </w:rPr>
                  <w:tab/>
                </w:r>
                <w:r w:rsidR="00350652" w:rsidRPr="00D475B4">
                  <w:rPr>
                    <w:rStyle w:val="Hyperlink"/>
                    <w:noProof/>
                  </w:rPr>
                  <w:t>Existing methods</w:t>
                </w:r>
                <w:r w:rsidR="00350652">
                  <w:rPr>
                    <w:noProof/>
                    <w:webHidden/>
                  </w:rPr>
                  <w:tab/>
                </w:r>
                <w:r w:rsidR="00350652">
                  <w:rPr>
                    <w:noProof/>
                    <w:webHidden/>
                  </w:rPr>
                  <w:fldChar w:fldCharType="begin"/>
                </w:r>
                <w:r w:rsidR="00350652">
                  <w:rPr>
                    <w:noProof/>
                    <w:webHidden/>
                  </w:rPr>
                  <w:instrText xml:space="preserve"> PAGEREF _Toc523651248 \h </w:instrText>
                </w:r>
                <w:r w:rsidR="00350652">
                  <w:rPr>
                    <w:noProof/>
                    <w:webHidden/>
                  </w:rPr>
                </w:r>
                <w:r w:rsidR="00350652">
                  <w:rPr>
                    <w:noProof/>
                    <w:webHidden/>
                  </w:rPr>
                  <w:fldChar w:fldCharType="separate"/>
                </w:r>
                <w:r w:rsidR="00EE7276">
                  <w:rPr>
                    <w:noProof/>
                    <w:webHidden/>
                  </w:rPr>
                  <w:t>32</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49" w:history="1">
                <w:r w:rsidR="00350652" w:rsidRPr="00D475B4">
                  <w:rPr>
                    <w:rStyle w:val="Hyperlink"/>
                    <w:noProof/>
                    <w14:scene3d>
                      <w14:camera w14:prst="orthographicFront"/>
                      <w14:lightRig w14:rig="threePt" w14:dir="t">
                        <w14:rot w14:lat="0" w14:lon="0" w14:rev="0"/>
                      </w14:lightRig>
                    </w14:scene3d>
                  </w:rPr>
                  <w:t>3.5.3</w:t>
                </w:r>
                <w:r w:rsidR="00350652">
                  <w:rPr>
                    <w:rFonts w:eastAsiaTheme="minorEastAsia" w:cstheme="minorBidi"/>
                    <w:noProof/>
                    <w:sz w:val="22"/>
                    <w:szCs w:val="22"/>
                  </w:rPr>
                  <w:tab/>
                </w:r>
                <w:r w:rsidR="00350652" w:rsidRPr="00D475B4">
                  <w:rPr>
                    <w:rStyle w:val="Hyperlink"/>
                    <w:noProof/>
                  </w:rPr>
                  <w:t>New approaches</w:t>
                </w:r>
                <w:r w:rsidR="00350652">
                  <w:rPr>
                    <w:noProof/>
                    <w:webHidden/>
                  </w:rPr>
                  <w:tab/>
                </w:r>
                <w:r w:rsidR="00350652">
                  <w:rPr>
                    <w:noProof/>
                    <w:webHidden/>
                  </w:rPr>
                  <w:fldChar w:fldCharType="begin"/>
                </w:r>
                <w:r w:rsidR="00350652">
                  <w:rPr>
                    <w:noProof/>
                    <w:webHidden/>
                  </w:rPr>
                  <w:instrText xml:space="preserve"> PAGEREF _Toc523651249 \h </w:instrText>
                </w:r>
                <w:r w:rsidR="00350652">
                  <w:rPr>
                    <w:noProof/>
                    <w:webHidden/>
                  </w:rPr>
                </w:r>
                <w:r w:rsidR="00350652">
                  <w:rPr>
                    <w:noProof/>
                    <w:webHidden/>
                  </w:rPr>
                  <w:fldChar w:fldCharType="separate"/>
                </w:r>
                <w:r w:rsidR="00EE7276">
                  <w:rPr>
                    <w:noProof/>
                    <w:webHidden/>
                  </w:rPr>
                  <w:t>32</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50" w:history="1">
                <w:r w:rsidR="00350652" w:rsidRPr="00D475B4">
                  <w:rPr>
                    <w:rStyle w:val="Hyperlink"/>
                    <w:noProof/>
                    <w14:scene3d>
                      <w14:camera w14:prst="orthographicFront"/>
                      <w14:lightRig w14:rig="threePt" w14:dir="t">
                        <w14:rot w14:lat="0" w14:lon="0" w14:rev="0"/>
                      </w14:lightRig>
                    </w14:scene3d>
                  </w:rPr>
                  <w:t>3.5.4</w:t>
                </w:r>
                <w:r w:rsidR="00350652">
                  <w:rPr>
                    <w:rFonts w:eastAsiaTheme="minorEastAsia" w:cstheme="minorBidi"/>
                    <w:noProof/>
                    <w:sz w:val="22"/>
                    <w:szCs w:val="22"/>
                  </w:rPr>
                  <w:tab/>
                </w:r>
                <w:r w:rsidR="00350652" w:rsidRPr="00D475B4">
                  <w:rPr>
                    <w:rStyle w:val="Hyperlink"/>
                    <w:noProof/>
                  </w:rPr>
                  <w:t>Sharing knowledge with other companies</w:t>
                </w:r>
                <w:r w:rsidR="00350652">
                  <w:rPr>
                    <w:noProof/>
                    <w:webHidden/>
                  </w:rPr>
                  <w:tab/>
                </w:r>
                <w:r w:rsidR="00350652">
                  <w:rPr>
                    <w:noProof/>
                    <w:webHidden/>
                  </w:rPr>
                  <w:fldChar w:fldCharType="begin"/>
                </w:r>
                <w:r w:rsidR="00350652">
                  <w:rPr>
                    <w:noProof/>
                    <w:webHidden/>
                  </w:rPr>
                  <w:instrText xml:space="preserve"> PAGEREF _Toc523651250 \h </w:instrText>
                </w:r>
                <w:r w:rsidR="00350652">
                  <w:rPr>
                    <w:noProof/>
                    <w:webHidden/>
                  </w:rPr>
                </w:r>
                <w:r w:rsidR="00350652">
                  <w:rPr>
                    <w:noProof/>
                    <w:webHidden/>
                  </w:rPr>
                  <w:fldChar w:fldCharType="separate"/>
                </w:r>
                <w:r w:rsidR="00EE7276">
                  <w:rPr>
                    <w:noProof/>
                    <w:webHidden/>
                  </w:rPr>
                  <w:t>32</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51" w:history="1">
                <w:r w:rsidR="00350652" w:rsidRPr="00D475B4">
                  <w:rPr>
                    <w:rStyle w:val="Hyperlink"/>
                    <w:noProof/>
                  </w:rPr>
                  <w:t>3.6</w:t>
                </w:r>
                <w:r w:rsidR="00350652">
                  <w:rPr>
                    <w:rFonts w:eastAsiaTheme="minorEastAsia" w:cstheme="minorBidi"/>
                    <w:b w:val="0"/>
                    <w:bCs w:val="0"/>
                    <w:noProof/>
                    <w:sz w:val="22"/>
                    <w:szCs w:val="22"/>
                  </w:rPr>
                  <w:tab/>
                </w:r>
                <w:r w:rsidR="00350652" w:rsidRPr="00D475B4">
                  <w:rPr>
                    <w:rStyle w:val="Hyperlink"/>
                    <w:noProof/>
                  </w:rPr>
                  <w:t>Safe, Secure and Reliable Supply of Drinking Water</w:t>
                </w:r>
                <w:r w:rsidR="00350652">
                  <w:rPr>
                    <w:noProof/>
                    <w:webHidden/>
                  </w:rPr>
                  <w:tab/>
                </w:r>
                <w:r w:rsidR="00350652">
                  <w:rPr>
                    <w:noProof/>
                    <w:webHidden/>
                  </w:rPr>
                  <w:fldChar w:fldCharType="begin"/>
                </w:r>
                <w:r w:rsidR="00350652">
                  <w:rPr>
                    <w:noProof/>
                    <w:webHidden/>
                  </w:rPr>
                  <w:instrText xml:space="preserve"> PAGEREF _Toc523651251 \h </w:instrText>
                </w:r>
                <w:r w:rsidR="00350652">
                  <w:rPr>
                    <w:noProof/>
                    <w:webHidden/>
                  </w:rPr>
                </w:r>
                <w:r w:rsidR="00350652">
                  <w:rPr>
                    <w:noProof/>
                    <w:webHidden/>
                  </w:rPr>
                  <w:fldChar w:fldCharType="separate"/>
                </w:r>
                <w:r w:rsidR="00EE7276">
                  <w:rPr>
                    <w:noProof/>
                    <w:webHidden/>
                  </w:rPr>
                  <w:t>34</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52" w:history="1">
                <w:r w:rsidR="00350652" w:rsidRPr="00D475B4">
                  <w:rPr>
                    <w:rStyle w:val="Hyperlink"/>
                    <w:noProof/>
                    <w14:scene3d>
                      <w14:camera w14:prst="orthographicFront"/>
                      <w14:lightRig w14:rig="threePt" w14:dir="t">
                        <w14:rot w14:lat="0" w14:lon="0" w14:rev="0"/>
                      </w14:lightRig>
                    </w14:scene3d>
                  </w:rPr>
                  <w:t>3.6.1</w:t>
                </w:r>
                <w:r w:rsidR="00350652">
                  <w:rPr>
                    <w:rFonts w:eastAsiaTheme="minorEastAsia" w:cstheme="minorBidi"/>
                    <w:noProof/>
                    <w:sz w:val="22"/>
                    <w:szCs w:val="22"/>
                  </w:rPr>
                  <w:tab/>
                </w:r>
                <w:r w:rsidR="00350652" w:rsidRPr="00D475B4">
                  <w:rPr>
                    <w:rStyle w:val="Hyperlink"/>
                    <w:noProof/>
                  </w:rPr>
                  <w:t>Engaging Customers</w:t>
                </w:r>
                <w:r w:rsidR="00350652">
                  <w:rPr>
                    <w:noProof/>
                    <w:webHidden/>
                  </w:rPr>
                  <w:tab/>
                </w:r>
                <w:r w:rsidR="00350652">
                  <w:rPr>
                    <w:noProof/>
                    <w:webHidden/>
                  </w:rPr>
                  <w:fldChar w:fldCharType="begin"/>
                </w:r>
                <w:r w:rsidR="00350652">
                  <w:rPr>
                    <w:noProof/>
                    <w:webHidden/>
                  </w:rPr>
                  <w:instrText xml:space="preserve"> PAGEREF _Toc523651252 \h </w:instrText>
                </w:r>
                <w:r w:rsidR="00350652">
                  <w:rPr>
                    <w:noProof/>
                    <w:webHidden/>
                  </w:rPr>
                </w:r>
                <w:r w:rsidR="00350652">
                  <w:rPr>
                    <w:noProof/>
                    <w:webHidden/>
                  </w:rPr>
                  <w:fldChar w:fldCharType="separate"/>
                </w:r>
                <w:r w:rsidR="00EE7276">
                  <w:rPr>
                    <w:noProof/>
                    <w:webHidden/>
                  </w:rPr>
                  <w:t>34</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53" w:history="1">
                <w:r w:rsidR="00350652" w:rsidRPr="00D475B4">
                  <w:rPr>
                    <w:rStyle w:val="Hyperlink"/>
                    <w:noProof/>
                    <w14:scene3d>
                      <w14:camera w14:prst="orthographicFront"/>
                      <w14:lightRig w14:rig="threePt" w14:dir="t">
                        <w14:rot w14:lat="0" w14:lon="0" w14:rev="0"/>
                      </w14:lightRig>
                    </w14:scene3d>
                  </w:rPr>
                  <w:t>3.6.2</w:t>
                </w:r>
                <w:r w:rsidR="00350652">
                  <w:rPr>
                    <w:rFonts w:eastAsiaTheme="minorEastAsia" w:cstheme="minorBidi"/>
                    <w:noProof/>
                    <w:sz w:val="22"/>
                    <w:szCs w:val="22"/>
                  </w:rPr>
                  <w:tab/>
                </w:r>
                <w:r w:rsidR="00350652" w:rsidRPr="00D475B4">
                  <w:rPr>
                    <w:rStyle w:val="Hyperlink"/>
                    <w:noProof/>
                  </w:rPr>
                  <w:t>Delivering the Outcome</w:t>
                </w:r>
                <w:r w:rsidR="00350652">
                  <w:rPr>
                    <w:noProof/>
                    <w:webHidden/>
                  </w:rPr>
                  <w:tab/>
                </w:r>
                <w:r w:rsidR="00350652">
                  <w:rPr>
                    <w:noProof/>
                    <w:webHidden/>
                  </w:rPr>
                  <w:fldChar w:fldCharType="begin"/>
                </w:r>
                <w:r w:rsidR="00350652">
                  <w:rPr>
                    <w:noProof/>
                    <w:webHidden/>
                  </w:rPr>
                  <w:instrText xml:space="preserve"> PAGEREF _Toc523651253 \h </w:instrText>
                </w:r>
                <w:r w:rsidR="00350652">
                  <w:rPr>
                    <w:noProof/>
                    <w:webHidden/>
                  </w:rPr>
                </w:r>
                <w:r w:rsidR="00350652">
                  <w:rPr>
                    <w:noProof/>
                    <w:webHidden/>
                  </w:rPr>
                  <w:fldChar w:fldCharType="separate"/>
                </w:r>
                <w:r w:rsidR="00EE7276">
                  <w:rPr>
                    <w:noProof/>
                    <w:webHidden/>
                  </w:rPr>
                  <w:t>36</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54" w:history="1">
                <w:r w:rsidR="00350652" w:rsidRPr="00D475B4">
                  <w:rPr>
                    <w:rStyle w:val="Hyperlink"/>
                    <w:noProof/>
                  </w:rPr>
                  <w:t>3.7</w:t>
                </w:r>
                <w:r w:rsidR="00350652">
                  <w:rPr>
                    <w:rFonts w:eastAsiaTheme="minorEastAsia" w:cstheme="minorBidi"/>
                    <w:b w:val="0"/>
                    <w:bCs w:val="0"/>
                    <w:noProof/>
                    <w:sz w:val="22"/>
                    <w:szCs w:val="22"/>
                  </w:rPr>
                  <w:tab/>
                </w:r>
                <w:r w:rsidR="00350652" w:rsidRPr="00D475B4">
                  <w:rPr>
                    <w:rStyle w:val="Hyperlink"/>
                    <w:noProof/>
                  </w:rPr>
                  <w:t>Long Term Resilience of supplies for our customers and to support the South East Region</w:t>
                </w:r>
                <w:r w:rsidR="00350652">
                  <w:rPr>
                    <w:noProof/>
                    <w:webHidden/>
                  </w:rPr>
                  <w:tab/>
                </w:r>
                <w:r w:rsidR="00350652">
                  <w:rPr>
                    <w:noProof/>
                    <w:webHidden/>
                  </w:rPr>
                  <w:fldChar w:fldCharType="begin"/>
                </w:r>
                <w:r w:rsidR="00350652">
                  <w:rPr>
                    <w:noProof/>
                    <w:webHidden/>
                  </w:rPr>
                  <w:instrText xml:space="preserve"> PAGEREF _Toc523651254 \h </w:instrText>
                </w:r>
                <w:r w:rsidR="00350652">
                  <w:rPr>
                    <w:noProof/>
                    <w:webHidden/>
                  </w:rPr>
                </w:r>
                <w:r w:rsidR="00350652">
                  <w:rPr>
                    <w:noProof/>
                    <w:webHidden/>
                  </w:rPr>
                  <w:fldChar w:fldCharType="separate"/>
                </w:r>
                <w:r w:rsidR="00EE7276">
                  <w:rPr>
                    <w:noProof/>
                    <w:webHidden/>
                  </w:rPr>
                  <w:t>45</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55" w:history="1">
                <w:r w:rsidR="00350652" w:rsidRPr="00D475B4">
                  <w:rPr>
                    <w:rStyle w:val="Hyperlink"/>
                    <w:noProof/>
                    <w14:scene3d>
                      <w14:camera w14:prst="orthographicFront"/>
                      <w14:lightRig w14:rig="threePt" w14:dir="t">
                        <w14:rot w14:lat="0" w14:lon="0" w14:rev="0"/>
                      </w14:lightRig>
                    </w14:scene3d>
                  </w:rPr>
                  <w:t>3.7.1</w:t>
                </w:r>
                <w:r w:rsidR="00350652">
                  <w:rPr>
                    <w:rFonts w:eastAsiaTheme="minorEastAsia" w:cstheme="minorBidi"/>
                    <w:noProof/>
                    <w:sz w:val="22"/>
                    <w:szCs w:val="22"/>
                  </w:rPr>
                  <w:tab/>
                </w:r>
                <w:r w:rsidR="00350652" w:rsidRPr="00D475B4">
                  <w:rPr>
                    <w:rStyle w:val="Hyperlink"/>
                    <w:noProof/>
                  </w:rPr>
                  <w:t>Engaging with Customers</w:t>
                </w:r>
                <w:r w:rsidR="00350652">
                  <w:rPr>
                    <w:noProof/>
                    <w:webHidden/>
                  </w:rPr>
                  <w:tab/>
                </w:r>
                <w:r w:rsidR="00350652">
                  <w:rPr>
                    <w:noProof/>
                    <w:webHidden/>
                  </w:rPr>
                  <w:fldChar w:fldCharType="begin"/>
                </w:r>
                <w:r w:rsidR="00350652">
                  <w:rPr>
                    <w:noProof/>
                    <w:webHidden/>
                  </w:rPr>
                  <w:instrText xml:space="preserve"> PAGEREF _Toc523651255 \h </w:instrText>
                </w:r>
                <w:r w:rsidR="00350652">
                  <w:rPr>
                    <w:noProof/>
                    <w:webHidden/>
                  </w:rPr>
                </w:r>
                <w:r w:rsidR="00350652">
                  <w:rPr>
                    <w:noProof/>
                    <w:webHidden/>
                  </w:rPr>
                  <w:fldChar w:fldCharType="separate"/>
                </w:r>
                <w:r w:rsidR="00EE7276">
                  <w:rPr>
                    <w:noProof/>
                    <w:webHidden/>
                  </w:rPr>
                  <w:t>46</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56" w:history="1">
                <w:r w:rsidR="00350652" w:rsidRPr="00D475B4">
                  <w:rPr>
                    <w:rStyle w:val="Hyperlink"/>
                    <w:noProof/>
                    <w14:scene3d>
                      <w14:camera w14:prst="orthographicFront"/>
                      <w14:lightRig w14:rig="threePt" w14:dir="t">
                        <w14:rot w14:lat="0" w14:lon="0" w14:rev="0"/>
                      </w14:lightRig>
                    </w14:scene3d>
                  </w:rPr>
                  <w:t>3.7.2</w:t>
                </w:r>
                <w:r w:rsidR="00350652">
                  <w:rPr>
                    <w:rFonts w:eastAsiaTheme="minorEastAsia" w:cstheme="minorBidi"/>
                    <w:noProof/>
                    <w:sz w:val="22"/>
                    <w:szCs w:val="22"/>
                  </w:rPr>
                  <w:tab/>
                </w:r>
                <w:r w:rsidR="00350652" w:rsidRPr="00D475B4">
                  <w:rPr>
                    <w:rStyle w:val="Hyperlink"/>
                    <w:noProof/>
                  </w:rPr>
                  <w:t>Delivering the Outcome</w:t>
                </w:r>
                <w:r w:rsidR="00350652">
                  <w:rPr>
                    <w:noProof/>
                    <w:webHidden/>
                  </w:rPr>
                  <w:tab/>
                </w:r>
                <w:r w:rsidR="00350652">
                  <w:rPr>
                    <w:noProof/>
                    <w:webHidden/>
                  </w:rPr>
                  <w:fldChar w:fldCharType="begin"/>
                </w:r>
                <w:r w:rsidR="00350652">
                  <w:rPr>
                    <w:noProof/>
                    <w:webHidden/>
                  </w:rPr>
                  <w:instrText xml:space="preserve"> PAGEREF _Toc523651256 \h </w:instrText>
                </w:r>
                <w:r w:rsidR="00350652">
                  <w:rPr>
                    <w:noProof/>
                    <w:webHidden/>
                  </w:rPr>
                </w:r>
                <w:r w:rsidR="00350652">
                  <w:rPr>
                    <w:noProof/>
                    <w:webHidden/>
                  </w:rPr>
                  <w:fldChar w:fldCharType="separate"/>
                </w:r>
                <w:r w:rsidR="00EE7276">
                  <w:rPr>
                    <w:noProof/>
                    <w:webHidden/>
                  </w:rPr>
                  <w:t>49</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57" w:history="1">
                <w:r w:rsidR="00350652" w:rsidRPr="00D475B4">
                  <w:rPr>
                    <w:rStyle w:val="Hyperlink"/>
                    <w:noProof/>
                    <w14:scene3d>
                      <w14:camera w14:prst="orthographicFront"/>
                      <w14:lightRig w14:rig="threePt" w14:dir="t">
                        <w14:rot w14:lat="0" w14:lon="0" w14:rev="0"/>
                      </w14:lightRig>
                    </w14:scene3d>
                  </w:rPr>
                  <w:t>3.7.3</w:t>
                </w:r>
                <w:r w:rsidR="00350652">
                  <w:rPr>
                    <w:rFonts w:eastAsiaTheme="minorEastAsia" w:cstheme="minorBidi"/>
                    <w:noProof/>
                    <w:sz w:val="22"/>
                    <w:szCs w:val="22"/>
                  </w:rPr>
                  <w:tab/>
                </w:r>
                <w:r w:rsidR="00350652" w:rsidRPr="00D475B4">
                  <w:rPr>
                    <w:rStyle w:val="Hyperlink"/>
                    <w:noProof/>
                  </w:rPr>
                  <w:t>Securing Long Term Resilience</w:t>
                </w:r>
                <w:r w:rsidR="00350652">
                  <w:rPr>
                    <w:noProof/>
                    <w:webHidden/>
                  </w:rPr>
                  <w:tab/>
                </w:r>
                <w:r w:rsidR="00350652">
                  <w:rPr>
                    <w:noProof/>
                    <w:webHidden/>
                  </w:rPr>
                  <w:fldChar w:fldCharType="begin"/>
                </w:r>
                <w:r w:rsidR="00350652">
                  <w:rPr>
                    <w:noProof/>
                    <w:webHidden/>
                  </w:rPr>
                  <w:instrText xml:space="preserve"> PAGEREF _Toc523651257 \h </w:instrText>
                </w:r>
                <w:r w:rsidR="00350652">
                  <w:rPr>
                    <w:noProof/>
                    <w:webHidden/>
                  </w:rPr>
                </w:r>
                <w:r w:rsidR="00350652">
                  <w:rPr>
                    <w:noProof/>
                    <w:webHidden/>
                  </w:rPr>
                  <w:fldChar w:fldCharType="separate"/>
                </w:r>
                <w:r w:rsidR="00EE7276">
                  <w:rPr>
                    <w:noProof/>
                    <w:webHidden/>
                  </w:rPr>
                  <w:t>53</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58" w:history="1">
                <w:r w:rsidR="00350652" w:rsidRPr="00D475B4">
                  <w:rPr>
                    <w:rStyle w:val="Hyperlink"/>
                    <w:noProof/>
                  </w:rPr>
                  <w:t>3.8</w:t>
                </w:r>
                <w:r w:rsidR="00350652">
                  <w:rPr>
                    <w:rFonts w:eastAsiaTheme="minorEastAsia" w:cstheme="minorBidi"/>
                    <w:b w:val="0"/>
                    <w:bCs w:val="0"/>
                    <w:noProof/>
                    <w:sz w:val="22"/>
                    <w:szCs w:val="22"/>
                  </w:rPr>
                  <w:tab/>
                </w:r>
                <w:r w:rsidR="00350652" w:rsidRPr="00D475B4">
                  <w:rPr>
                    <w:rStyle w:val="Hyperlink"/>
                    <w:noProof/>
                  </w:rPr>
                  <w:t>Low leakage</w:t>
                </w:r>
                <w:r w:rsidR="00350652">
                  <w:rPr>
                    <w:noProof/>
                    <w:webHidden/>
                  </w:rPr>
                  <w:tab/>
                </w:r>
                <w:r w:rsidR="00350652">
                  <w:rPr>
                    <w:noProof/>
                    <w:webHidden/>
                  </w:rPr>
                  <w:fldChar w:fldCharType="begin"/>
                </w:r>
                <w:r w:rsidR="00350652">
                  <w:rPr>
                    <w:noProof/>
                    <w:webHidden/>
                  </w:rPr>
                  <w:instrText xml:space="preserve"> PAGEREF _Toc523651258 \h </w:instrText>
                </w:r>
                <w:r w:rsidR="00350652">
                  <w:rPr>
                    <w:noProof/>
                    <w:webHidden/>
                  </w:rPr>
                </w:r>
                <w:r w:rsidR="00350652">
                  <w:rPr>
                    <w:noProof/>
                    <w:webHidden/>
                  </w:rPr>
                  <w:fldChar w:fldCharType="separate"/>
                </w:r>
                <w:r w:rsidR="00EE7276">
                  <w:rPr>
                    <w:noProof/>
                    <w:webHidden/>
                  </w:rPr>
                  <w:t>55</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59" w:history="1">
                <w:r w:rsidR="00350652" w:rsidRPr="00D475B4">
                  <w:rPr>
                    <w:rStyle w:val="Hyperlink"/>
                    <w:noProof/>
                    <w14:scene3d>
                      <w14:camera w14:prst="orthographicFront"/>
                      <w14:lightRig w14:rig="threePt" w14:dir="t">
                        <w14:rot w14:lat="0" w14:lon="0" w14:rev="0"/>
                      </w14:lightRig>
                    </w14:scene3d>
                  </w:rPr>
                  <w:t>3.8.1</w:t>
                </w:r>
                <w:r w:rsidR="00350652">
                  <w:rPr>
                    <w:rFonts w:eastAsiaTheme="minorEastAsia" w:cstheme="minorBidi"/>
                    <w:noProof/>
                    <w:sz w:val="22"/>
                    <w:szCs w:val="22"/>
                  </w:rPr>
                  <w:tab/>
                </w:r>
                <w:r w:rsidR="00350652" w:rsidRPr="00D475B4">
                  <w:rPr>
                    <w:rStyle w:val="Hyperlink"/>
                    <w:noProof/>
                  </w:rPr>
                  <w:t>Engaging with Customers</w:t>
                </w:r>
                <w:r w:rsidR="00350652">
                  <w:rPr>
                    <w:noProof/>
                    <w:webHidden/>
                  </w:rPr>
                  <w:tab/>
                </w:r>
                <w:r w:rsidR="00350652">
                  <w:rPr>
                    <w:noProof/>
                    <w:webHidden/>
                  </w:rPr>
                  <w:fldChar w:fldCharType="begin"/>
                </w:r>
                <w:r w:rsidR="00350652">
                  <w:rPr>
                    <w:noProof/>
                    <w:webHidden/>
                  </w:rPr>
                  <w:instrText xml:space="preserve"> PAGEREF _Toc523651259 \h </w:instrText>
                </w:r>
                <w:r w:rsidR="00350652">
                  <w:rPr>
                    <w:noProof/>
                    <w:webHidden/>
                  </w:rPr>
                </w:r>
                <w:r w:rsidR="00350652">
                  <w:rPr>
                    <w:noProof/>
                    <w:webHidden/>
                  </w:rPr>
                  <w:fldChar w:fldCharType="separate"/>
                </w:r>
                <w:r w:rsidR="00EE7276">
                  <w:rPr>
                    <w:noProof/>
                    <w:webHidden/>
                  </w:rPr>
                  <w:t>55</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60" w:history="1">
                <w:r w:rsidR="00350652" w:rsidRPr="00D475B4">
                  <w:rPr>
                    <w:rStyle w:val="Hyperlink"/>
                    <w:noProof/>
                    <w14:scene3d>
                      <w14:camera w14:prst="orthographicFront"/>
                      <w14:lightRig w14:rig="threePt" w14:dir="t">
                        <w14:rot w14:lat="0" w14:lon="0" w14:rev="0"/>
                      </w14:lightRig>
                    </w14:scene3d>
                  </w:rPr>
                  <w:t>3.8.2</w:t>
                </w:r>
                <w:r w:rsidR="00350652">
                  <w:rPr>
                    <w:rFonts w:eastAsiaTheme="minorEastAsia" w:cstheme="minorBidi"/>
                    <w:noProof/>
                    <w:sz w:val="22"/>
                    <w:szCs w:val="22"/>
                  </w:rPr>
                  <w:tab/>
                </w:r>
                <w:r w:rsidR="00350652" w:rsidRPr="00D475B4">
                  <w:rPr>
                    <w:rStyle w:val="Hyperlink"/>
                    <w:noProof/>
                  </w:rPr>
                  <w:t>Delivering the Outcome</w:t>
                </w:r>
                <w:r w:rsidR="00350652">
                  <w:rPr>
                    <w:noProof/>
                    <w:webHidden/>
                  </w:rPr>
                  <w:tab/>
                </w:r>
                <w:r w:rsidR="00350652">
                  <w:rPr>
                    <w:noProof/>
                    <w:webHidden/>
                  </w:rPr>
                  <w:fldChar w:fldCharType="begin"/>
                </w:r>
                <w:r w:rsidR="00350652">
                  <w:rPr>
                    <w:noProof/>
                    <w:webHidden/>
                  </w:rPr>
                  <w:instrText xml:space="preserve"> PAGEREF _Toc523651260 \h </w:instrText>
                </w:r>
                <w:r w:rsidR="00350652">
                  <w:rPr>
                    <w:noProof/>
                    <w:webHidden/>
                  </w:rPr>
                </w:r>
                <w:r w:rsidR="00350652">
                  <w:rPr>
                    <w:noProof/>
                    <w:webHidden/>
                  </w:rPr>
                  <w:fldChar w:fldCharType="separate"/>
                </w:r>
                <w:r w:rsidR="00EE7276">
                  <w:rPr>
                    <w:noProof/>
                    <w:webHidden/>
                  </w:rPr>
                  <w:t>57</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61" w:history="1">
                <w:r w:rsidR="00350652" w:rsidRPr="00D475B4">
                  <w:rPr>
                    <w:rStyle w:val="Hyperlink"/>
                    <w:rFonts w:eastAsia="Times"/>
                    <w:noProof/>
                    <w14:scene3d>
                      <w14:camera w14:prst="orthographicFront"/>
                      <w14:lightRig w14:rig="threePt" w14:dir="t">
                        <w14:rot w14:lat="0" w14:lon="0" w14:rev="0"/>
                      </w14:lightRig>
                    </w14:scene3d>
                  </w:rPr>
                  <w:t>3.8.3</w:t>
                </w:r>
                <w:r w:rsidR="00350652">
                  <w:rPr>
                    <w:rFonts w:eastAsiaTheme="minorEastAsia" w:cstheme="minorBidi"/>
                    <w:noProof/>
                    <w:sz w:val="22"/>
                    <w:szCs w:val="22"/>
                  </w:rPr>
                  <w:tab/>
                </w:r>
                <w:r w:rsidR="00350652" w:rsidRPr="00D475B4">
                  <w:rPr>
                    <w:rStyle w:val="Hyperlink"/>
                    <w:rFonts w:eastAsia="Times"/>
                    <w:noProof/>
                  </w:rPr>
                  <w:t>Securing Long Term Resilience</w:t>
                </w:r>
                <w:r w:rsidR="00350652">
                  <w:rPr>
                    <w:noProof/>
                    <w:webHidden/>
                  </w:rPr>
                  <w:tab/>
                </w:r>
                <w:r w:rsidR="00350652">
                  <w:rPr>
                    <w:noProof/>
                    <w:webHidden/>
                  </w:rPr>
                  <w:fldChar w:fldCharType="begin"/>
                </w:r>
                <w:r w:rsidR="00350652">
                  <w:rPr>
                    <w:noProof/>
                    <w:webHidden/>
                  </w:rPr>
                  <w:instrText xml:space="preserve"> PAGEREF _Toc523651261 \h </w:instrText>
                </w:r>
                <w:r w:rsidR="00350652">
                  <w:rPr>
                    <w:noProof/>
                    <w:webHidden/>
                  </w:rPr>
                </w:r>
                <w:r w:rsidR="00350652">
                  <w:rPr>
                    <w:noProof/>
                    <w:webHidden/>
                  </w:rPr>
                  <w:fldChar w:fldCharType="separate"/>
                </w:r>
                <w:r w:rsidR="00EE7276">
                  <w:rPr>
                    <w:noProof/>
                    <w:webHidden/>
                  </w:rPr>
                  <w:t>61</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62" w:history="1">
                <w:r w:rsidR="00350652" w:rsidRPr="00D475B4">
                  <w:rPr>
                    <w:rStyle w:val="Hyperlink"/>
                    <w:noProof/>
                  </w:rPr>
                  <w:t>3.9</w:t>
                </w:r>
                <w:r w:rsidR="00350652">
                  <w:rPr>
                    <w:rFonts w:eastAsiaTheme="minorEastAsia" w:cstheme="minorBidi"/>
                    <w:b w:val="0"/>
                    <w:bCs w:val="0"/>
                    <w:noProof/>
                    <w:sz w:val="22"/>
                    <w:szCs w:val="22"/>
                  </w:rPr>
                  <w:tab/>
                </w:r>
                <w:r w:rsidR="00350652" w:rsidRPr="00D475B4">
                  <w:rPr>
                    <w:rStyle w:val="Hyperlink"/>
                    <w:noProof/>
                  </w:rPr>
                  <w:t>A service tailored to individual needs at a long term affordable price</w:t>
                </w:r>
                <w:r w:rsidR="00350652">
                  <w:rPr>
                    <w:noProof/>
                    <w:webHidden/>
                  </w:rPr>
                  <w:tab/>
                </w:r>
                <w:r w:rsidR="00350652">
                  <w:rPr>
                    <w:noProof/>
                    <w:webHidden/>
                  </w:rPr>
                  <w:fldChar w:fldCharType="begin"/>
                </w:r>
                <w:r w:rsidR="00350652">
                  <w:rPr>
                    <w:noProof/>
                    <w:webHidden/>
                  </w:rPr>
                  <w:instrText xml:space="preserve"> PAGEREF _Toc523651262 \h </w:instrText>
                </w:r>
                <w:r w:rsidR="00350652">
                  <w:rPr>
                    <w:noProof/>
                    <w:webHidden/>
                  </w:rPr>
                </w:r>
                <w:r w:rsidR="00350652">
                  <w:rPr>
                    <w:noProof/>
                    <w:webHidden/>
                  </w:rPr>
                  <w:fldChar w:fldCharType="separate"/>
                </w:r>
                <w:r w:rsidR="00EE7276">
                  <w:rPr>
                    <w:noProof/>
                    <w:webHidden/>
                  </w:rPr>
                  <w:t>62</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63" w:history="1">
                <w:r w:rsidR="00350652" w:rsidRPr="00D475B4">
                  <w:rPr>
                    <w:rStyle w:val="Hyperlink"/>
                    <w:noProof/>
                    <w14:scene3d>
                      <w14:camera w14:prst="orthographicFront"/>
                      <w14:lightRig w14:rig="threePt" w14:dir="t">
                        <w14:rot w14:lat="0" w14:lon="0" w14:rev="0"/>
                      </w14:lightRig>
                    </w14:scene3d>
                  </w:rPr>
                  <w:t>3.9.1</w:t>
                </w:r>
                <w:r w:rsidR="00350652">
                  <w:rPr>
                    <w:rFonts w:eastAsiaTheme="minorEastAsia" w:cstheme="minorBidi"/>
                    <w:noProof/>
                    <w:sz w:val="22"/>
                    <w:szCs w:val="22"/>
                  </w:rPr>
                  <w:tab/>
                </w:r>
                <w:r w:rsidR="00350652" w:rsidRPr="00D475B4">
                  <w:rPr>
                    <w:rStyle w:val="Hyperlink"/>
                    <w:noProof/>
                  </w:rPr>
                  <w:t>Customer Insight and Triangulation relating to this outcome</w:t>
                </w:r>
                <w:r w:rsidR="00350652">
                  <w:rPr>
                    <w:noProof/>
                    <w:webHidden/>
                  </w:rPr>
                  <w:tab/>
                </w:r>
                <w:r w:rsidR="00350652">
                  <w:rPr>
                    <w:noProof/>
                    <w:webHidden/>
                  </w:rPr>
                  <w:fldChar w:fldCharType="begin"/>
                </w:r>
                <w:r w:rsidR="00350652">
                  <w:rPr>
                    <w:noProof/>
                    <w:webHidden/>
                  </w:rPr>
                  <w:instrText xml:space="preserve"> PAGEREF _Toc523651263 \h </w:instrText>
                </w:r>
                <w:r w:rsidR="00350652">
                  <w:rPr>
                    <w:noProof/>
                    <w:webHidden/>
                  </w:rPr>
                </w:r>
                <w:r w:rsidR="00350652">
                  <w:rPr>
                    <w:noProof/>
                    <w:webHidden/>
                  </w:rPr>
                  <w:fldChar w:fldCharType="separate"/>
                </w:r>
                <w:r w:rsidR="00EE7276">
                  <w:rPr>
                    <w:noProof/>
                    <w:webHidden/>
                  </w:rPr>
                  <w:t>64</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64" w:history="1">
                <w:r w:rsidR="00350652" w:rsidRPr="00D475B4">
                  <w:rPr>
                    <w:rStyle w:val="Hyperlink"/>
                    <w:noProof/>
                    <w14:scene3d>
                      <w14:camera w14:prst="orthographicFront"/>
                      <w14:lightRig w14:rig="threePt" w14:dir="t">
                        <w14:rot w14:lat="0" w14:lon="0" w14:rev="0"/>
                      </w14:lightRig>
                    </w14:scene3d>
                  </w:rPr>
                  <w:t>3.9.2</w:t>
                </w:r>
                <w:r w:rsidR="00350652">
                  <w:rPr>
                    <w:rFonts w:eastAsiaTheme="minorEastAsia" w:cstheme="minorBidi"/>
                    <w:noProof/>
                    <w:sz w:val="22"/>
                    <w:szCs w:val="22"/>
                  </w:rPr>
                  <w:tab/>
                </w:r>
                <w:r w:rsidR="00350652" w:rsidRPr="00D475B4">
                  <w:rPr>
                    <w:rStyle w:val="Hyperlink"/>
                    <w:noProof/>
                  </w:rPr>
                  <w:t>Delivering the Outcome</w:t>
                </w:r>
                <w:r w:rsidR="00350652">
                  <w:rPr>
                    <w:noProof/>
                    <w:webHidden/>
                  </w:rPr>
                  <w:tab/>
                </w:r>
                <w:r w:rsidR="00350652">
                  <w:rPr>
                    <w:noProof/>
                    <w:webHidden/>
                  </w:rPr>
                  <w:fldChar w:fldCharType="begin"/>
                </w:r>
                <w:r w:rsidR="00350652">
                  <w:rPr>
                    <w:noProof/>
                    <w:webHidden/>
                  </w:rPr>
                  <w:instrText xml:space="preserve"> PAGEREF _Toc523651264 \h </w:instrText>
                </w:r>
                <w:r w:rsidR="00350652">
                  <w:rPr>
                    <w:noProof/>
                    <w:webHidden/>
                  </w:rPr>
                </w:r>
                <w:r w:rsidR="00350652">
                  <w:rPr>
                    <w:noProof/>
                    <w:webHidden/>
                  </w:rPr>
                  <w:fldChar w:fldCharType="separate"/>
                </w:r>
                <w:r w:rsidR="00EE7276">
                  <w:rPr>
                    <w:noProof/>
                    <w:webHidden/>
                  </w:rPr>
                  <w:t>66</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265" w:history="1">
                <w:r w:rsidR="00350652" w:rsidRPr="00D475B4">
                  <w:rPr>
                    <w:rStyle w:val="Hyperlink"/>
                    <w:noProof/>
                  </w:rPr>
                  <w:t>3.10</w:t>
                </w:r>
                <w:r w:rsidR="00350652">
                  <w:rPr>
                    <w:rFonts w:eastAsiaTheme="minorEastAsia" w:cstheme="minorBidi"/>
                    <w:b w:val="0"/>
                    <w:bCs w:val="0"/>
                    <w:noProof/>
                    <w:sz w:val="22"/>
                    <w:szCs w:val="22"/>
                  </w:rPr>
                  <w:tab/>
                </w:r>
                <w:r w:rsidR="00350652" w:rsidRPr="00D475B4">
                  <w:rPr>
                    <w:rStyle w:val="Hyperlink"/>
                    <w:noProof/>
                  </w:rPr>
                  <w:t>An improved environment, supporting biodiversity</w:t>
                </w:r>
                <w:r w:rsidR="00350652">
                  <w:rPr>
                    <w:noProof/>
                    <w:webHidden/>
                  </w:rPr>
                  <w:tab/>
                </w:r>
                <w:r w:rsidR="00350652">
                  <w:rPr>
                    <w:noProof/>
                    <w:webHidden/>
                  </w:rPr>
                  <w:fldChar w:fldCharType="begin"/>
                </w:r>
                <w:r w:rsidR="00350652">
                  <w:rPr>
                    <w:noProof/>
                    <w:webHidden/>
                  </w:rPr>
                  <w:instrText xml:space="preserve"> PAGEREF _Toc523651265 \h </w:instrText>
                </w:r>
                <w:r w:rsidR="00350652">
                  <w:rPr>
                    <w:noProof/>
                    <w:webHidden/>
                  </w:rPr>
                </w:r>
                <w:r w:rsidR="00350652">
                  <w:rPr>
                    <w:noProof/>
                    <w:webHidden/>
                  </w:rPr>
                  <w:fldChar w:fldCharType="separate"/>
                </w:r>
                <w:r w:rsidR="00EE7276">
                  <w:rPr>
                    <w:noProof/>
                    <w:webHidden/>
                  </w:rPr>
                  <w:t>70</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266" w:history="1">
                <w:r w:rsidR="00350652" w:rsidRPr="00D475B4">
                  <w:rPr>
                    <w:rStyle w:val="Hyperlink"/>
                    <w:noProof/>
                    <w14:scene3d>
                      <w14:camera w14:prst="orthographicFront"/>
                      <w14:lightRig w14:rig="threePt" w14:dir="t">
                        <w14:rot w14:lat="0" w14:lon="0" w14:rev="0"/>
                      </w14:lightRig>
                    </w14:scene3d>
                  </w:rPr>
                  <w:t>3.10.1</w:t>
                </w:r>
                <w:r w:rsidR="00350652">
                  <w:rPr>
                    <w:rFonts w:eastAsiaTheme="minorEastAsia" w:cstheme="minorBidi"/>
                    <w:noProof/>
                    <w:sz w:val="22"/>
                    <w:szCs w:val="22"/>
                  </w:rPr>
                  <w:tab/>
                </w:r>
                <w:r w:rsidR="00350652" w:rsidRPr="00D475B4">
                  <w:rPr>
                    <w:rStyle w:val="Hyperlink"/>
                    <w:noProof/>
                  </w:rPr>
                  <w:t>Engaging with Customers</w:t>
                </w:r>
                <w:r w:rsidR="00350652">
                  <w:rPr>
                    <w:noProof/>
                    <w:webHidden/>
                  </w:rPr>
                  <w:tab/>
                </w:r>
                <w:r w:rsidR="00350652">
                  <w:rPr>
                    <w:noProof/>
                    <w:webHidden/>
                  </w:rPr>
                  <w:fldChar w:fldCharType="begin"/>
                </w:r>
                <w:r w:rsidR="00350652">
                  <w:rPr>
                    <w:noProof/>
                    <w:webHidden/>
                  </w:rPr>
                  <w:instrText xml:space="preserve"> PAGEREF _Toc523651266 \h </w:instrText>
                </w:r>
                <w:r w:rsidR="00350652">
                  <w:rPr>
                    <w:noProof/>
                    <w:webHidden/>
                  </w:rPr>
                </w:r>
                <w:r w:rsidR="00350652">
                  <w:rPr>
                    <w:noProof/>
                    <w:webHidden/>
                  </w:rPr>
                  <w:fldChar w:fldCharType="separate"/>
                </w:r>
                <w:r w:rsidR="00EE7276">
                  <w:rPr>
                    <w:noProof/>
                    <w:webHidden/>
                  </w:rPr>
                  <w:t>70</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267" w:history="1">
                <w:r w:rsidR="00350652" w:rsidRPr="00D475B4">
                  <w:rPr>
                    <w:rStyle w:val="Hyperlink"/>
                    <w:noProof/>
                    <w14:scene3d>
                      <w14:camera w14:prst="orthographicFront"/>
                      <w14:lightRig w14:rig="threePt" w14:dir="t">
                        <w14:rot w14:lat="0" w14:lon="0" w14:rev="0"/>
                      </w14:lightRig>
                    </w14:scene3d>
                  </w:rPr>
                  <w:t>3.10.2</w:t>
                </w:r>
                <w:r w:rsidR="00350652">
                  <w:rPr>
                    <w:rFonts w:eastAsiaTheme="minorEastAsia" w:cstheme="minorBidi"/>
                    <w:noProof/>
                    <w:sz w:val="22"/>
                    <w:szCs w:val="22"/>
                  </w:rPr>
                  <w:tab/>
                </w:r>
                <w:r w:rsidR="00350652" w:rsidRPr="00D475B4">
                  <w:rPr>
                    <w:rStyle w:val="Hyperlink"/>
                    <w:noProof/>
                  </w:rPr>
                  <w:t>Delivering outcomes for customers</w:t>
                </w:r>
                <w:r w:rsidR="00350652">
                  <w:rPr>
                    <w:noProof/>
                    <w:webHidden/>
                  </w:rPr>
                  <w:tab/>
                </w:r>
                <w:r w:rsidR="00350652">
                  <w:rPr>
                    <w:noProof/>
                    <w:webHidden/>
                  </w:rPr>
                  <w:fldChar w:fldCharType="begin"/>
                </w:r>
                <w:r w:rsidR="00350652">
                  <w:rPr>
                    <w:noProof/>
                    <w:webHidden/>
                  </w:rPr>
                  <w:instrText xml:space="preserve"> PAGEREF _Toc523651267 \h </w:instrText>
                </w:r>
                <w:r w:rsidR="00350652">
                  <w:rPr>
                    <w:noProof/>
                    <w:webHidden/>
                  </w:rPr>
                </w:r>
                <w:r w:rsidR="00350652">
                  <w:rPr>
                    <w:noProof/>
                    <w:webHidden/>
                  </w:rPr>
                  <w:fldChar w:fldCharType="separate"/>
                </w:r>
                <w:r w:rsidR="00EE7276">
                  <w:rPr>
                    <w:noProof/>
                    <w:webHidden/>
                  </w:rPr>
                  <w:t>72</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268" w:history="1">
                <w:r w:rsidR="00350652" w:rsidRPr="00D475B4">
                  <w:rPr>
                    <w:rStyle w:val="Hyperlink"/>
                    <w:noProof/>
                    <w14:scene3d>
                      <w14:camera w14:prst="orthographicFront"/>
                      <w14:lightRig w14:rig="threePt" w14:dir="t">
                        <w14:rot w14:lat="0" w14:lon="0" w14:rev="0"/>
                      </w14:lightRig>
                    </w14:scene3d>
                  </w:rPr>
                  <w:t>3.10.3</w:t>
                </w:r>
                <w:r w:rsidR="00350652">
                  <w:rPr>
                    <w:rFonts w:eastAsiaTheme="minorEastAsia" w:cstheme="minorBidi"/>
                    <w:noProof/>
                    <w:sz w:val="22"/>
                    <w:szCs w:val="22"/>
                  </w:rPr>
                  <w:tab/>
                </w:r>
                <w:r w:rsidR="00350652" w:rsidRPr="00D475B4">
                  <w:rPr>
                    <w:rStyle w:val="Hyperlink"/>
                    <w:noProof/>
                  </w:rPr>
                  <w:t>Securing long term resilience</w:t>
                </w:r>
                <w:r w:rsidR="00350652">
                  <w:rPr>
                    <w:noProof/>
                    <w:webHidden/>
                  </w:rPr>
                  <w:tab/>
                </w:r>
                <w:r w:rsidR="00350652">
                  <w:rPr>
                    <w:noProof/>
                    <w:webHidden/>
                  </w:rPr>
                  <w:fldChar w:fldCharType="begin"/>
                </w:r>
                <w:r w:rsidR="00350652">
                  <w:rPr>
                    <w:noProof/>
                    <w:webHidden/>
                  </w:rPr>
                  <w:instrText xml:space="preserve"> PAGEREF _Toc523651268 \h </w:instrText>
                </w:r>
                <w:r w:rsidR="00350652">
                  <w:rPr>
                    <w:noProof/>
                    <w:webHidden/>
                  </w:rPr>
                </w:r>
                <w:r w:rsidR="00350652">
                  <w:rPr>
                    <w:noProof/>
                    <w:webHidden/>
                  </w:rPr>
                  <w:fldChar w:fldCharType="separate"/>
                </w:r>
                <w:r w:rsidR="00EE7276">
                  <w:rPr>
                    <w:noProof/>
                    <w:webHidden/>
                  </w:rPr>
                  <w:t>77</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269" w:history="1">
                <w:r w:rsidR="00350652" w:rsidRPr="00D475B4">
                  <w:rPr>
                    <w:rStyle w:val="Hyperlink"/>
                    <w:noProof/>
                  </w:rPr>
                  <w:t>3.11</w:t>
                </w:r>
                <w:r w:rsidR="00350652">
                  <w:rPr>
                    <w:rFonts w:eastAsiaTheme="minorEastAsia" w:cstheme="minorBidi"/>
                    <w:b w:val="0"/>
                    <w:bCs w:val="0"/>
                    <w:noProof/>
                    <w:sz w:val="22"/>
                    <w:szCs w:val="22"/>
                  </w:rPr>
                  <w:tab/>
                </w:r>
                <w:r w:rsidR="00350652" w:rsidRPr="00D475B4">
                  <w:rPr>
                    <w:rStyle w:val="Hyperlink"/>
                    <w:noProof/>
                  </w:rPr>
                  <w:t>Being recognised by the community as a good corporate citizen</w:t>
                </w:r>
                <w:r w:rsidR="00350652">
                  <w:rPr>
                    <w:noProof/>
                    <w:webHidden/>
                  </w:rPr>
                  <w:tab/>
                </w:r>
                <w:r w:rsidR="00350652">
                  <w:rPr>
                    <w:noProof/>
                    <w:webHidden/>
                  </w:rPr>
                  <w:fldChar w:fldCharType="begin"/>
                </w:r>
                <w:r w:rsidR="00350652">
                  <w:rPr>
                    <w:noProof/>
                    <w:webHidden/>
                  </w:rPr>
                  <w:instrText xml:space="preserve"> PAGEREF _Toc523651269 \h </w:instrText>
                </w:r>
                <w:r w:rsidR="00350652">
                  <w:rPr>
                    <w:noProof/>
                    <w:webHidden/>
                  </w:rPr>
                </w:r>
                <w:r w:rsidR="00350652">
                  <w:rPr>
                    <w:noProof/>
                    <w:webHidden/>
                  </w:rPr>
                  <w:fldChar w:fldCharType="separate"/>
                </w:r>
                <w:r w:rsidR="00EE7276">
                  <w:rPr>
                    <w:noProof/>
                    <w:webHidden/>
                  </w:rPr>
                  <w:t>79</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270" w:history="1">
                <w:r w:rsidR="00350652" w:rsidRPr="00D475B4">
                  <w:rPr>
                    <w:rStyle w:val="Hyperlink"/>
                    <w:noProof/>
                    <w14:scene3d>
                      <w14:camera w14:prst="orthographicFront"/>
                      <w14:lightRig w14:rig="threePt" w14:dir="t">
                        <w14:rot w14:lat="0" w14:lon="0" w14:rev="0"/>
                      </w14:lightRig>
                    </w14:scene3d>
                  </w:rPr>
                  <w:t>3.11.1</w:t>
                </w:r>
                <w:r w:rsidR="00350652">
                  <w:rPr>
                    <w:rFonts w:eastAsiaTheme="minorEastAsia" w:cstheme="minorBidi"/>
                    <w:noProof/>
                    <w:sz w:val="22"/>
                    <w:szCs w:val="22"/>
                  </w:rPr>
                  <w:tab/>
                </w:r>
                <w:r w:rsidR="00350652" w:rsidRPr="00D475B4">
                  <w:rPr>
                    <w:rStyle w:val="Hyperlink"/>
                    <w:noProof/>
                  </w:rPr>
                  <w:t>Engaging with Customers</w:t>
                </w:r>
                <w:r w:rsidR="00350652">
                  <w:rPr>
                    <w:noProof/>
                    <w:webHidden/>
                  </w:rPr>
                  <w:tab/>
                </w:r>
                <w:r w:rsidR="00350652">
                  <w:rPr>
                    <w:noProof/>
                    <w:webHidden/>
                  </w:rPr>
                  <w:fldChar w:fldCharType="begin"/>
                </w:r>
                <w:r w:rsidR="00350652">
                  <w:rPr>
                    <w:noProof/>
                    <w:webHidden/>
                  </w:rPr>
                  <w:instrText xml:space="preserve"> PAGEREF _Toc523651270 \h </w:instrText>
                </w:r>
                <w:r w:rsidR="00350652">
                  <w:rPr>
                    <w:noProof/>
                    <w:webHidden/>
                  </w:rPr>
                </w:r>
                <w:r w:rsidR="00350652">
                  <w:rPr>
                    <w:noProof/>
                    <w:webHidden/>
                  </w:rPr>
                  <w:fldChar w:fldCharType="separate"/>
                </w:r>
                <w:r w:rsidR="00EE7276">
                  <w:rPr>
                    <w:noProof/>
                    <w:webHidden/>
                  </w:rPr>
                  <w:t>79</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271" w:history="1">
                <w:r w:rsidR="00350652" w:rsidRPr="00D475B4">
                  <w:rPr>
                    <w:rStyle w:val="Hyperlink"/>
                    <w:noProof/>
                    <w14:scene3d>
                      <w14:camera w14:prst="orthographicFront"/>
                      <w14:lightRig w14:rig="threePt" w14:dir="t">
                        <w14:rot w14:lat="0" w14:lon="0" w14:rev="0"/>
                      </w14:lightRig>
                    </w14:scene3d>
                  </w:rPr>
                  <w:t>3.11.2</w:t>
                </w:r>
                <w:r w:rsidR="00350652">
                  <w:rPr>
                    <w:rFonts w:eastAsiaTheme="minorEastAsia" w:cstheme="minorBidi"/>
                    <w:noProof/>
                    <w:sz w:val="22"/>
                    <w:szCs w:val="22"/>
                  </w:rPr>
                  <w:tab/>
                </w:r>
                <w:r w:rsidR="00350652" w:rsidRPr="00D475B4">
                  <w:rPr>
                    <w:rStyle w:val="Hyperlink"/>
                    <w:noProof/>
                  </w:rPr>
                  <w:t>Delivering Outcomes for Customers</w:t>
                </w:r>
                <w:r w:rsidR="00350652">
                  <w:rPr>
                    <w:noProof/>
                    <w:webHidden/>
                  </w:rPr>
                  <w:tab/>
                </w:r>
                <w:r w:rsidR="00350652">
                  <w:rPr>
                    <w:noProof/>
                    <w:webHidden/>
                  </w:rPr>
                  <w:fldChar w:fldCharType="begin"/>
                </w:r>
                <w:r w:rsidR="00350652">
                  <w:rPr>
                    <w:noProof/>
                    <w:webHidden/>
                  </w:rPr>
                  <w:instrText xml:space="preserve"> PAGEREF _Toc523651271 \h </w:instrText>
                </w:r>
                <w:r w:rsidR="00350652">
                  <w:rPr>
                    <w:noProof/>
                    <w:webHidden/>
                  </w:rPr>
                </w:r>
                <w:r w:rsidR="00350652">
                  <w:rPr>
                    <w:noProof/>
                    <w:webHidden/>
                  </w:rPr>
                  <w:fldChar w:fldCharType="separate"/>
                </w:r>
                <w:r w:rsidR="00EE7276">
                  <w:rPr>
                    <w:noProof/>
                    <w:webHidden/>
                  </w:rPr>
                  <w:t>80</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272" w:history="1">
                <w:r w:rsidR="00350652" w:rsidRPr="00D475B4">
                  <w:rPr>
                    <w:rStyle w:val="Hyperlink"/>
                    <w:noProof/>
                  </w:rPr>
                  <w:t>3.12</w:t>
                </w:r>
                <w:r w:rsidR="00350652">
                  <w:rPr>
                    <w:rFonts w:eastAsiaTheme="minorEastAsia" w:cstheme="minorBidi"/>
                    <w:b w:val="0"/>
                    <w:bCs w:val="0"/>
                    <w:noProof/>
                    <w:sz w:val="22"/>
                    <w:szCs w:val="22"/>
                  </w:rPr>
                  <w:tab/>
                </w:r>
                <w:r w:rsidR="00350652" w:rsidRPr="00D475B4">
                  <w:rPr>
                    <w:rStyle w:val="Hyperlink"/>
                    <w:noProof/>
                  </w:rPr>
                  <w:t>Recognised by stakeholders as having a culture of Health and Safety</w:t>
                </w:r>
                <w:r w:rsidR="00350652">
                  <w:rPr>
                    <w:noProof/>
                    <w:webHidden/>
                  </w:rPr>
                  <w:tab/>
                </w:r>
                <w:r w:rsidR="00350652">
                  <w:rPr>
                    <w:noProof/>
                    <w:webHidden/>
                  </w:rPr>
                  <w:fldChar w:fldCharType="begin"/>
                </w:r>
                <w:r w:rsidR="00350652">
                  <w:rPr>
                    <w:noProof/>
                    <w:webHidden/>
                  </w:rPr>
                  <w:instrText xml:space="preserve"> PAGEREF _Toc523651272 \h </w:instrText>
                </w:r>
                <w:r w:rsidR="00350652">
                  <w:rPr>
                    <w:noProof/>
                    <w:webHidden/>
                  </w:rPr>
                </w:r>
                <w:r w:rsidR="00350652">
                  <w:rPr>
                    <w:noProof/>
                    <w:webHidden/>
                  </w:rPr>
                  <w:fldChar w:fldCharType="separate"/>
                </w:r>
                <w:r w:rsidR="00EE7276">
                  <w:rPr>
                    <w:noProof/>
                    <w:webHidden/>
                  </w:rPr>
                  <w:t>85</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273" w:history="1">
                <w:r w:rsidR="00350652" w:rsidRPr="00D475B4">
                  <w:rPr>
                    <w:rStyle w:val="Hyperlink"/>
                    <w:noProof/>
                    <w14:scene3d>
                      <w14:camera w14:prst="orthographicFront"/>
                      <w14:lightRig w14:rig="threePt" w14:dir="t">
                        <w14:rot w14:lat="0" w14:lon="0" w14:rev="0"/>
                      </w14:lightRig>
                    </w14:scene3d>
                  </w:rPr>
                  <w:t>3.12.1</w:t>
                </w:r>
                <w:r w:rsidR="00350652">
                  <w:rPr>
                    <w:rFonts w:eastAsiaTheme="minorEastAsia" w:cstheme="minorBidi"/>
                    <w:noProof/>
                    <w:sz w:val="22"/>
                    <w:szCs w:val="22"/>
                  </w:rPr>
                  <w:tab/>
                </w:r>
                <w:r w:rsidR="00350652" w:rsidRPr="00D475B4">
                  <w:rPr>
                    <w:rStyle w:val="Hyperlink"/>
                    <w:noProof/>
                  </w:rPr>
                  <w:t>Engaging with Customers</w:t>
                </w:r>
                <w:r w:rsidR="00350652">
                  <w:rPr>
                    <w:noProof/>
                    <w:webHidden/>
                  </w:rPr>
                  <w:tab/>
                </w:r>
                <w:r w:rsidR="00350652">
                  <w:rPr>
                    <w:noProof/>
                    <w:webHidden/>
                  </w:rPr>
                  <w:fldChar w:fldCharType="begin"/>
                </w:r>
                <w:r w:rsidR="00350652">
                  <w:rPr>
                    <w:noProof/>
                    <w:webHidden/>
                  </w:rPr>
                  <w:instrText xml:space="preserve"> PAGEREF _Toc523651273 \h </w:instrText>
                </w:r>
                <w:r w:rsidR="00350652">
                  <w:rPr>
                    <w:noProof/>
                    <w:webHidden/>
                  </w:rPr>
                </w:r>
                <w:r w:rsidR="00350652">
                  <w:rPr>
                    <w:noProof/>
                    <w:webHidden/>
                  </w:rPr>
                  <w:fldChar w:fldCharType="separate"/>
                </w:r>
                <w:r w:rsidR="00EE7276">
                  <w:rPr>
                    <w:noProof/>
                    <w:webHidden/>
                  </w:rPr>
                  <w:t>85</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274" w:history="1">
                <w:r w:rsidR="00350652" w:rsidRPr="00D475B4">
                  <w:rPr>
                    <w:rStyle w:val="Hyperlink"/>
                    <w:noProof/>
                    <w14:scene3d>
                      <w14:camera w14:prst="orthographicFront"/>
                      <w14:lightRig w14:rig="threePt" w14:dir="t">
                        <w14:rot w14:lat="0" w14:lon="0" w14:rev="0"/>
                      </w14:lightRig>
                    </w14:scene3d>
                  </w:rPr>
                  <w:t>3.12.2</w:t>
                </w:r>
                <w:r w:rsidR="00350652">
                  <w:rPr>
                    <w:rFonts w:eastAsiaTheme="minorEastAsia" w:cstheme="minorBidi"/>
                    <w:noProof/>
                    <w:sz w:val="22"/>
                    <w:szCs w:val="22"/>
                  </w:rPr>
                  <w:tab/>
                </w:r>
                <w:r w:rsidR="00350652" w:rsidRPr="00D475B4">
                  <w:rPr>
                    <w:rStyle w:val="Hyperlink"/>
                    <w:noProof/>
                  </w:rPr>
                  <w:t>Delivering Outcomes for Customers</w:t>
                </w:r>
                <w:r w:rsidR="00350652">
                  <w:rPr>
                    <w:noProof/>
                    <w:webHidden/>
                  </w:rPr>
                  <w:tab/>
                </w:r>
                <w:r w:rsidR="00350652">
                  <w:rPr>
                    <w:noProof/>
                    <w:webHidden/>
                  </w:rPr>
                  <w:fldChar w:fldCharType="begin"/>
                </w:r>
                <w:r w:rsidR="00350652">
                  <w:rPr>
                    <w:noProof/>
                    <w:webHidden/>
                  </w:rPr>
                  <w:instrText xml:space="preserve"> PAGEREF _Toc523651274 \h </w:instrText>
                </w:r>
                <w:r w:rsidR="00350652">
                  <w:rPr>
                    <w:noProof/>
                    <w:webHidden/>
                  </w:rPr>
                </w:r>
                <w:r w:rsidR="00350652">
                  <w:rPr>
                    <w:noProof/>
                    <w:webHidden/>
                  </w:rPr>
                  <w:fldChar w:fldCharType="separate"/>
                </w:r>
                <w:r w:rsidR="00EE7276">
                  <w:rPr>
                    <w:noProof/>
                    <w:webHidden/>
                  </w:rPr>
                  <w:t>85</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275" w:history="1">
                <w:r w:rsidR="00350652" w:rsidRPr="00D475B4">
                  <w:rPr>
                    <w:rStyle w:val="Hyperlink"/>
                    <w:noProof/>
                  </w:rPr>
                  <w:t>3.13</w:t>
                </w:r>
                <w:r w:rsidR="00350652">
                  <w:rPr>
                    <w:rFonts w:eastAsiaTheme="minorEastAsia" w:cstheme="minorBidi"/>
                    <w:b w:val="0"/>
                    <w:bCs w:val="0"/>
                    <w:noProof/>
                    <w:sz w:val="22"/>
                    <w:szCs w:val="22"/>
                  </w:rPr>
                  <w:tab/>
                </w:r>
                <w:r w:rsidR="00350652" w:rsidRPr="00D475B4">
                  <w:rPr>
                    <w:rStyle w:val="Hyperlink"/>
                    <w:noProof/>
                  </w:rPr>
                  <w:t>Delivering Statutory Responsibilities</w:t>
                </w:r>
                <w:r w:rsidR="00350652">
                  <w:rPr>
                    <w:noProof/>
                    <w:webHidden/>
                  </w:rPr>
                  <w:tab/>
                </w:r>
                <w:r w:rsidR="00350652">
                  <w:rPr>
                    <w:noProof/>
                    <w:webHidden/>
                  </w:rPr>
                  <w:fldChar w:fldCharType="begin"/>
                </w:r>
                <w:r w:rsidR="00350652">
                  <w:rPr>
                    <w:noProof/>
                    <w:webHidden/>
                  </w:rPr>
                  <w:instrText xml:space="preserve"> PAGEREF _Toc523651275 \h </w:instrText>
                </w:r>
                <w:r w:rsidR="00350652">
                  <w:rPr>
                    <w:noProof/>
                    <w:webHidden/>
                  </w:rPr>
                </w:r>
                <w:r w:rsidR="00350652">
                  <w:rPr>
                    <w:noProof/>
                    <w:webHidden/>
                  </w:rPr>
                  <w:fldChar w:fldCharType="separate"/>
                </w:r>
                <w:r w:rsidR="00EE7276">
                  <w:rPr>
                    <w:noProof/>
                    <w:webHidden/>
                  </w:rPr>
                  <w:t>86</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276" w:history="1">
                <w:r w:rsidR="00350652" w:rsidRPr="00D475B4">
                  <w:rPr>
                    <w:rStyle w:val="Hyperlink"/>
                    <w:noProof/>
                  </w:rPr>
                  <w:t>4</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great customer service</w:t>
                </w:r>
                <w:r w:rsidR="00350652">
                  <w:rPr>
                    <w:noProof/>
                    <w:webHidden/>
                  </w:rPr>
                  <w:tab/>
                </w:r>
                <w:r w:rsidR="00350652">
                  <w:rPr>
                    <w:noProof/>
                    <w:webHidden/>
                  </w:rPr>
                  <w:fldChar w:fldCharType="begin"/>
                </w:r>
                <w:r w:rsidR="00350652">
                  <w:rPr>
                    <w:noProof/>
                    <w:webHidden/>
                  </w:rPr>
                  <w:instrText xml:space="preserve"> PAGEREF _Toc523651276 \h </w:instrText>
                </w:r>
                <w:r w:rsidR="00350652">
                  <w:rPr>
                    <w:noProof/>
                    <w:webHidden/>
                  </w:rPr>
                </w:r>
                <w:r w:rsidR="00350652">
                  <w:rPr>
                    <w:noProof/>
                    <w:webHidden/>
                  </w:rPr>
                  <w:fldChar w:fldCharType="separate"/>
                </w:r>
                <w:r w:rsidR="00EE7276">
                  <w:rPr>
                    <w:noProof/>
                    <w:webHidden/>
                  </w:rPr>
                  <w:t>91</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77" w:history="1">
                <w:r w:rsidR="00350652" w:rsidRPr="00D475B4">
                  <w:rPr>
                    <w:rStyle w:val="Hyperlink"/>
                    <w:noProof/>
                  </w:rPr>
                  <w:t>4.1</w:t>
                </w:r>
                <w:r w:rsidR="00350652">
                  <w:rPr>
                    <w:rFonts w:eastAsiaTheme="minorEastAsia" w:cstheme="minorBidi"/>
                    <w:b w:val="0"/>
                    <w:bCs w:val="0"/>
                    <w:noProof/>
                    <w:sz w:val="22"/>
                    <w:szCs w:val="22"/>
                  </w:rPr>
                  <w:tab/>
                </w:r>
                <w:r w:rsidR="00350652" w:rsidRPr="00D475B4">
                  <w:rPr>
                    <w:rStyle w:val="Hyperlink"/>
                    <w:noProof/>
                  </w:rPr>
                  <w:t>Customer Service Overview</w:t>
                </w:r>
                <w:r w:rsidR="00350652">
                  <w:rPr>
                    <w:noProof/>
                    <w:webHidden/>
                  </w:rPr>
                  <w:tab/>
                </w:r>
                <w:r w:rsidR="00350652">
                  <w:rPr>
                    <w:noProof/>
                    <w:webHidden/>
                  </w:rPr>
                  <w:fldChar w:fldCharType="begin"/>
                </w:r>
                <w:r w:rsidR="00350652">
                  <w:rPr>
                    <w:noProof/>
                    <w:webHidden/>
                  </w:rPr>
                  <w:instrText xml:space="preserve"> PAGEREF _Toc523651277 \h </w:instrText>
                </w:r>
                <w:r w:rsidR="00350652">
                  <w:rPr>
                    <w:noProof/>
                    <w:webHidden/>
                  </w:rPr>
                </w:r>
                <w:r w:rsidR="00350652">
                  <w:rPr>
                    <w:noProof/>
                    <w:webHidden/>
                  </w:rPr>
                  <w:fldChar w:fldCharType="separate"/>
                </w:r>
                <w:r w:rsidR="00EE7276">
                  <w:rPr>
                    <w:noProof/>
                    <w:webHidden/>
                  </w:rPr>
                  <w:t>91</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78" w:history="1">
                <w:r w:rsidR="00350652" w:rsidRPr="00D475B4">
                  <w:rPr>
                    <w:rStyle w:val="Hyperlink"/>
                    <w:noProof/>
                    <w14:scene3d>
                      <w14:camera w14:prst="orthographicFront"/>
                      <w14:lightRig w14:rig="threePt" w14:dir="t">
                        <w14:rot w14:lat="0" w14:lon="0" w14:rev="0"/>
                      </w14:lightRig>
                    </w14:scene3d>
                  </w:rPr>
                  <w:t>4.1.1</w:t>
                </w:r>
                <w:r w:rsidR="00350652">
                  <w:rPr>
                    <w:rFonts w:eastAsiaTheme="minorEastAsia" w:cstheme="minorBidi"/>
                    <w:noProof/>
                    <w:sz w:val="22"/>
                    <w:szCs w:val="22"/>
                  </w:rPr>
                  <w:tab/>
                </w:r>
                <w:r w:rsidR="00350652" w:rsidRPr="00D475B4">
                  <w:rPr>
                    <w:rStyle w:val="Hyperlink"/>
                    <w:noProof/>
                  </w:rPr>
                  <w:t>How will our plan deliver great customer service – the key questions and answers?</w:t>
                </w:r>
                <w:r w:rsidR="00350652">
                  <w:rPr>
                    <w:noProof/>
                    <w:webHidden/>
                  </w:rPr>
                  <w:tab/>
                </w:r>
                <w:r w:rsidR="00350652">
                  <w:rPr>
                    <w:noProof/>
                    <w:webHidden/>
                  </w:rPr>
                  <w:fldChar w:fldCharType="begin"/>
                </w:r>
                <w:r w:rsidR="00350652">
                  <w:rPr>
                    <w:noProof/>
                    <w:webHidden/>
                  </w:rPr>
                  <w:instrText xml:space="preserve"> PAGEREF _Toc523651278 \h </w:instrText>
                </w:r>
                <w:r w:rsidR="00350652">
                  <w:rPr>
                    <w:noProof/>
                    <w:webHidden/>
                  </w:rPr>
                </w:r>
                <w:r w:rsidR="00350652">
                  <w:rPr>
                    <w:noProof/>
                    <w:webHidden/>
                  </w:rPr>
                  <w:fldChar w:fldCharType="separate"/>
                </w:r>
                <w:r w:rsidR="00EE7276">
                  <w:rPr>
                    <w:noProof/>
                    <w:webHidden/>
                  </w:rPr>
                  <w:t>91</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79" w:history="1">
                <w:r w:rsidR="00350652" w:rsidRPr="00D475B4">
                  <w:rPr>
                    <w:rStyle w:val="Hyperlink"/>
                    <w:noProof/>
                    <w14:scene3d>
                      <w14:camera w14:prst="orthographicFront"/>
                      <w14:lightRig w14:rig="threePt" w14:dir="t">
                        <w14:rot w14:lat="0" w14:lon="0" w14:rev="0"/>
                      </w14:lightRig>
                    </w14:scene3d>
                  </w:rPr>
                  <w:t>4.1.2</w:t>
                </w:r>
                <w:r w:rsidR="00350652">
                  <w:rPr>
                    <w:rFonts w:eastAsiaTheme="minorEastAsia" w:cstheme="minorBidi"/>
                    <w:noProof/>
                    <w:sz w:val="22"/>
                    <w:szCs w:val="22"/>
                  </w:rPr>
                  <w:tab/>
                </w:r>
                <w:r w:rsidR="00350652" w:rsidRPr="00D475B4">
                  <w:rPr>
                    <w:rStyle w:val="Hyperlink"/>
                    <w:noProof/>
                  </w:rPr>
                  <w:t>How well do we help those at times of vulnerability?</w:t>
                </w:r>
                <w:r w:rsidR="00350652">
                  <w:rPr>
                    <w:noProof/>
                    <w:webHidden/>
                  </w:rPr>
                  <w:tab/>
                </w:r>
                <w:r w:rsidR="00350652">
                  <w:rPr>
                    <w:noProof/>
                    <w:webHidden/>
                  </w:rPr>
                  <w:fldChar w:fldCharType="begin"/>
                </w:r>
                <w:r w:rsidR="00350652">
                  <w:rPr>
                    <w:noProof/>
                    <w:webHidden/>
                  </w:rPr>
                  <w:instrText xml:space="preserve"> PAGEREF _Toc523651279 \h </w:instrText>
                </w:r>
                <w:r w:rsidR="00350652">
                  <w:rPr>
                    <w:noProof/>
                    <w:webHidden/>
                  </w:rPr>
                </w:r>
                <w:r w:rsidR="00350652">
                  <w:rPr>
                    <w:noProof/>
                    <w:webHidden/>
                  </w:rPr>
                  <w:fldChar w:fldCharType="separate"/>
                </w:r>
                <w:r w:rsidR="00EE7276">
                  <w:rPr>
                    <w:noProof/>
                    <w:webHidden/>
                  </w:rPr>
                  <w:t>93</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80" w:history="1">
                <w:r w:rsidR="00350652" w:rsidRPr="00D475B4">
                  <w:rPr>
                    <w:rStyle w:val="Hyperlink"/>
                    <w:noProof/>
                    <w14:scene3d>
                      <w14:camera w14:prst="orthographicFront"/>
                      <w14:lightRig w14:rig="threePt" w14:dir="t">
                        <w14:rot w14:lat="0" w14:lon="0" w14:rev="0"/>
                      </w14:lightRig>
                    </w14:scene3d>
                  </w:rPr>
                  <w:t>4.1.3</w:t>
                </w:r>
                <w:r w:rsidR="00350652">
                  <w:rPr>
                    <w:rFonts w:eastAsiaTheme="minorEastAsia" w:cstheme="minorBidi"/>
                    <w:noProof/>
                    <w:sz w:val="22"/>
                    <w:szCs w:val="22"/>
                  </w:rPr>
                  <w:tab/>
                </w:r>
                <w:r w:rsidR="00350652" w:rsidRPr="00D475B4">
                  <w:rPr>
                    <w:rStyle w:val="Hyperlink"/>
                    <w:noProof/>
                  </w:rPr>
                  <w:t>How do we serve Developers?</w:t>
                </w:r>
                <w:r w:rsidR="00350652">
                  <w:rPr>
                    <w:noProof/>
                    <w:webHidden/>
                  </w:rPr>
                  <w:tab/>
                </w:r>
                <w:r w:rsidR="00350652">
                  <w:rPr>
                    <w:noProof/>
                    <w:webHidden/>
                  </w:rPr>
                  <w:fldChar w:fldCharType="begin"/>
                </w:r>
                <w:r w:rsidR="00350652">
                  <w:rPr>
                    <w:noProof/>
                    <w:webHidden/>
                  </w:rPr>
                  <w:instrText xml:space="preserve"> PAGEREF _Toc523651280 \h </w:instrText>
                </w:r>
                <w:r w:rsidR="00350652">
                  <w:rPr>
                    <w:noProof/>
                    <w:webHidden/>
                  </w:rPr>
                </w:r>
                <w:r w:rsidR="00350652">
                  <w:rPr>
                    <w:noProof/>
                    <w:webHidden/>
                  </w:rPr>
                  <w:fldChar w:fldCharType="separate"/>
                </w:r>
                <w:r w:rsidR="00EE7276">
                  <w:rPr>
                    <w:noProof/>
                    <w:webHidden/>
                  </w:rPr>
                  <w:t>94</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81" w:history="1">
                <w:r w:rsidR="00350652" w:rsidRPr="00D475B4">
                  <w:rPr>
                    <w:rStyle w:val="Hyperlink"/>
                    <w:noProof/>
                    <w14:scene3d>
                      <w14:camera w14:prst="orthographicFront"/>
                      <w14:lightRig w14:rig="threePt" w14:dir="t">
                        <w14:rot w14:lat="0" w14:lon="0" w14:rev="0"/>
                      </w14:lightRig>
                    </w14:scene3d>
                  </w:rPr>
                  <w:t>4.1.4</w:t>
                </w:r>
                <w:r w:rsidR="00350652">
                  <w:rPr>
                    <w:rFonts w:eastAsiaTheme="minorEastAsia" w:cstheme="minorBidi"/>
                    <w:noProof/>
                    <w:sz w:val="22"/>
                    <w:szCs w:val="22"/>
                  </w:rPr>
                  <w:tab/>
                </w:r>
                <w:r w:rsidR="00350652" w:rsidRPr="00D475B4">
                  <w:rPr>
                    <w:rStyle w:val="Hyperlink"/>
                    <w:noProof/>
                  </w:rPr>
                  <w:t>How are service levels built on customer feedback?</w:t>
                </w:r>
                <w:r w:rsidR="00350652">
                  <w:rPr>
                    <w:noProof/>
                    <w:webHidden/>
                  </w:rPr>
                  <w:tab/>
                </w:r>
                <w:r w:rsidR="00350652">
                  <w:rPr>
                    <w:noProof/>
                    <w:webHidden/>
                  </w:rPr>
                  <w:fldChar w:fldCharType="begin"/>
                </w:r>
                <w:r w:rsidR="00350652">
                  <w:rPr>
                    <w:noProof/>
                    <w:webHidden/>
                  </w:rPr>
                  <w:instrText xml:space="preserve"> PAGEREF _Toc523651281 \h </w:instrText>
                </w:r>
                <w:r w:rsidR="00350652">
                  <w:rPr>
                    <w:noProof/>
                    <w:webHidden/>
                  </w:rPr>
                </w:r>
                <w:r w:rsidR="00350652">
                  <w:rPr>
                    <w:noProof/>
                    <w:webHidden/>
                  </w:rPr>
                  <w:fldChar w:fldCharType="separate"/>
                </w:r>
                <w:r w:rsidR="00EE7276">
                  <w:rPr>
                    <w:noProof/>
                    <w:webHidden/>
                  </w:rPr>
                  <w:t>94</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82" w:history="1">
                <w:r w:rsidR="00350652" w:rsidRPr="00D475B4">
                  <w:rPr>
                    <w:rStyle w:val="Hyperlink"/>
                    <w:noProof/>
                    <w14:scene3d>
                      <w14:camera w14:prst="orthographicFront"/>
                      <w14:lightRig w14:rig="threePt" w14:dir="t">
                        <w14:rot w14:lat="0" w14:lon="0" w14:rev="0"/>
                      </w14:lightRig>
                    </w14:scene3d>
                  </w:rPr>
                  <w:t>4.1.5</w:t>
                </w:r>
                <w:r w:rsidR="00350652">
                  <w:rPr>
                    <w:rFonts w:eastAsiaTheme="minorEastAsia" w:cstheme="minorBidi"/>
                    <w:noProof/>
                    <w:sz w:val="22"/>
                    <w:szCs w:val="22"/>
                  </w:rPr>
                  <w:tab/>
                </w:r>
                <w:r w:rsidR="00350652" w:rsidRPr="00D475B4">
                  <w:rPr>
                    <w:rStyle w:val="Hyperlink"/>
                    <w:noProof/>
                  </w:rPr>
                  <w:t>How do we drive a customer service culture now and in the future?</w:t>
                </w:r>
                <w:r w:rsidR="00350652">
                  <w:rPr>
                    <w:noProof/>
                    <w:webHidden/>
                  </w:rPr>
                  <w:tab/>
                </w:r>
                <w:r w:rsidR="00350652">
                  <w:rPr>
                    <w:noProof/>
                    <w:webHidden/>
                  </w:rPr>
                  <w:fldChar w:fldCharType="begin"/>
                </w:r>
                <w:r w:rsidR="00350652">
                  <w:rPr>
                    <w:noProof/>
                    <w:webHidden/>
                  </w:rPr>
                  <w:instrText xml:space="preserve"> PAGEREF _Toc523651282 \h </w:instrText>
                </w:r>
                <w:r w:rsidR="00350652">
                  <w:rPr>
                    <w:noProof/>
                    <w:webHidden/>
                  </w:rPr>
                </w:r>
                <w:r w:rsidR="00350652">
                  <w:rPr>
                    <w:noProof/>
                    <w:webHidden/>
                  </w:rPr>
                  <w:fldChar w:fldCharType="separate"/>
                </w:r>
                <w:r w:rsidR="00EE7276">
                  <w:rPr>
                    <w:noProof/>
                    <w:webHidden/>
                  </w:rPr>
                  <w:t>95</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83" w:history="1">
                <w:r w:rsidR="00350652" w:rsidRPr="00D475B4">
                  <w:rPr>
                    <w:rStyle w:val="Hyperlink"/>
                    <w:noProof/>
                    <w14:scene3d>
                      <w14:camera w14:prst="orthographicFront"/>
                      <w14:lightRig w14:rig="threePt" w14:dir="t">
                        <w14:rot w14:lat="0" w14:lon="0" w14:rev="0"/>
                      </w14:lightRig>
                    </w14:scene3d>
                  </w:rPr>
                  <w:t>4.1.6</w:t>
                </w:r>
                <w:r w:rsidR="00350652">
                  <w:rPr>
                    <w:rFonts w:eastAsiaTheme="minorEastAsia" w:cstheme="minorBidi"/>
                    <w:noProof/>
                    <w:sz w:val="22"/>
                    <w:szCs w:val="22"/>
                  </w:rPr>
                  <w:tab/>
                </w:r>
                <w:r w:rsidR="00350652" w:rsidRPr="00D475B4">
                  <w:rPr>
                    <w:rStyle w:val="Hyperlink"/>
                    <w:noProof/>
                  </w:rPr>
                  <w:t>How do we innovate?</w:t>
                </w:r>
                <w:r w:rsidR="00350652">
                  <w:rPr>
                    <w:noProof/>
                    <w:webHidden/>
                  </w:rPr>
                  <w:tab/>
                </w:r>
                <w:r w:rsidR="00350652">
                  <w:rPr>
                    <w:noProof/>
                    <w:webHidden/>
                  </w:rPr>
                  <w:fldChar w:fldCharType="begin"/>
                </w:r>
                <w:r w:rsidR="00350652">
                  <w:rPr>
                    <w:noProof/>
                    <w:webHidden/>
                  </w:rPr>
                  <w:instrText xml:space="preserve"> PAGEREF _Toc523651283 \h </w:instrText>
                </w:r>
                <w:r w:rsidR="00350652">
                  <w:rPr>
                    <w:noProof/>
                    <w:webHidden/>
                  </w:rPr>
                </w:r>
                <w:r w:rsidR="00350652">
                  <w:rPr>
                    <w:noProof/>
                    <w:webHidden/>
                  </w:rPr>
                  <w:fldChar w:fldCharType="separate"/>
                </w:r>
                <w:r w:rsidR="00EE7276">
                  <w:rPr>
                    <w:noProof/>
                    <w:webHidden/>
                  </w:rPr>
                  <w:t>96</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284" w:history="1">
                <w:r w:rsidR="00350652" w:rsidRPr="00D475B4">
                  <w:rPr>
                    <w:rStyle w:val="Hyperlink"/>
                    <w:noProof/>
                  </w:rPr>
                  <w:t>5</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Addressing affordability and vulnerability</w:t>
                </w:r>
                <w:r w:rsidR="00350652">
                  <w:rPr>
                    <w:noProof/>
                    <w:webHidden/>
                  </w:rPr>
                  <w:tab/>
                </w:r>
                <w:r w:rsidR="00350652">
                  <w:rPr>
                    <w:noProof/>
                    <w:webHidden/>
                  </w:rPr>
                  <w:fldChar w:fldCharType="begin"/>
                </w:r>
                <w:r w:rsidR="00350652">
                  <w:rPr>
                    <w:noProof/>
                    <w:webHidden/>
                  </w:rPr>
                  <w:instrText xml:space="preserve"> PAGEREF _Toc523651284 \h </w:instrText>
                </w:r>
                <w:r w:rsidR="00350652">
                  <w:rPr>
                    <w:noProof/>
                    <w:webHidden/>
                  </w:rPr>
                </w:r>
                <w:r w:rsidR="00350652">
                  <w:rPr>
                    <w:noProof/>
                    <w:webHidden/>
                  </w:rPr>
                  <w:fldChar w:fldCharType="separate"/>
                </w:r>
                <w:r w:rsidR="00EE7276">
                  <w:rPr>
                    <w:noProof/>
                    <w:webHidden/>
                  </w:rPr>
                  <w:t>97</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85" w:history="1">
                <w:r w:rsidR="00350652" w:rsidRPr="00D475B4">
                  <w:rPr>
                    <w:rStyle w:val="Hyperlink"/>
                    <w:noProof/>
                  </w:rPr>
                  <w:t>5.1</w:t>
                </w:r>
                <w:r w:rsidR="00350652">
                  <w:rPr>
                    <w:rFonts w:eastAsiaTheme="minorEastAsia" w:cstheme="minorBidi"/>
                    <w:b w:val="0"/>
                    <w:bCs w:val="0"/>
                    <w:noProof/>
                    <w:sz w:val="22"/>
                    <w:szCs w:val="22"/>
                  </w:rPr>
                  <w:tab/>
                </w:r>
                <w:r w:rsidR="00350652" w:rsidRPr="00D475B4">
                  <w:rPr>
                    <w:rStyle w:val="Hyperlink"/>
                    <w:noProof/>
                  </w:rPr>
                  <w:t>Affordability</w:t>
                </w:r>
                <w:r w:rsidR="00350652">
                  <w:rPr>
                    <w:noProof/>
                    <w:webHidden/>
                  </w:rPr>
                  <w:tab/>
                </w:r>
                <w:r w:rsidR="00350652">
                  <w:rPr>
                    <w:noProof/>
                    <w:webHidden/>
                  </w:rPr>
                  <w:fldChar w:fldCharType="begin"/>
                </w:r>
                <w:r w:rsidR="00350652">
                  <w:rPr>
                    <w:noProof/>
                    <w:webHidden/>
                  </w:rPr>
                  <w:instrText xml:space="preserve"> PAGEREF _Toc523651285 \h </w:instrText>
                </w:r>
                <w:r w:rsidR="00350652">
                  <w:rPr>
                    <w:noProof/>
                    <w:webHidden/>
                  </w:rPr>
                </w:r>
                <w:r w:rsidR="00350652">
                  <w:rPr>
                    <w:noProof/>
                    <w:webHidden/>
                  </w:rPr>
                  <w:fldChar w:fldCharType="separate"/>
                </w:r>
                <w:r w:rsidR="00EE7276">
                  <w:rPr>
                    <w:noProof/>
                    <w:webHidden/>
                  </w:rPr>
                  <w:t>97</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86" w:history="1">
                <w:r w:rsidR="00350652" w:rsidRPr="00D475B4">
                  <w:rPr>
                    <w:rStyle w:val="Hyperlink"/>
                    <w:noProof/>
                  </w:rPr>
                  <w:t>5.2</w:t>
                </w:r>
                <w:r w:rsidR="00350652">
                  <w:rPr>
                    <w:rFonts w:eastAsiaTheme="minorEastAsia" w:cstheme="minorBidi"/>
                    <w:b w:val="0"/>
                    <w:bCs w:val="0"/>
                    <w:noProof/>
                    <w:sz w:val="22"/>
                    <w:szCs w:val="22"/>
                  </w:rPr>
                  <w:tab/>
                </w:r>
                <w:r w:rsidR="00350652" w:rsidRPr="00D475B4">
                  <w:rPr>
                    <w:rStyle w:val="Hyperlink"/>
                    <w:noProof/>
                  </w:rPr>
                  <w:t>Vulnerability</w:t>
                </w:r>
                <w:r w:rsidR="00350652">
                  <w:rPr>
                    <w:noProof/>
                    <w:webHidden/>
                  </w:rPr>
                  <w:tab/>
                </w:r>
                <w:r w:rsidR="00350652">
                  <w:rPr>
                    <w:noProof/>
                    <w:webHidden/>
                  </w:rPr>
                  <w:fldChar w:fldCharType="begin"/>
                </w:r>
                <w:r w:rsidR="00350652">
                  <w:rPr>
                    <w:noProof/>
                    <w:webHidden/>
                  </w:rPr>
                  <w:instrText xml:space="preserve"> PAGEREF _Toc523651286 \h </w:instrText>
                </w:r>
                <w:r w:rsidR="00350652">
                  <w:rPr>
                    <w:noProof/>
                    <w:webHidden/>
                  </w:rPr>
                </w:r>
                <w:r w:rsidR="00350652">
                  <w:rPr>
                    <w:noProof/>
                    <w:webHidden/>
                  </w:rPr>
                  <w:fldChar w:fldCharType="separate"/>
                </w:r>
                <w:r w:rsidR="00EE7276">
                  <w:rPr>
                    <w:noProof/>
                    <w:webHidden/>
                  </w:rPr>
                  <w:t>102</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287" w:history="1">
                <w:r w:rsidR="00350652" w:rsidRPr="00D475B4">
                  <w:rPr>
                    <w:rStyle w:val="Hyperlink"/>
                    <w:noProof/>
                  </w:rPr>
                  <w:t>6</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Resilience in the round</w:t>
                </w:r>
                <w:r w:rsidR="00350652">
                  <w:rPr>
                    <w:noProof/>
                    <w:webHidden/>
                  </w:rPr>
                  <w:tab/>
                </w:r>
                <w:r w:rsidR="00350652">
                  <w:rPr>
                    <w:noProof/>
                    <w:webHidden/>
                  </w:rPr>
                  <w:fldChar w:fldCharType="begin"/>
                </w:r>
                <w:r w:rsidR="00350652">
                  <w:rPr>
                    <w:noProof/>
                    <w:webHidden/>
                  </w:rPr>
                  <w:instrText xml:space="preserve"> PAGEREF _Toc523651287 \h </w:instrText>
                </w:r>
                <w:r w:rsidR="00350652">
                  <w:rPr>
                    <w:noProof/>
                    <w:webHidden/>
                  </w:rPr>
                </w:r>
                <w:r w:rsidR="00350652">
                  <w:rPr>
                    <w:noProof/>
                    <w:webHidden/>
                  </w:rPr>
                  <w:fldChar w:fldCharType="separate"/>
                </w:r>
                <w:r w:rsidR="00EE7276">
                  <w:rPr>
                    <w:noProof/>
                    <w:webHidden/>
                  </w:rPr>
                  <w:t>106</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88" w:history="1">
                <w:r w:rsidR="00350652" w:rsidRPr="00D475B4">
                  <w:rPr>
                    <w:rStyle w:val="Hyperlink"/>
                    <w:noProof/>
                  </w:rPr>
                  <w:t>6.1</w:t>
                </w:r>
                <w:r w:rsidR="00350652">
                  <w:rPr>
                    <w:rFonts w:eastAsiaTheme="minorEastAsia" w:cstheme="minorBidi"/>
                    <w:b w:val="0"/>
                    <w:bCs w:val="0"/>
                    <w:noProof/>
                    <w:sz w:val="22"/>
                    <w:szCs w:val="22"/>
                  </w:rPr>
                  <w:tab/>
                </w:r>
                <w:r w:rsidR="00350652" w:rsidRPr="00D475B4">
                  <w:rPr>
                    <w:rStyle w:val="Hyperlink"/>
                    <w:noProof/>
                  </w:rPr>
                  <w:t>Background</w:t>
                </w:r>
                <w:r w:rsidR="00350652">
                  <w:rPr>
                    <w:noProof/>
                    <w:webHidden/>
                  </w:rPr>
                  <w:tab/>
                </w:r>
                <w:r w:rsidR="00350652">
                  <w:rPr>
                    <w:noProof/>
                    <w:webHidden/>
                  </w:rPr>
                  <w:fldChar w:fldCharType="begin"/>
                </w:r>
                <w:r w:rsidR="00350652">
                  <w:rPr>
                    <w:noProof/>
                    <w:webHidden/>
                  </w:rPr>
                  <w:instrText xml:space="preserve"> PAGEREF _Toc523651288 \h </w:instrText>
                </w:r>
                <w:r w:rsidR="00350652">
                  <w:rPr>
                    <w:noProof/>
                    <w:webHidden/>
                  </w:rPr>
                </w:r>
                <w:r w:rsidR="00350652">
                  <w:rPr>
                    <w:noProof/>
                    <w:webHidden/>
                  </w:rPr>
                  <w:fldChar w:fldCharType="separate"/>
                </w:r>
                <w:r w:rsidR="00EE7276">
                  <w:rPr>
                    <w:noProof/>
                    <w:webHidden/>
                  </w:rPr>
                  <w:t>106</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89" w:history="1">
                <w:r w:rsidR="00350652" w:rsidRPr="00D475B4">
                  <w:rPr>
                    <w:rStyle w:val="Hyperlink"/>
                    <w:noProof/>
                  </w:rPr>
                  <w:t>6.2</w:t>
                </w:r>
                <w:r w:rsidR="00350652">
                  <w:rPr>
                    <w:rFonts w:eastAsiaTheme="minorEastAsia" w:cstheme="minorBidi"/>
                    <w:b w:val="0"/>
                    <w:bCs w:val="0"/>
                    <w:noProof/>
                    <w:sz w:val="22"/>
                    <w:szCs w:val="22"/>
                  </w:rPr>
                  <w:tab/>
                </w:r>
                <w:r w:rsidR="00350652" w:rsidRPr="00D475B4">
                  <w:rPr>
                    <w:rStyle w:val="Hyperlink"/>
                    <w:noProof/>
                  </w:rPr>
                  <w:t>Our Approach to Resilience and alignment with Ofwat’s Resilience Principles</w:t>
                </w:r>
                <w:r w:rsidR="00350652">
                  <w:rPr>
                    <w:noProof/>
                    <w:webHidden/>
                  </w:rPr>
                  <w:tab/>
                </w:r>
                <w:r w:rsidR="00350652">
                  <w:rPr>
                    <w:noProof/>
                    <w:webHidden/>
                  </w:rPr>
                  <w:fldChar w:fldCharType="begin"/>
                </w:r>
                <w:r w:rsidR="00350652">
                  <w:rPr>
                    <w:noProof/>
                    <w:webHidden/>
                  </w:rPr>
                  <w:instrText xml:space="preserve"> PAGEREF _Toc523651289 \h </w:instrText>
                </w:r>
                <w:r w:rsidR="00350652">
                  <w:rPr>
                    <w:noProof/>
                    <w:webHidden/>
                  </w:rPr>
                </w:r>
                <w:r w:rsidR="00350652">
                  <w:rPr>
                    <w:noProof/>
                    <w:webHidden/>
                  </w:rPr>
                  <w:fldChar w:fldCharType="separate"/>
                </w:r>
                <w:r w:rsidR="00EE7276">
                  <w:rPr>
                    <w:noProof/>
                    <w:webHidden/>
                  </w:rPr>
                  <w:t>109</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90" w:history="1">
                <w:r w:rsidR="00350652" w:rsidRPr="00D475B4">
                  <w:rPr>
                    <w:rStyle w:val="Hyperlink"/>
                    <w:noProof/>
                  </w:rPr>
                  <w:t>6.3</w:t>
                </w:r>
                <w:r w:rsidR="00350652">
                  <w:rPr>
                    <w:rFonts w:eastAsiaTheme="minorEastAsia" w:cstheme="minorBidi"/>
                    <w:b w:val="0"/>
                    <w:bCs w:val="0"/>
                    <w:noProof/>
                    <w:sz w:val="22"/>
                    <w:szCs w:val="22"/>
                  </w:rPr>
                  <w:tab/>
                </w:r>
                <w:r w:rsidR="00350652" w:rsidRPr="00D475B4">
                  <w:rPr>
                    <w:rStyle w:val="Hyperlink"/>
                    <w:noProof/>
                  </w:rPr>
                  <w:t>Governance and Corporate Resilience</w:t>
                </w:r>
                <w:r w:rsidR="00350652">
                  <w:rPr>
                    <w:noProof/>
                    <w:webHidden/>
                  </w:rPr>
                  <w:tab/>
                </w:r>
                <w:r w:rsidR="00350652">
                  <w:rPr>
                    <w:noProof/>
                    <w:webHidden/>
                  </w:rPr>
                  <w:fldChar w:fldCharType="begin"/>
                </w:r>
                <w:r w:rsidR="00350652">
                  <w:rPr>
                    <w:noProof/>
                    <w:webHidden/>
                  </w:rPr>
                  <w:instrText xml:space="preserve"> PAGEREF _Toc523651290 \h </w:instrText>
                </w:r>
                <w:r w:rsidR="00350652">
                  <w:rPr>
                    <w:noProof/>
                    <w:webHidden/>
                  </w:rPr>
                </w:r>
                <w:r w:rsidR="00350652">
                  <w:rPr>
                    <w:noProof/>
                    <w:webHidden/>
                  </w:rPr>
                  <w:fldChar w:fldCharType="separate"/>
                </w:r>
                <w:r w:rsidR="00EE7276">
                  <w:rPr>
                    <w:noProof/>
                    <w:webHidden/>
                  </w:rPr>
                  <w:t>113</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91" w:history="1">
                <w:r w:rsidR="00350652" w:rsidRPr="00D475B4">
                  <w:rPr>
                    <w:rStyle w:val="Hyperlink"/>
                    <w:noProof/>
                  </w:rPr>
                  <w:t>6.4</w:t>
                </w:r>
                <w:r w:rsidR="00350652">
                  <w:rPr>
                    <w:rFonts w:eastAsiaTheme="minorEastAsia" w:cstheme="minorBidi"/>
                    <w:b w:val="0"/>
                    <w:bCs w:val="0"/>
                    <w:noProof/>
                    <w:sz w:val="22"/>
                    <w:szCs w:val="22"/>
                  </w:rPr>
                  <w:tab/>
                </w:r>
                <w:r w:rsidR="00350652" w:rsidRPr="00D475B4">
                  <w:rPr>
                    <w:rStyle w:val="Hyperlink"/>
                    <w:noProof/>
                  </w:rPr>
                  <w:t>Work Activity Undertaken to Support our Business Plan for 2020-2025</w:t>
                </w:r>
                <w:r w:rsidR="00350652">
                  <w:rPr>
                    <w:noProof/>
                    <w:webHidden/>
                  </w:rPr>
                  <w:tab/>
                </w:r>
                <w:r w:rsidR="00350652">
                  <w:rPr>
                    <w:noProof/>
                    <w:webHidden/>
                  </w:rPr>
                  <w:fldChar w:fldCharType="begin"/>
                </w:r>
                <w:r w:rsidR="00350652">
                  <w:rPr>
                    <w:noProof/>
                    <w:webHidden/>
                  </w:rPr>
                  <w:instrText xml:space="preserve"> PAGEREF _Toc523651291 \h </w:instrText>
                </w:r>
                <w:r w:rsidR="00350652">
                  <w:rPr>
                    <w:noProof/>
                    <w:webHidden/>
                  </w:rPr>
                </w:r>
                <w:r w:rsidR="00350652">
                  <w:rPr>
                    <w:noProof/>
                    <w:webHidden/>
                  </w:rPr>
                  <w:fldChar w:fldCharType="separate"/>
                </w:r>
                <w:r w:rsidR="00EE7276">
                  <w:rPr>
                    <w:noProof/>
                    <w:webHidden/>
                  </w:rPr>
                  <w:t>114</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92" w:history="1">
                <w:r w:rsidR="00350652" w:rsidRPr="00D475B4">
                  <w:rPr>
                    <w:rStyle w:val="Hyperlink"/>
                    <w:noProof/>
                  </w:rPr>
                  <w:t>6.5</w:t>
                </w:r>
                <w:r w:rsidR="00350652">
                  <w:rPr>
                    <w:rFonts w:eastAsiaTheme="minorEastAsia" w:cstheme="minorBidi"/>
                    <w:b w:val="0"/>
                    <w:bCs w:val="0"/>
                    <w:noProof/>
                    <w:sz w:val="22"/>
                    <w:szCs w:val="22"/>
                  </w:rPr>
                  <w:tab/>
                </w:r>
                <w:r w:rsidR="00350652" w:rsidRPr="00D475B4">
                  <w:rPr>
                    <w:rStyle w:val="Hyperlink"/>
                    <w:noProof/>
                  </w:rPr>
                  <w:t>Specific Interventions  at PR19</w:t>
                </w:r>
                <w:r w:rsidR="00350652">
                  <w:rPr>
                    <w:noProof/>
                    <w:webHidden/>
                  </w:rPr>
                  <w:tab/>
                </w:r>
                <w:r w:rsidR="00350652">
                  <w:rPr>
                    <w:noProof/>
                    <w:webHidden/>
                  </w:rPr>
                  <w:fldChar w:fldCharType="begin"/>
                </w:r>
                <w:r w:rsidR="00350652">
                  <w:rPr>
                    <w:noProof/>
                    <w:webHidden/>
                  </w:rPr>
                  <w:instrText xml:space="preserve"> PAGEREF _Toc523651292 \h </w:instrText>
                </w:r>
                <w:r w:rsidR="00350652">
                  <w:rPr>
                    <w:noProof/>
                    <w:webHidden/>
                  </w:rPr>
                </w:r>
                <w:r w:rsidR="00350652">
                  <w:rPr>
                    <w:noProof/>
                    <w:webHidden/>
                  </w:rPr>
                  <w:fldChar w:fldCharType="separate"/>
                </w:r>
                <w:r w:rsidR="00EE7276">
                  <w:rPr>
                    <w:noProof/>
                    <w:webHidden/>
                  </w:rPr>
                  <w:t>117</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93" w:history="1">
                <w:r w:rsidR="00350652" w:rsidRPr="00D475B4">
                  <w:rPr>
                    <w:rStyle w:val="Hyperlink"/>
                    <w:noProof/>
                  </w:rPr>
                  <w:t>6.6</w:t>
                </w:r>
                <w:r w:rsidR="00350652">
                  <w:rPr>
                    <w:rFonts w:eastAsiaTheme="minorEastAsia" w:cstheme="minorBidi"/>
                    <w:b w:val="0"/>
                    <w:bCs w:val="0"/>
                    <w:noProof/>
                    <w:sz w:val="22"/>
                    <w:szCs w:val="22"/>
                  </w:rPr>
                  <w:tab/>
                </w:r>
                <w:r w:rsidR="00350652" w:rsidRPr="00D475B4">
                  <w:rPr>
                    <w:rStyle w:val="Hyperlink"/>
                    <w:noProof/>
                  </w:rPr>
                  <w:t>Our People and Skills for the Future</w:t>
                </w:r>
                <w:r w:rsidR="00350652">
                  <w:rPr>
                    <w:noProof/>
                    <w:webHidden/>
                  </w:rPr>
                  <w:tab/>
                </w:r>
                <w:r w:rsidR="00350652">
                  <w:rPr>
                    <w:noProof/>
                    <w:webHidden/>
                  </w:rPr>
                  <w:fldChar w:fldCharType="begin"/>
                </w:r>
                <w:r w:rsidR="00350652">
                  <w:rPr>
                    <w:noProof/>
                    <w:webHidden/>
                  </w:rPr>
                  <w:instrText xml:space="preserve"> PAGEREF _Toc523651293 \h </w:instrText>
                </w:r>
                <w:r w:rsidR="00350652">
                  <w:rPr>
                    <w:noProof/>
                    <w:webHidden/>
                  </w:rPr>
                </w:r>
                <w:r w:rsidR="00350652">
                  <w:rPr>
                    <w:noProof/>
                    <w:webHidden/>
                  </w:rPr>
                  <w:fldChar w:fldCharType="separate"/>
                </w:r>
                <w:r w:rsidR="00EE7276">
                  <w:rPr>
                    <w:noProof/>
                    <w:webHidden/>
                  </w:rPr>
                  <w:t>119</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94" w:history="1">
                <w:r w:rsidR="00350652" w:rsidRPr="00D475B4">
                  <w:rPr>
                    <w:rStyle w:val="Hyperlink"/>
                    <w:noProof/>
                  </w:rPr>
                  <w:t>6.7</w:t>
                </w:r>
                <w:r w:rsidR="00350652">
                  <w:rPr>
                    <w:rFonts w:eastAsiaTheme="minorEastAsia" w:cstheme="minorBidi"/>
                    <w:b w:val="0"/>
                    <w:bCs w:val="0"/>
                    <w:noProof/>
                    <w:sz w:val="22"/>
                    <w:szCs w:val="22"/>
                  </w:rPr>
                  <w:tab/>
                </w:r>
                <w:r w:rsidR="00350652" w:rsidRPr="00D475B4">
                  <w:rPr>
                    <w:rStyle w:val="Hyperlink"/>
                    <w:noProof/>
                  </w:rPr>
                  <w:t>Conclusions and Inclusions in Business Plan 2020-2025</w:t>
                </w:r>
                <w:r w:rsidR="00350652">
                  <w:rPr>
                    <w:noProof/>
                    <w:webHidden/>
                  </w:rPr>
                  <w:tab/>
                </w:r>
                <w:r w:rsidR="00350652">
                  <w:rPr>
                    <w:noProof/>
                    <w:webHidden/>
                  </w:rPr>
                  <w:fldChar w:fldCharType="begin"/>
                </w:r>
                <w:r w:rsidR="00350652">
                  <w:rPr>
                    <w:noProof/>
                    <w:webHidden/>
                  </w:rPr>
                  <w:instrText xml:space="preserve"> PAGEREF _Toc523651294 \h </w:instrText>
                </w:r>
                <w:r w:rsidR="00350652">
                  <w:rPr>
                    <w:noProof/>
                    <w:webHidden/>
                  </w:rPr>
                </w:r>
                <w:r w:rsidR="00350652">
                  <w:rPr>
                    <w:noProof/>
                    <w:webHidden/>
                  </w:rPr>
                  <w:fldChar w:fldCharType="separate"/>
                </w:r>
                <w:r w:rsidR="00EE7276">
                  <w:rPr>
                    <w:noProof/>
                    <w:webHidden/>
                  </w:rPr>
                  <w:t>119</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295" w:history="1">
                <w:r w:rsidR="00350652" w:rsidRPr="00D475B4">
                  <w:rPr>
                    <w:rStyle w:val="Hyperlink"/>
                    <w:noProof/>
                  </w:rPr>
                  <w:t>7</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Innovation</w:t>
                </w:r>
                <w:r w:rsidR="00350652">
                  <w:rPr>
                    <w:noProof/>
                    <w:webHidden/>
                  </w:rPr>
                  <w:tab/>
                </w:r>
                <w:r w:rsidR="00350652">
                  <w:rPr>
                    <w:noProof/>
                    <w:webHidden/>
                  </w:rPr>
                  <w:fldChar w:fldCharType="begin"/>
                </w:r>
                <w:r w:rsidR="00350652">
                  <w:rPr>
                    <w:noProof/>
                    <w:webHidden/>
                  </w:rPr>
                  <w:instrText xml:space="preserve"> PAGEREF _Toc523651295 \h </w:instrText>
                </w:r>
                <w:r w:rsidR="00350652">
                  <w:rPr>
                    <w:noProof/>
                    <w:webHidden/>
                  </w:rPr>
                </w:r>
                <w:r w:rsidR="00350652">
                  <w:rPr>
                    <w:noProof/>
                    <w:webHidden/>
                  </w:rPr>
                  <w:fldChar w:fldCharType="separate"/>
                </w:r>
                <w:r w:rsidR="00EE7276">
                  <w:rPr>
                    <w:noProof/>
                    <w:webHidden/>
                  </w:rPr>
                  <w:t>122</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96" w:history="1">
                <w:r w:rsidR="00350652" w:rsidRPr="00D475B4">
                  <w:rPr>
                    <w:rStyle w:val="Hyperlink"/>
                    <w:noProof/>
                  </w:rPr>
                  <w:t>7.1</w:t>
                </w:r>
                <w:r w:rsidR="00350652">
                  <w:rPr>
                    <w:rFonts w:eastAsiaTheme="minorEastAsia" w:cstheme="minorBidi"/>
                    <w:b w:val="0"/>
                    <w:bCs w:val="0"/>
                    <w:noProof/>
                    <w:sz w:val="22"/>
                    <w:szCs w:val="22"/>
                  </w:rPr>
                  <w:tab/>
                </w:r>
                <w:r w:rsidR="00350652" w:rsidRPr="00D475B4">
                  <w:rPr>
                    <w:rStyle w:val="Hyperlink"/>
                    <w:noProof/>
                  </w:rPr>
                  <w:t>Innovative Culture; Systems and Processes</w:t>
                </w:r>
                <w:r w:rsidR="00350652">
                  <w:rPr>
                    <w:noProof/>
                    <w:webHidden/>
                  </w:rPr>
                  <w:tab/>
                </w:r>
                <w:r w:rsidR="00350652">
                  <w:rPr>
                    <w:noProof/>
                    <w:webHidden/>
                  </w:rPr>
                  <w:fldChar w:fldCharType="begin"/>
                </w:r>
                <w:r w:rsidR="00350652">
                  <w:rPr>
                    <w:noProof/>
                    <w:webHidden/>
                  </w:rPr>
                  <w:instrText xml:space="preserve"> PAGEREF _Toc523651296 \h </w:instrText>
                </w:r>
                <w:r w:rsidR="00350652">
                  <w:rPr>
                    <w:noProof/>
                    <w:webHidden/>
                  </w:rPr>
                </w:r>
                <w:r w:rsidR="00350652">
                  <w:rPr>
                    <w:noProof/>
                    <w:webHidden/>
                  </w:rPr>
                  <w:fldChar w:fldCharType="separate"/>
                </w:r>
                <w:r w:rsidR="00EE7276">
                  <w:rPr>
                    <w:noProof/>
                    <w:webHidden/>
                  </w:rPr>
                  <w:t>122</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297" w:history="1">
                <w:r w:rsidR="00350652" w:rsidRPr="00D475B4">
                  <w:rPr>
                    <w:rStyle w:val="Hyperlink"/>
                    <w:noProof/>
                  </w:rPr>
                  <w:t>7.2</w:t>
                </w:r>
                <w:r w:rsidR="00350652">
                  <w:rPr>
                    <w:rFonts w:eastAsiaTheme="minorEastAsia" w:cstheme="minorBidi"/>
                    <w:b w:val="0"/>
                    <w:bCs w:val="0"/>
                    <w:noProof/>
                    <w:sz w:val="22"/>
                    <w:szCs w:val="22"/>
                  </w:rPr>
                  <w:tab/>
                </w:r>
                <w:r w:rsidR="00350652" w:rsidRPr="00D475B4">
                  <w:rPr>
                    <w:rStyle w:val="Hyperlink"/>
                    <w:noProof/>
                  </w:rPr>
                  <w:t>Innovative Culture; people</w:t>
                </w:r>
                <w:r w:rsidR="00350652">
                  <w:rPr>
                    <w:noProof/>
                    <w:webHidden/>
                  </w:rPr>
                  <w:tab/>
                </w:r>
                <w:r w:rsidR="00350652">
                  <w:rPr>
                    <w:noProof/>
                    <w:webHidden/>
                  </w:rPr>
                  <w:fldChar w:fldCharType="begin"/>
                </w:r>
                <w:r w:rsidR="00350652">
                  <w:rPr>
                    <w:noProof/>
                    <w:webHidden/>
                  </w:rPr>
                  <w:instrText xml:space="preserve"> PAGEREF _Toc523651297 \h </w:instrText>
                </w:r>
                <w:r w:rsidR="00350652">
                  <w:rPr>
                    <w:noProof/>
                    <w:webHidden/>
                  </w:rPr>
                </w:r>
                <w:r w:rsidR="00350652">
                  <w:rPr>
                    <w:noProof/>
                    <w:webHidden/>
                  </w:rPr>
                  <w:fldChar w:fldCharType="separate"/>
                </w:r>
                <w:r w:rsidR="00EE7276">
                  <w:rPr>
                    <w:noProof/>
                    <w:webHidden/>
                  </w:rPr>
                  <w:t>123</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98" w:history="1">
                <w:r w:rsidR="00350652" w:rsidRPr="00D475B4">
                  <w:rPr>
                    <w:rStyle w:val="Hyperlink"/>
                    <w:noProof/>
                    <w14:scene3d>
                      <w14:camera w14:prst="orthographicFront"/>
                      <w14:lightRig w14:rig="threePt" w14:dir="t">
                        <w14:rot w14:lat="0" w14:lon="0" w14:rev="0"/>
                      </w14:lightRig>
                    </w14:scene3d>
                  </w:rPr>
                  <w:t>7.2.1</w:t>
                </w:r>
                <w:r w:rsidR="00350652">
                  <w:rPr>
                    <w:rFonts w:eastAsiaTheme="minorEastAsia" w:cstheme="minorBidi"/>
                    <w:noProof/>
                    <w:sz w:val="22"/>
                    <w:szCs w:val="22"/>
                  </w:rPr>
                  <w:tab/>
                </w:r>
                <w:r w:rsidR="00350652" w:rsidRPr="00D475B4">
                  <w:rPr>
                    <w:rStyle w:val="Hyperlink"/>
                    <w:noProof/>
                  </w:rPr>
                  <w:t>Inform</w:t>
                </w:r>
                <w:r w:rsidR="00350652">
                  <w:rPr>
                    <w:noProof/>
                    <w:webHidden/>
                  </w:rPr>
                  <w:tab/>
                </w:r>
                <w:r w:rsidR="00350652">
                  <w:rPr>
                    <w:noProof/>
                    <w:webHidden/>
                  </w:rPr>
                  <w:fldChar w:fldCharType="begin"/>
                </w:r>
                <w:r w:rsidR="00350652">
                  <w:rPr>
                    <w:noProof/>
                    <w:webHidden/>
                  </w:rPr>
                  <w:instrText xml:space="preserve"> PAGEREF _Toc523651298 \h </w:instrText>
                </w:r>
                <w:r w:rsidR="00350652">
                  <w:rPr>
                    <w:noProof/>
                    <w:webHidden/>
                  </w:rPr>
                </w:r>
                <w:r w:rsidR="00350652">
                  <w:rPr>
                    <w:noProof/>
                    <w:webHidden/>
                  </w:rPr>
                  <w:fldChar w:fldCharType="separate"/>
                </w:r>
                <w:r w:rsidR="00EE7276">
                  <w:rPr>
                    <w:noProof/>
                    <w:webHidden/>
                  </w:rPr>
                  <w:t>123</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299" w:history="1">
                <w:r w:rsidR="00350652" w:rsidRPr="00D475B4">
                  <w:rPr>
                    <w:rStyle w:val="Hyperlink"/>
                    <w:noProof/>
                    <w14:scene3d>
                      <w14:camera w14:prst="orthographicFront"/>
                      <w14:lightRig w14:rig="threePt" w14:dir="t">
                        <w14:rot w14:lat="0" w14:lon="0" w14:rev="0"/>
                      </w14:lightRig>
                    </w14:scene3d>
                  </w:rPr>
                  <w:t>7.2.2</w:t>
                </w:r>
                <w:r w:rsidR="00350652">
                  <w:rPr>
                    <w:rFonts w:eastAsiaTheme="minorEastAsia" w:cstheme="minorBidi"/>
                    <w:noProof/>
                    <w:sz w:val="22"/>
                    <w:szCs w:val="22"/>
                  </w:rPr>
                  <w:tab/>
                </w:r>
                <w:r w:rsidR="00350652" w:rsidRPr="00D475B4">
                  <w:rPr>
                    <w:rStyle w:val="Hyperlink"/>
                    <w:noProof/>
                  </w:rPr>
                  <w:t>Enable</w:t>
                </w:r>
                <w:r w:rsidR="00350652">
                  <w:rPr>
                    <w:noProof/>
                    <w:webHidden/>
                  </w:rPr>
                  <w:tab/>
                </w:r>
                <w:r w:rsidR="00350652">
                  <w:rPr>
                    <w:noProof/>
                    <w:webHidden/>
                  </w:rPr>
                  <w:fldChar w:fldCharType="begin"/>
                </w:r>
                <w:r w:rsidR="00350652">
                  <w:rPr>
                    <w:noProof/>
                    <w:webHidden/>
                  </w:rPr>
                  <w:instrText xml:space="preserve"> PAGEREF _Toc523651299 \h </w:instrText>
                </w:r>
                <w:r w:rsidR="00350652">
                  <w:rPr>
                    <w:noProof/>
                    <w:webHidden/>
                  </w:rPr>
                </w:r>
                <w:r w:rsidR="00350652">
                  <w:rPr>
                    <w:noProof/>
                    <w:webHidden/>
                  </w:rPr>
                  <w:fldChar w:fldCharType="separate"/>
                </w:r>
                <w:r w:rsidR="00EE7276">
                  <w:rPr>
                    <w:noProof/>
                    <w:webHidden/>
                  </w:rPr>
                  <w:t>123</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00" w:history="1">
                <w:r w:rsidR="00350652" w:rsidRPr="00D475B4">
                  <w:rPr>
                    <w:rStyle w:val="Hyperlink"/>
                    <w:noProof/>
                    <w14:scene3d>
                      <w14:camera w14:prst="orthographicFront"/>
                      <w14:lightRig w14:rig="threePt" w14:dir="t">
                        <w14:rot w14:lat="0" w14:lon="0" w14:rev="0"/>
                      </w14:lightRig>
                    </w14:scene3d>
                  </w:rPr>
                  <w:t>7.2.3</w:t>
                </w:r>
                <w:r w:rsidR="00350652">
                  <w:rPr>
                    <w:rFonts w:eastAsiaTheme="minorEastAsia" w:cstheme="minorBidi"/>
                    <w:noProof/>
                    <w:sz w:val="22"/>
                    <w:szCs w:val="22"/>
                  </w:rPr>
                  <w:tab/>
                </w:r>
                <w:r w:rsidR="00350652" w:rsidRPr="00D475B4">
                  <w:rPr>
                    <w:rStyle w:val="Hyperlink"/>
                    <w:noProof/>
                  </w:rPr>
                  <w:t>Incentivise</w:t>
                </w:r>
                <w:r w:rsidR="00350652">
                  <w:rPr>
                    <w:noProof/>
                    <w:webHidden/>
                  </w:rPr>
                  <w:tab/>
                </w:r>
                <w:r w:rsidR="00350652">
                  <w:rPr>
                    <w:noProof/>
                    <w:webHidden/>
                  </w:rPr>
                  <w:fldChar w:fldCharType="begin"/>
                </w:r>
                <w:r w:rsidR="00350652">
                  <w:rPr>
                    <w:noProof/>
                    <w:webHidden/>
                  </w:rPr>
                  <w:instrText xml:space="preserve"> PAGEREF _Toc523651300 \h </w:instrText>
                </w:r>
                <w:r w:rsidR="00350652">
                  <w:rPr>
                    <w:noProof/>
                    <w:webHidden/>
                  </w:rPr>
                </w:r>
                <w:r w:rsidR="00350652">
                  <w:rPr>
                    <w:noProof/>
                    <w:webHidden/>
                  </w:rPr>
                  <w:fldChar w:fldCharType="separate"/>
                </w:r>
                <w:r w:rsidR="00EE7276">
                  <w:rPr>
                    <w:noProof/>
                    <w:webHidden/>
                  </w:rPr>
                  <w:t>124</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01" w:history="1">
                <w:r w:rsidR="00350652" w:rsidRPr="00D475B4">
                  <w:rPr>
                    <w:rStyle w:val="Hyperlink"/>
                    <w:noProof/>
                    <w14:scene3d>
                      <w14:camera w14:prst="orthographicFront"/>
                      <w14:lightRig w14:rig="threePt" w14:dir="t">
                        <w14:rot w14:lat="0" w14:lon="0" w14:rev="0"/>
                      </w14:lightRig>
                    </w14:scene3d>
                  </w:rPr>
                  <w:t>7.2.4</w:t>
                </w:r>
                <w:r w:rsidR="00350652">
                  <w:rPr>
                    <w:rFonts w:eastAsiaTheme="minorEastAsia" w:cstheme="minorBidi"/>
                    <w:noProof/>
                    <w:sz w:val="22"/>
                    <w:szCs w:val="22"/>
                  </w:rPr>
                  <w:tab/>
                </w:r>
                <w:r w:rsidR="00350652" w:rsidRPr="00D475B4">
                  <w:rPr>
                    <w:rStyle w:val="Hyperlink"/>
                    <w:noProof/>
                  </w:rPr>
                  <w:t>Collaborate to innovate</w:t>
                </w:r>
                <w:r w:rsidR="00350652">
                  <w:rPr>
                    <w:noProof/>
                    <w:webHidden/>
                  </w:rPr>
                  <w:tab/>
                </w:r>
                <w:r w:rsidR="00350652">
                  <w:rPr>
                    <w:noProof/>
                    <w:webHidden/>
                  </w:rPr>
                  <w:fldChar w:fldCharType="begin"/>
                </w:r>
                <w:r w:rsidR="00350652">
                  <w:rPr>
                    <w:noProof/>
                    <w:webHidden/>
                  </w:rPr>
                  <w:instrText xml:space="preserve"> PAGEREF _Toc523651301 \h </w:instrText>
                </w:r>
                <w:r w:rsidR="00350652">
                  <w:rPr>
                    <w:noProof/>
                    <w:webHidden/>
                  </w:rPr>
                </w:r>
                <w:r w:rsidR="00350652">
                  <w:rPr>
                    <w:noProof/>
                    <w:webHidden/>
                  </w:rPr>
                  <w:fldChar w:fldCharType="separate"/>
                </w:r>
                <w:r w:rsidR="00EE7276">
                  <w:rPr>
                    <w:noProof/>
                    <w:webHidden/>
                  </w:rPr>
                  <w:t>124</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302" w:history="1">
                <w:r w:rsidR="00350652" w:rsidRPr="00D475B4">
                  <w:rPr>
                    <w:rStyle w:val="Hyperlink"/>
                    <w:noProof/>
                  </w:rPr>
                  <w:t>7.3</w:t>
                </w:r>
                <w:r w:rsidR="00350652">
                  <w:rPr>
                    <w:rFonts w:eastAsiaTheme="minorEastAsia" w:cstheme="minorBidi"/>
                    <w:b w:val="0"/>
                    <w:bCs w:val="0"/>
                    <w:noProof/>
                    <w:sz w:val="22"/>
                    <w:szCs w:val="22"/>
                  </w:rPr>
                  <w:tab/>
                </w:r>
                <w:r w:rsidR="00350652" w:rsidRPr="00D475B4">
                  <w:rPr>
                    <w:rStyle w:val="Hyperlink"/>
                    <w:noProof/>
                  </w:rPr>
                  <w:t>Our innovation track record</w:t>
                </w:r>
                <w:r w:rsidR="00350652">
                  <w:rPr>
                    <w:noProof/>
                    <w:webHidden/>
                  </w:rPr>
                  <w:tab/>
                </w:r>
                <w:r w:rsidR="00350652">
                  <w:rPr>
                    <w:noProof/>
                    <w:webHidden/>
                  </w:rPr>
                  <w:fldChar w:fldCharType="begin"/>
                </w:r>
                <w:r w:rsidR="00350652">
                  <w:rPr>
                    <w:noProof/>
                    <w:webHidden/>
                  </w:rPr>
                  <w:instrText xml:space="preserve"> PAGEREF _Toc523651302 \h </w:instrText>
                </w:r>
                <w:r w:rsidR="00350652">
                  <w:rPr>
                    <w:noProof/>
                    <w:webHidden/>
                  </w:rPr>
                </w:r>
                <w:r w:rsidR="00350652">
                  <w:rPr>
                    <w:noProof/>
                    <w:webHidden/>
                  </w:rPr>
                  <w:fldChar w:fldCharType="separate"/>
                </w:r>
                <w:r w:rsidR="00EE7276">
                  <w:rPr>
                    <w:noProof/>
                    <w:webHidden/>
                  </w:rPr>
                  <w:t>124</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303" w:history="1">
                <w:r w:rsidR="00350652" w:rsidRPr="00D475B4">
                  <w:rPr>
                    <w:rStyle w:val="Hyperlink"/>
                    <w:noProof/>
                  </w:rPr>
                  <w:t>7.4</w:t>
                </w:r>
                <w:r w:rsidR="00350652">
                  <w:rPr>
                    <w:rFonts w:eastAsiaTheme="minorEastAsia" w:cstheme="minorBidi"/>
                    <w:b w:val="0"/>
                    <w:bCs w:val="0"/>
                    <w:noProof/>
                    <w:sz w:val="22"/>
                    <w:szCs w:val="22"/>
                  </w:rPr>
                  <w:tab/>
                </w:r>
                <w:r w:rsidR="00350652" w:rsidRPr="00D475B4">
                  <w:rPr>
                    <w:rStyle w:val="Hyperlink"/>
                    <w:noProof/>
                  </w:rPr>
                  <w:t>PR19 Innovation</w:t>
                </w:r>
                <w:r w:rsidR="00350652">
                  <w:rPr>
                    <w:noProof/>
                    <w:webHidden/>
                  </w:rPr>
                  <w:tab/>
                </w:r>
                <w:r w:rsidR="00350652">
                  <w:rPr>
                    <w:noProof/>
                    <w:webHidden/>
                  </w:rPr>
                  <w:fldChar w:fldCharType="begin"/>
                </w:r>
                <w:r w:rsidR="00350652">
                  <w:rPr>
                    <w:noProof/>
                    <w:webHidden/>
                  </w:rPr>
                  <w:instrText xml:space="preserve"> PAGEREF _Toc523651303 \h </w:instrText>
                </w:r>
                <w:r w:rsidR="00350652">
                  <w:rPr>
                    <w:noProof/>
                    <w:webHidden/>
                  </w:rPr>
                </w:r>
                <w:r w:rsidR="00350652">
                  <w:rPr>
                    <w:noProof/>
                    <w:webHidden/>
                  </w:rPr>
                  <w:fldChar w:fldCharType="separate"/>
                </w:r>
                <w:r w:rsidR="00EE7276">
                  <w:rPr>
                    <w:noProof/>
                    <w:webHidden/>
                  </w:rPr>
                  <w:t>126</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304" w:history="1">
                <w:r w:rsidR="00350652" w:rsidRPr="00D475B4">
                  <w:rPr>
                    <w:rStyle w:val="Hyperlink"/>
                    <w:noProof/>
                  </w:rPr>
                  <w:t>8</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Targeted Controls and Markets</w:t>
                </w:r>
                <w:r w:rsidR="00350652">
                  <w:rPr>
                    <w:noProof/>
                    <w:webHidden/>
                  </w:rPr>
                  <w:tab/>
                </w:r>
                <w:r w:rsidR="00350652">
                  <w:rPr>
                    <w:noProof/>
                    <w:webHidden/>
                  </w:rPr>
                  <w:fldChar w:fldCharType="begin"/>
                </w:r>
                <w:r w:rsidR="00350652">
                  <w:rPr>
                    <w:noProof/>
                    <w:webHidden/>
                  </w:rPr>
                  <w:instrText xml:space="preserve"> PAGEREF _Toc523651304 \h </w:instrText>
                </w:r>
                <w:r w:rsidR="00350652">
                  <w:rPr>
                    <w:noProof/>
                    <w:webHidden/>
                  </w:rPr>
                </w:r>
                <w:r w:rsidR="00350652">
                  <w:rPr>
                    <w:noProof/>
                    <w:webHidden/>
                  </w:rPr>
                  <w:fldChar w:fldCharType="separate"/>
                </w:r>
                <w:r w:rsidR="00EE7276">
                  <w:rPr>
                    <w:noProof/>
                    <w:webHidden/>
                  </w:rPr>
                  <w:t>129</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305" w:history="1">
                <w:r w:rsidR="00350652" w:rsidRPr="00D475B4">
                  <w:rPr>
                    <w:rStyle w:val="Hyperlink"/>
                    <w:noProof/>
                  </w:rPr>
                  <w:t>8.1</w:t>
                </w:r>
                <w:r w:rsidR="00350652">
                  <w:rPr>
                    <w:rFonts w:eastAsiaTheme="minorEastAsia" w:cstheme="minorBidi"/>
                    <w:b w:val="0"/>
                    <w:bCs w:val="0"/>
                    <w:noProof/>
                    <w:sz w:val="22"/>
                    <w:szCs w:val="22"/>
                  </w:rPr>
                  <w:tab/>
                </w:r>
                <w:r w:rsidR="00350652" w:rsidRPr="00D475B4">
                  <w:rPr>
                    <w:rStyle w:val="Hyperlink"/>
                    <w:noProof/>
                  </w:rPr>
                  <w:t>Water Resources Trading – Havant Thicket Winter Storage Reservoir</w:t>
                </w:r>
                <w:r w:rsidR="00350652">
                  <w:rPr>
                    <w:noProof/>
                    <w:webHidden/>
                  </w:rPr>
                  <w:tab/>
                </w:r>
                <w:r w:rsidR="00350652">
                  <w:rPr>
                    <w:noProof/>
                    <w:webHidden/>
                  </w:rPr>
                  <w:fldChar w:fldCharType="begin"/>
                </w:r>
                <w:r w:rsidR="00350652">
                  <w:rPr>
                    <w:noProof/>
                    <w:webHidden/>
                  </w:rPr>
                  <w:instrText xml:space="preserve"> PAGEREF _Toc523651305 \h </w:instrText>
                </w:r>
                <w:r w:rsidR="00350652">
                  <w:rPr>
                    <w:noProof/>
                    <w:webHidden/>
                  </w:rPr>
                </w:r>
                <w:r w:rsidR="00350652">
                  <w:rPr>
                    <w:noProof/>
                    <w:webHidden/>
                  </w:rPr>
                  <w:fldChar w:fldCharType="separate"/>
                </w:r>
                <w:r w:rsidR="00EE7276">
                  <w:rPr>
                    <w:noProof/>
                    <w:webHidden/>
                  </w:rPr>
                  <w:t>130</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306" w:history="1">
                <w:r w:rsidR="00350652" w:rsidRPr="00D475B4">
                  <w:rPr>
                    <w:rStyle w:val="Hyperlink"/>
                    <w:noProof/>
                  </w:rPr>
                  <w:t>8.2</w:t>
                </w:r>
                <w:r w:rsidR="00350652">
                  <w:rPr>
                    <w:rFonts w:eastAsiaTheme="minorEastAsia" w:cstheme="minorBidi"/>
                    <w:b w:val="0"/>
                    <w:bCs w:val="0"/>
                    <w:noProof/>
                    <w:sz w:val="22"/>
                    <w:szCs w:val="22"/>
                  </w:rPr>
                  <w:tab/>
                </w:r>
                <w:r w:rsidR="00350652" w:rsidRPr="00D475B4">
                  <w:rPr>
                    <w:rStyle w:val="Hyperlink"/>
                    <w:noProof/>
                  </w:rPr>
                  <w:t>Bid Assessment Framework</w:t>
                </w:r>
                <w:r w:rsidR="00350652">
                  <w:rPr>
                    <w:noProof/>
                    <w:webHidden/>
                  </w:rPr>
                  <w:tab/>
                </w:r>
                <w:r w:rsidR="00350652">
                  <w:rPr>
                    <w:noProof/>
                    <w:webHidden/>
                  </w:rPr>
                  <w:fldChar w:fldCharType="begin"/>
                </w:r>
                <w:r w:rsidR="00350652">
                  <w:rPr>
                    <w:noProof/>
                    <w:webHidden/>
                  </w:rPr>
                  <w:instrText xml:space="preserve"> PAGEREF _Toc523651306 \h </w:instrText>
                </w:r>
                <w:r w:rsidR="00350652">
                  <w:rPr>
                    <w:noProof/>
                    <w:webHidden/>
                  </w:rPr>
                </w:r>
                <w:r w:rsidR="00350652">
                  <w:rPr>
                    <w:noProof/>
                    <w:webHidden/>
                  </w:rPr>
                  <w:fldChar w:fldCharType="separate"/>
                </w:r>
                <w:r w:rsidR="00EE7276">
                  <w:rPr>
                    <w:noProof/>
                    <w:webHidden/>
                  </w:rPr>
                  <w:t>137</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307" w:history="1">
                <w:r w:rsidR="00350652" w:rsidRPr="00D475B4">
                  <w:rPr>
                    <w:rStyle w:val="Hyperlink"/>
                    <w:noProof/>
                  </w:rPr>
                  <w:t>8.3</w:t>
                </w:r>
                <w:r w:rsidR="00350652">
                  <w:rPr>
                    <w:rFonts w:eastAsiaTheme="minorEastAsia" w:cstheme="minorBidi"/>
                    <w:b w:val="0"/>
                    <w:bCs w:val="0"/>
                    <w:noProof/>
                    <w:sz w:val="22"/>
                    <w:szCs w:val="22"/>
                  </w:rPr>
                  <w:tab/>
                </w:r>
                <w:r w:rsidR="00350652" w:rsidRPr="00D475B4">
                  <w:rPr>
                    <w:rStyle w:val="Hyperlink"/>
                    <w:noProof/>
                  </w:rPr>
                  <w:t>RCV Allocation and Bi-lateral Markets</w:t>
                </w:r>
                <w:r w:rsidR="00350652">
                  <w:rPr>
                    <w:noProof/>
                    <w:webHidden/>
                  </w:rPr>
                  <w:tab/>
                </w:r>
                <w:r w:rsidR="00350652">
                  <w:rPr>
                    <w:noProof/>
                    <w:webHidden/>
                  </w:rPr>
                  <w:fldChar w:fldCharType="begin"/>
                </w:r>
                <w:r w:rsidR="00350652">
                  <w:rPr>
                    <w:noProof/>
                    <w:webHidden/>
                  </w:rPr>
                  <w:instrText xml:space="preserve"> PAGEREF _Toc523651307 \h </w:instrText>
                </w:r>
                <w:r w:rsidR="00350652">
                  <w:rPr>
                    <w:noProof/>
                    <w:webHidden/>
                  </w:rPr>
                </w:r>
                <w:r w:rsidR="00350652">
                  <w:rPr>
                    <w:noProof/>
                    <w:webHidden/>
                  </w:rPr>
                  <w:fldChar w:fldCharType="separate"/>
                </w:r>
                <w:r w:rsidR="00EE7276">
                  <w:rPr>
                    <w:noProof/>
                    <w:webHidden/>
                  </w:rPr>
                  <w:t>138</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308" w:history="1">
                <w:r w:rsidR="00350652" w:rsidRPr="00D475B4">
                  <w:rPr>
                    <w:rStyle w:val="Hyperlink"/>
                    <w:noProof/>
                  </w:rPr>
                  <w:t>8.4</w:t>
                </w:r>
                <w:r w:rsidR="00350652">
                  <w:rPr>
                    <w:rFonts w:eastAsiaTheme="minorEastAsia" w:cstheme="minorBidi"/>
                    <w:b w:val="0"/>
                    <w:bCs w:val="0"/>
                    <w:noProof/>
                    <w:sz w:val="22"/>
                    <w:szCs w:val="22"/>
                  </w:rPr>
                  <w:tab/>
                </w:r>
                <w:r w:rsidR="00350652" w:rsidRPr="00D475B4">
                  <w:rPr>
                    <w:rStyle w:val="Hyperlink"/>
                    <w:noProof/>
                  </w:rPr>
                  <w:t>Retail</w:t>
                </w:r>
                <w:r w:rsidR="00350652">
                  <w:rPr>
                    <w:noProof/>
                    <w:webHidden/>
                  </w:rPr>
                  <w:tab/>
                </w:r>
                <w:r w:rsidR="00350652">
                  <w:rPr>
                    <w:noProof/>
                    <w:webHidden/>
                  </w:rPr>
                  <w:fldChar w:fldCharType="begin"/>
                </w:r>
                <w:r w:rsidR="00350652">
                  <w:rPr>
                    <w:noProof/>
                    <w:webHidden/>
                  </w:rPr>
                  <w:instrText xml:space="preserve"> PAGEREF _Toc523651308 \h </w:instrText>
                </w:r>
                <w:r w:rsidR="00350652">
                  <w:rPr>
                    <w:noProof/>
                    <w:webHidden/>
                  </w:rPr>
                </w:r>
                <w:r w:rsidR="00350652">
                  <w:rPr>
                    <w:noProof/>
                    <w:webHidden/>
                  </w:rPr>
                  <w:fldChar w:fldCharType="separate"/>
                </w:r>
                <w:r w:rsidR="00EE7276">
                  <w:rPr>
                    <w:noProof/>
                    <w:webHidden/>
                  </w:rPr>
                  <w:t>139</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09" w:history="1">
                <w:r w:rsidR="00350652" w:rsidRPr="00D475B4">
                  <w:rPr>
                    <w:rStyle w:val="Hyperlink"/>
                    <w:noProof/>
                    <w14:scene3d>
                      <w14:camera w14:prst="orthographicFront"/>
                      <w14:lightRig w14:rig="threePt" w14:dir="t">
                        <w14:rot w14:lat="0" w14:lon="0" w14:rev="0"/>
                      </w14:lightRig>
                    </w14:scene3d>
                  </w:rPr>
                  <w:t>8.4.1</w:t>
                </w:r>
                <w:r w:rsidR="00350652">
                  <w:rPr>
                    <w:rFonts w:eastAsiaTheme="minorEastAsia" w:cstheme="minorBidi"/>
                    <w:noProof/>
                    <w:sz w:val="22"/>
                    <w:szCs w:val="22"/>
                  </w:rPr>
                  <w:tab/>
                </w:r>
                <w:r w:rsidR="00350652" w:rsidRPr="00D475B4">
                  <w:rPr>
                    <w:rStyle w:val="Hyperlink"/>
                    <w:noProof/>
                  </w:rPr>
                  <w:t>Voids and Gap Sites</w:t>
                </w:r>
                <w:r w:rsidR="00350652">
                  <w:rPr>
                    <w:noProof/>
                    <w:webHidden/>
                  </w:rPr>
                  <w:tab/>
                </w:r>
                <w:r w:rsidR="00350652">
                  <w:rPr>
                    <w:noProof/>
                    <w:webHidden/>
                  </w:rPr>
                  <w:fldChar w:fldCharType="begin"/>
                </w:r>
                <w:r w:rsidR="00350652">
                  <w:rPr>
                    <w:noProof/>
                    <w:webHidden/>
                  </w:rPr>
                  <w:instrText xml:space="preserve"> PAGEREF _Toc523651309 \h </w:instrText>
                </w:r>
                <w:r w:rsidR="00350652">
                  <w:rPr>
                    <w:noProof/>
                    <w:webHidden/>
                  </w:rPr>
                </w:r>
                <w:r w:rsidR="00350652">
                  <w:rPr>
                    <w:noProof/>
                    <w:webHidden/>
                  </w:rPr>
                  <w:fldChar w:fldCharType="separate"/>
                </w:r>
                <w:r w:rsidR="00EE7276">
                  <w:rPr>
                    <w:noProof/>
                    <w:webHidden/>
                  </w:rPr>
                  <w:t>139</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10" w:history="1">
                <w:r w:rsidR="00350652" w:rsidRPr="00D475B4">
                  <w:rPr>
                    <w:rStyle w:val="Hyperlink"/>
                    <w:rFonts w:eastAsiaTheme="minorHAnsi"/>
                    <w:noProof/>
                    <w:lang w:eastAsia="en-US"/>
                    <w14:scene3d>
                      <w14:camera w14:prst="orthographicFront"/>
                      <w14:lightRig w14:rig="threePt" w14:dir="t">
                        <w14:rot w14:lat="0" w14:lon="0" w14:rev="0"/>
                      </w14:lightRig>
                    </w14:scene3d>
                  </w:rPr>
                  <w:t>8.4.2</w:t>
                </w:r>
                <w:r w:rsidR="00350652">
                  <w:rPr>
                    <w:rFonts w:eastAsiaTheme="minorEastAsia" w:cstheme="minorBidi"/>
                    <w:noProof/>
                    <w:sz w:val="22"/>
                    <w:szCs w:val="22"/>
                  </w:rPr>
                  <w:tab/>
                </w:r>
                <w:r w:rsidR="00350652" w:rsidRPr="00D475B4">
                  <w:rPr>
                    <w:rStyle w:val="Hyperlink"/>
                    <w:rFonts w:eastAsiaTheme="minorHAnsi"/>
                    <w:noProof/>
                    <w:lang w:eastAsia="en-US"/>
                  </w:rPr>
                  <w:t>Learning from the business retail market</w:t>
                </w:r>
                <w:r w:rsidR="00350652">
                  <w:rPr>
                    <w:noProof/>
                    <w:webHidden/>
                  </w:rPr>
                  <w:tab/>
                </w:r>
                <w:r w:rsidR="00350652">
                  <w:rPr>
                    <w:noProof/>
                    <w:webHidden/>
                  </w:rPr>
                  <w:fldChar w:fldCharType="begin"/>
                </w:r>
                <w:r w:rsidR="00350652">
                  <w:rPr>
                    <w:noProof/>
                    <w:webHidden/>
                  </w:rPr>
                  <w:instrText xml:space="preserve"> PAGEREF _Toc523651310 \h </w:instrText>
                </w:r>
                <w:r w:rsidR="00350652">
                  <w:rPr>
                    <w:noProof/>
                    <w:webHidden/>
                  </w:rPr>
                </w:r>
                <w:r w:rsidR="00350652">
                  <w:rPr>
                    <w:noProof/>
                    <w:webHidden/>
                  </w:rPr>
                  <w:fldChar w:fldCharType="separate"/>
                </w:r>
                <w:r w:rsidR="00EE7276">
                  <w:rPr>
                    <w:noProof/>
                    <w:webHidden/>
                  </w:rPr>
                  <w:t>140</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311" w:history="1">
                <w:r w:rsidR="00350652" w:rsidRPr="00D475B4">
                  <w:rPr>
                    <w:rStyle w:val="Hyperlink"/>
                    <w:noProof/>
                  </w:rPr>
                  <w:t>9</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Cost Efficiency</w:t>
                </w:r>
                <w:r w:rsidR="00350652">
                  <w:rPr>
                    <w:noProof/>
                    <w:webHidden/>
                  </w:rPr>
                  <w:tab/>
                </w:r>
                <w:r w:rsidR="00350652">
                  <w:rPr>
                    <w:noProof/>
                    <w:webHidden/>
                  </w:rPr>
                  <w:fldChar w:fldCharType="begin"/>
                </w:r>
                <w:r w:rsidR="00350652">
                  <w:rPr>
                    <w:noProof/>
                    <w:webHidden/>
                  </w:rPr>
                  <w:instrText xml:space="preserve"> PAGEREF _Toc523651311 \h </w:instrText>
                </w:r>
                <w:r w:rsidR="00350652">
                  <w:rPr>
                    <w:noProof/>
                    <w:webHidden/>
                  </w:rPr>
                </w:r>
                <w:r w:rsidR="00350652">
                  <w:rPr>
                    <w:noProof/>
                    <w:webHidden/>
                  </w:rPr>
                  <w:fldChar w:fldCharType="separate"/>
                </w:r>
                <w:r w:rsidR="00EE7276">
                  <w:rPr>
                    <w:noProof/>
                    <w:webHidden/>
                  </w:rPr>
                  <w:t>141</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312" w:history="1">
                <w:r w:rsidR="00350652" w:rsidRPr="00D475B4">
                  <w:rPr>
                    <w:rStyle w:val="Hyperlink"/>
                    <w:noProof/>
                  </w:rPr>
                  <w:t>9.1</w:t>
                </w:r>
                <w:r w:rsidR="00350652">
                  <w:rPr>
                    <w:rFonts w:eastAsiaTheme="minorEastAsia" w:cstheme="minorBidi"/>
                    <w:b w:val="0"/>
                    <w:bCs w:val="0"/>
                    <w:noProof/>
                    <w:sz w:val="22"/>
                    <w:szCs w:val="22"/>
                  </w:rPr>
                  <w:tab/>
                </w:r>
                <w:r w:rsidR="00350652" w:rsidRPr="00D475B4">
                  <w:rPr>
                    <w:rStyle w:val="Hyperlink"/>
                    <w:noProof/>
                  </w:rPr>
                  <w:t>Totex Efficiency (Wholesale)</w:t>
                </w:r>
                <w:r w:rsidR="00350652">
                  <w:rPr>
                    <w:noProof/>
                    <w:webHidden/>
                  </w:rPr>
                  <w:tab/>
                </w:r>
                <w:r w:rsidR="00350652">
                  <w:rPr>
                    <w:noProof/>
                    <w:webHidden/>
                  </w:rPr>
                  <w:fldChar w:fldCharType="begin"/>
                </w:r>
                <w:r w:rsidR="00350652">
                  <w:rPr>
                    <w:noProof/>
                    <w:webHidden/>
                  </w:rPr>
                  <w:instrText xml:space="preserve"> PAGEREF _Toc523651312 \h </w:instrText>
                </w:r>
                <w:r w:rsidR="00350652">
                  <w:rPr>
                    <w:noProof/>
                    <w:webHidden/>
                  </w:rPr>
                </w:r>
                <w:r w:rsidR="00350652">
                  <w:rPr>
                    <w:noProof/>
                    <w:webHidden/>
                  </w:rPr>
                  <w:fldChar w:fldCharType="separate"/>
                </w:r>
                <w:r w:rsidR="00EE7276">
                  <w:rPr>
                    <w:noProof/>
                    <w:webHidden/>
                  </w:rPr>
                  <w:t>141</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13" w:history="1">
                <w:r w:rsidR="00350652" w:rsidRPr="00D475B4">
                  <w:rPr>
                    <w:rStyle w:val="Hyperlink"/>
                    <w:noProof/>
                    <w14:scene3d>
                      <w14:camera w14:prst="orthographicFront"/>
                      <w14:lightRig w14:rig="threePt" w14:dir="t">
                        <w14:rot w14:lat="0" w14:lon="0" w14:rev="0"/>
                      </w14:lightRig>
                    </w14:scene3d>
                  </w:rPr>
                  <w:t>9.1.1</w:t>
                </w:r>
                <w:r w:rsidR="00350652">
                  <w:rPr>
                    <w:rFonts w:eastAsiaTheme="minorEastAsia" w:cstheme="minorBidi"/>
                    <w:noProof/>
                    <w:sz w:val="22"/>
                    <w:szCs w:val="22"/>
                  </w:rPr>
                  <w:tab/>
                </w:r>
                <w:r w:rsidR="00350652" w:rsidRPr="00D475B4">
                  <w:rPr>
                    <w:rStyle w:val="Hyperlink"/>
                    <w:noProof/>
                  </w:rPr>
                  <w:t>Benchmarking</w:t>
                </w:r>
                <w:r w:rsidR="00350652">
                  <w:rPr>
                    <w:noProof/>
                    <w:webHidden/>
                  </w:rPr>
                  <w:tab/>
                </w:r>
                <w:r w:rsidR="00350652">
                  <w:rPr>
                    <w:noProof/>
                    <w:webHidden/>
                  </w:rPr>
                  <w:fldChar w:fldCharType="begin"/>
                </w:r>
                <w:r w:rsidR="00350652">
                  <w:rPr>
                    <w:noProof/>
                    <w:webHidden/>
                  </w:rPr>
                  <w:instrText xml:space="preserve"> PAGEREF _Toc523651313 \h </w:instrText>
                </w:r>
                <w:r w:rsidR="00350652">
                  <w:rPr>
                    <w:noProof/>
                    <w:webHidden/>
                  </w:rPr>
                </w:r>
                <w:r w:rsidR="00350652">
                  <w:rPr>
                    <w:noProof/>
                    <w:webHidden/>
                  </w:rPr>
                  <w:fldChar w:fldCharType="separate"/>
                </w:r>
                <w:r w:rsidR="00EE7276">
                  <w:rPr>
                    <w:noProof/>
                    <w:webHidden/>
                  </w:rPr>
                  <w:t>142</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14" w:history="1">
                <w:r w:rsidR="00350652" w:rsidRPr="00D475B4">
                  <w:rPr>
                    <w:rStyle w:val="Hyperlink"/>
                    <w:noProof/>
                    <w14:scene3d>
                      <w14:camera w14:prst="orthographicFront"/>
                      <w14:lightRig w14:rig="threePt" w14:dir="t">
                        <w14:rot w14:lat="0" w14:lon="0" w14:rev="0"/>
                      </w14:lightRig>
                    </w14:scene3d>
                  </w:rPr>
                  <w:t>9.1.2</w:t>
                </w:r>
                <w:r w:rsidR="00350652">
                  <w:rPr>
                    <w:rFonts w:eastAsiaTheme="minorEastAsia" w:cstheme="minorBidi"/>
                    <w:noProof/>
                    <w:sz w:val="22"/>
                    <w:szCs w:val="22"/>
                  </w:rPr>
                  <w:tab/>
                </w:r>
                <w:r w:rsidR="00350652" w:rsidRPr="00D475B4">
                  <w:rPr>
                    <w:rStyle w:val="Hyperlink"/>
                    <w:noProof/>
                  </w:rPr>
                  <w:t>Use of Markets and Competitive Processes  and innovative delivery models</w:t>
                </w:r>
                <w:r w:rsidR="00350652">
                  <w:rPr>
                    <w:noProof/>
                    <w:webHidden/>
                  </w:rPr>
                  <w:tab/>
                </w:r>
                <w:r w:rsidR="00350652">
                  <w:rPr>
                    <w:noProof/>
                    <w:webHidden/>
                  </w:rPr>
                  <w:fldChar w:fldCharType="begin"/>
                </w:r>
                <w:r w:rsidR="00350652">
                  <w:rPr>
                    <w:noProof/>
                    <w:webHidden/>
                  </w:rPr>
                  <w:instrText xml:space="preserve"> PAGEREF _Toc523651314 \h </w:instrText>
                </w:r>
                <w:r w:rsidR="00350652">
                  <w:rPr>
                    <w:noProof/>
                    <w:webHidden/>
                  </w:rPr>
                </w:r>
                <w:r w:rsidR="00350652">
                  <w:rPr>
                    <w:noProof/>
                    <w:webHidden/>
                  </w:rPr>
                  <w:fldChar w:fldCharType="separate"/>
                </w:r>
                <w:r w:rsidR="00EE7276">
                  <w:rPr>
                    <w:noProof/>
                    <w:webHidden/>
                  </w:rPr>
                  <w:t>142</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15" w:history="1">
                <w:r w:rsidR="00350652" w:rsidRPr="00D475B4">
                  <w:rPr>
                    <w:rStyle w:val="Hyperlink"/>
                    <w:noProof/>
                    <w14:scene3d>
                      <w14:camera w14:prst="orthographicFront"/>
                      <w14:lightRig w14:rig="threePt" w14:dir="t">
                        <w14:rot w14:lat="0" w14:lon="0" w14:rev="0"/>
                      </w14:lightRig>
                    </w14:scene3d>
                  </w:rPr>
                  <w:t>9.1.3</w:t>
                </w:r>
                <w:r w:rsidR="00350652">
                  <w:rPr>
                    <w:rFonts w:eastAsiaTheme="minorEastAsia" w:cstheme="minorBidi"/>
                    <w:noProof/>
                    <w:sz w:val="22"/>
                    <w:szCs w:val="22"/>
                  </w:rPr>
                  <w:tab/>
                </w:r>
                <w:r w:rsidR="00350652" w:rsidRPr="00D475B4">
                  <w:rPr>
                    <w:rStyle w:val="Hyperlink"/>
                    <w:noProof/>
                  </w:rPr>
                  <w:t>Optimisation of Approaches</w:t>
                </w:r>
                <w:r w:rsidR="00350652">
                  <w:rPr>
                    <w:noProof/>
                    <w:webHidden/>
                  </w:rPr>
                  <w:tab/>
                </w:r>
                <w:r w:rsidR="00350652">
                  <w:rPr>
                    <w:noProof/>
                    <w:webHidden/>
                  </w:rPr>
                  <w:fldChar w:fldCharType="begin"/>
                </w:r>
                <w:r w:rsidR="00350652">
                  <w:rPr>
                    <w:noProof/>
                    <w:webHidden/>
                  </w:rPr>
                  <w:instrText xml:space="preserve"> PAGEREF _Toc523651315 \h </w:instrText>
                </w:r>
                <w:r w:rsidR="00350652">
                  <w:rPr>
                    <w:noProof/>
                    <w:webHidden/>
                  </w:rPr>
                </w:r>
                <w:r w:rsidR="00350652">
                  <w:rPr>
                    <w:noProof/>
                    <w:webHidden/>
                  </w:rPr>
                  <w:fldChar w:fldCharType="separate"/>
                </w:r>
                <w:r w:rsidR="00EE7276">
                  <w:rPr>
                    <w:noProof/>
                    <w:webHidden/>
                  </w:rPr>
                  <w:t>144</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16" w:history="1">
                <w:r w:rsidR="00350652" w:rsidRPr="00D475B4">
                  <w:rPr>
                    <w:rStyle w:val="Hyperlink"/>
                    <w:noProof/>
                    <w14:scene3d>
                      <w14:camera w14:prst="orthographicFront"/>
                      <w14:lightRig w14:rig="threePt" w14:dir="t">
                        <w14:rot w14:lat="0" w14:lon="0" w14:rev="0"/>
                      </w14:lightRig>
                    </w14:scene3d>
                  </w:rPr>
                  <w:t>9.1.4</w:t>
                </w:r>
                <w:r w:rsidR="00350652">
                  <w:rPr>
                    <w:rFonts w:eastAsiaTheme="minorEastAsia" w:cstheme="minorBidi"/>
                    <w:noProof/>
                    <w:sz w:val="22"/>
                    <w:szCs w:val="22"/>
                  </w:rPr>
                  <w:tab/>
                </w:r>
                <w:r w:rsidR="00350652" w:rsidRPr="00D475B4">
                  <w:rPr>
                    <w:rStyle w:val="Hyperlink"/>
                    <w:noProof/>
                  </w:rPr>
                  <w:t>Efficient use of Technology</w:t>
                </w:r>
                <w:r w:rsidR="00350652">
                  <w:rPr>
                    <w:noProof/>
                    <w:webHidden/>
                  </w:rPr>
                  <w:tab/>
                </w:r>
                <w:r w:rsidR="00350652">
                  <w:rPr>
                    <w:noProof/>
                    <w:webHidden/>
                  </w:rPr>
                  <w:fldChar w:fldCharType="begin"/>
                </w:r>
                <w:r w:rsidR="00350652">
                  <w:rPr>
                    <w:noProof/>
                    <w:webHidden/>
                  </w:rPr>
                  <w:instrText xml:space="preserve"> PAGEREF _Toc523651316 \h </w:instrText>
                </w:r>
                <w:r w:rsidR="00350652">
                  <w:rPr>
                    <w:noProof/>
                    <w:webHidden/>
                  </w:rPr>
                </w:r>
                <w:r w:rsidR="00350652">
                  <w:rPr>
                    <w:noProof/>
                    <w:webHidden/>
                  </w:rPr>
                  <w:fldChar w:fldCharType="separate"/>
                </w:r>
                <w:r w:rsidR="00EE7276">
                  <w:rPr>
                    <w:noProof/>
                    <w:webHidden/>
                  </w:rPr>
                  <w:t>146</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17" w:history="1">
                <w:r w:rsidR="00350652" w:rsidRPr="00D475B4">
                  <w:rPr>
                    <w:rStyle w:val="Hyperlink"/>
                    <w:noProof/>
                    <w14:scene3d>
                      <w14:camera w14:prst="orthographicFront"/>
                      <w14:lightRig w14:rig="threePt" w14:dir="t">
                        <w14:rot w14:lat="0" w14:lon="0" w14:rev="0"/>
                      </w14:lightRig>
                    </w14:scene3d>
                  </w:rPr>
                  <w:t>9.1.5</w:t>
                </w:r>
                <w:r w:rsidR="00350652">
                  <w:rPr>
                    <w:rFonts w:eastAsiaTheme="minorEastAsia" w:cstheme="minorBidi"/>
                    <w:noProof/>
                    <w:sz w:val="22"/>
                    <w:szCs w:val="22"/>
                  </w:rPr>
                  <w:tab/>
                </w:r>
                <w:r w:rsidR="00350652" w:rsidRPr="00D475B4">
                  <w:rPr>
                    <w:rStyle w:val="Hyperlink"/>
                    <w:noProof/>
                  </w:rPr>
                  <w:t>Targeted Efficiency Savings</w:t>
                </w:r>
                <w:r w:rsidR="00350652">
                  <w:rPr>
                    <w:noProof/>
                    <w:webHidden/>
                  </w:rPr>
                  <w:tab/>
                </w:r>
                <w:r w:rsidR="00350652">
                  <w:rPr>
                    <w:noProof/>
                    <w:webHidden/>
                  </w:rPr>
                  <w:fldChar w:fldCharType="begin"/>
                </w:r>
                <w:r w:rsidR="00350652">
                  <w:rPr>
                    <w:noProof/>
                    <w:webHidden/>
                  </w:rPr>
                  <w:instrText xml:space="preserve"> PAGEREF _Toc523651317 \h </w:instrText>
                </w:r>
                <w:r w:rsidR="00350652">
                  <w:rPr>
                    <w:noProof/>
                    <w:webHidden/>
                  </w:rPr>
                </w:r>
                <w:r w:rsidR="00350652">
                  <w:rPr>
                    <w:noProof/>
                    <w:webHidden/>
                  </w:rPr>
                  <w:fldChar w:fldCharType="separate"/>
                </w:r>
                <w:r w:rsidR="00EE7276">
                  <w:rPr>
                    <w:noProof/>
                    <w:webHidden/>
                  </w:rPr>
                  <w:t>148</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18" w:history="1">
                <w:r w:rsidR="00350652" w:rsidRPr="00D475B4">
                  <w:rPr>
                    <w:rStyle w:val="Hyperlink"/>
                    <w:noProof/>
                    <w14:scene3d>
                      <w14:camera w14:prst="orthographicFront"/>
                      <w14:lightRig w14:rig="threePt" w14:dir="t">
                        <w14:rot w14:lat="0" w14:lon="0" w14:rev="0"/>
                      </w14:lightRig>
                    </w14:scene3d>
                  </w:rPr>
                  <w:t>9.1.6</w:t>
                </w:r>
                <w:r w:rsidR="00350652">
                  <w:rPr>
                    <w:rFonts w:eastAsiaTheme="minorEastAsia" w:cstheme="minorBidi"/>
                    <w:noProof/>
                    <w:sz w:val="22"/>
                    <w:szCs w:val="22"/>
                  </w:rPr>
                  <w:tab/>
                </w:r>
                <w:r w:rsidR="00350652" w:rsidRPr="00D475B4">
                  <w:rPr>
                    <w:rStyle w:val="Hyperlink"/>
                    <w:noProof/>
                  </w:rPr>
                  <w:t>Risks to Cost Efficiency</w:t>
                </w:r>
                <w:r w:rsidR="00350652">
                  <w:rPr>
                    <w:noProof/>
                    <w:webHidden/>
                  </w:rPr>
                  <w:tab/>
                </w:r>
                <w:r w:rsidR="00350652">
                  <w:rPr>
                    <w:noProof/>
                    <w:webHidden/>
                  </w:rPr>
                  <w:fldChar w:fldCharType="begin"/>
                </w:r>
                <w:r w:rsidR="00350652">
                  <w:rPr>
                    <w:noProof/>
                    <w:webHidden/>
                  </w:rPr>
                  <w:instrText xml:space="preserve"> PAGEREF _Toc523651318 \h </w:instrText>
                </w:r>
                <w:r w:rsidR="00350652">
                  <w:rPr>
                    <w:noProof/>
                    <w:webHidden/>
                  </w:rPr>
                </w:r>
                <w:r w:rsidR="00350652">
                  <w:rPr>
                    <w:noProof/>
                    <w:webHidden/>
                  </w:rPr>
                  <w:fldChar w:fldCharType="separate"/>
                </w:r>
                <w:r w:rsidR="00EE7276">
                  <w:rPr>
                    <w:noProof/>
                    <w:webHidden/>
                  </w:rPr>
                  <w:t>150</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319" w:history="1">
                <w:r w:rsidR="00350652" w:rsidRPr="00D475B4">
                  <w:rPr>
                    <w:rStyle w:val="Hyperlink"/>
                    <w:noProof/>
                  </w:rPr>
                  <w:t>9.2</w:t>
                </w:r>
                <w:r w:rsidR="00350652">
                  <w:rPr>
                    <w:rFonts w:eastAsiaTheme="minorEastAsia" w:cstheme="minorBidi"/>
                    <w:b w:val="0"/>
                    <w:bCs w:val="0"/>
                    <w:noProof/>
                    <w:sz w:val="22"/>
                    <w:szCs w:val="22"/>
                  </w:rPr>
                  <w:tab/>
                </w:r>
                <w:r w:rsidR="00350652" w:rsidRPr="00D475B4">
                  <w:rPr>
                    <w:rStyle w:val="Hyperlink"/>
                    <w:noProof/>
                  </w:rPr>
                  <w:t>Retail Efficiency</w:t>
                </w:r>
                <w:r w:rsidR="00350652">
                  <w:rPr>
                    <w:noProof/>
                    <w:webHidden/>
                  </w:rPr>
                  <w:tab/>
                </w:r>
                <w:r w:rsidR="00350652">
                  <w:rPr>
                    <w:noProof/>
                    <w:webHidden/>
                  </w:rPr>
                  <w:fldChar w:fldCharType="begin"/>
                </w:r>
                <w:r w:rsidR="00350652">
                  <w:rPr>
                    <w:noProof/>
                    <w:webHidden/>
                  </w:rPr>
                  <w:instrText xml:space="preserve"> PAGEREF _Toc523651319 \h </w:instrText>
                </w:r>
                <w:r w:rsidR="00350652">
                  <w:rPr>
                    <w:noProof/>
                    <w:webHidden/>
                  </w:rPr>
                </w:r>
                <w:r w:rsidR="00350652">
                  <w:rPr>
                    <w:noProof/>
                    <w:webHidden/>
                  </w:rPr>
                  <w:fldChar w:fldCharType="separate"/>
                </w:r>
                <w:r w:rsidR="00EE7276">
                  <w:rPr>
                    <w:noProof/>
                    <w:webHidden/>
                  </w:rPr>
                  <w:t>150</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20" w:history="1">
                <w:r w:rsidR="00350652" w:rsidRPr="00D475B4">
                  <w:rPr>
                    <w:rStyle w:val="Hyperlink"/>
                    <w:noProof/>
                    <w14:scene3d>
                      <w14:camera w14:prst="orthographicFront"/>
                      <w14:lightRig w14:rig="threePt" w14:dir="t">
                        <w14:rot w14:lat="0" w14:lon="0" w14:rev="0"/>
                      </w14:lightRig>
                    </w14:scene3d>
                  </w:rPr>
                  <w:t>9.2.1</w:t>
                </w:r>
                <w:r w:rsidR="00350652">
                  <w:rPr>
                    <w:rFonts w:eastAsiaTheme="minorEastAsia" w:cstheme="minorBidi"/>
                    <w:noProof/>
                    <w:sz w:val="22"/>
                    <w:szCs w:val="22"/>
                  </w:rPr>
                  <w:tab/>
                </w:r>
                <w:r w:rsidR="00350652" w:rsidRPr="00D475B4">
                  <w:rPr>
                    <w:rStyle w:val="Hyperlink"/>
                    <w:noProof/>
                  </w:rPr>
                  <w:t>Bad Debt</w:t>
                </w:r>
                <w:r w:rsidR="00350652">
                  <w:rPr>
                    <w:noProof/>
                    <w:webHidden/>
                  </w:rPr>
                  <w:tab/>
                </w:r>
                <w:r w:rsidR="00350652">
                  <w:rPr>
                    <w:noProof/>
                    <w:webHidden/>
                  </w:rPr>
                  <w:fldChar w:fldCharType="begin"/>
                </w:r>
                <w:r w:rsidR="00350652">
                  <w:rPr>
                    <w:noProof/>
                    <w:webHidden/>
                  </w:rPr>
                  <w:instrText xml:space="preserve"> PAGEREF _Toc523651320 \h </w:instrText>
                </w:r>
                <w:r w:rsidR="00350652">
                  <w:rPr>
                    <w:noProof/>
                    <w:webHidden/>
                  </w:rPr>
                </w:r>
                <w:r w:rsidR="00350652">
                  <w:rPr>
                    <w:noProof/>
                    <w:webHidden/>
                  </w:rPr>
                  <w:fldChar w:fldCharType="separate"/>
                </w:r>
                <w:r w:rsidR="00EE7276">
                  <w:rPr>
                    <w:noProof/>
                    <w:webHidden/>
                  </w:rPr>
                  <w:t>150</w:t>
                </w:r>
                <w:r w:rsidR="00350652">
                  <w:rPr>
                    <w:noProof/>
                    <w:webHidden/>
                  </w:rPr>
                  <w:fldChar w:fldCharType="end"/>
                </w:r>
              </w:hyperlink>
            </w:p>
            <w:p w:rsidR="00350652" w:rsidRDefault="00E56911">
              <w:pPr>
                <w:pStyle w:val="TOC3"/>
                <w:tabs>
                  <w:tab w:val="left" w:pos="960"/>
                  <w:tab w:val="right" w:pos="8296"/>
                </w:tabs>
                <w:rPr>
                  <w:rFonts w:eastAsiaTheme="minorEastAsia" w:cstheme="minorBidi"/>
                  <w:noProof/>
                  <w:sz w:val="22"/>
                  <w:szCs w:val="22"/>
                </w:rPr>
              </w:pPr>
              <w:hyperlink w:anchor="_Toc523651321" w:history="1">
                <w:r w:rsidR="00350652" w:rsidRPr="00D475B4">
                  <w:rPr>
                    <w:rStyle w:val="Hyperlink"/>
                    <w:noProof/>
                    <w14:scene3d>
                      <w14:camera w14:prst="orthographicFront"/>
                      <w14:lightRig w14:rig="threePt" w14:dir="t">
                        <w14:rot w14:lat="0" w14:lon="0" w14:rev="0"/>
                      </w14:lightRig>
                    </w14:scene3d>
                  </w:rPr>
                  <w:t>9.2.2</w:t>
                </w:r>
                <w:r w:rsidR="00350652">
                  <w:rPr>
                    <w:rFonts w:eastAsiaTheme="minorEastAsia" w:cstheme="minorBidi"/>
                    <w:noProof/>
                    <w:sz w:val="22"/>
                    <w:szCs w:val="22"/>
                  </w:rPr>
                  <w:tab/>
                </w:r>
                <w:r w:rsidR="00350652" w:rsidRPr="00D475B4">
                  <w:rPr>
                    <w:rStyle w:val="Hyperlink"/>
                    <w:noProof/>
                  </w:rPr>
                  <w:t>Input Price Pressures (IPP)</w:t>
                </w:r>
                <w:r w:rsidR="00350652">
                  <w:rPr>
                    <w:noProof/>
                    <w:webHidden/>
                  </w:rPr>
                  <w:tab/>
                </w:r>
                <w:r w:rsidR="00350652">
                  <w:rPr>
                    <w:noProof/>
                    <w:webHidden/>
                  </w:rPr>
                  <w:fldChar w:fldCharType="begin"/>
                </w:r>
                <w:r w:rsidR="00350652">
                  <w:rPr>
                    <w:noProof/>
                    <w:webHidden/>
                  </w:rPr>
                  <w:instrText xml:space="preserve"> PAGEREF _Toc523651321 \h </w:instrText>
                </w:r>
                <w:r w:rsidR="00350652">
                  <w:rPr>
                    <w:noProof/>
                    <w:webHidden/>
                  </w:rPr>
                </w:r>
                <w:r w:rsidR="00350652">
                  <w:rPr>
                    <w:noProof/>
                    <w:webHidden/>
                  </w:rPr>
                  <w:fldChar w:fldCharType="separate"/>
                </w:r>
                <w:r w:rsidR="00EE7276">
                  <w:rPr>
                    <w:noProof/>
                    <w:webHidden/>
                  </w:rPr>
                  <w:t>152</w:t>
                </w:r>
                <w:r w:rsidR="00350652">
                  <w:rPr>
                    <w:noProof/>
                    <w:webHidden/>
                  </w:rPr>
                  <w:fldChar w:fldCharType="end"/>
                </w:r>
              </w:hyperlink>
            </w:p>
            <w:p w:rsidR="00350652" w:rsidRDefault="00E56911">
              <w:pPr>
                <w:pStyle w:val="TOC2"/>
                <w:tabs>
                  <w:tab w:val="left" w:pos="480"/>
                  <w:tab w:val="right" w:pos="8296"/>
                </w:tabs>
                <w:rPr>
                  <w:rFonts w:eastAsiaTheme="minorEastAsia" w:cstheme="minorBidi"/>
                  <w:b w:val="0"/>
                  <w:bCs w:val="0"/>
                  <w:noProof/>
                  <w:sz w:val="22"/>
                  <w:szCs w:val="22"/>
                </w:rPr>
              </w:pPr>
              <w:hyperlink w:anchor="_Toc523651322" w:history="1">
                <w:r w:rsidR="00350652" w:rsidRPr="00D475B4">
                  <w:rPr>
                    <w:rStyle w:val="Hyperlink"/>
                    <w:noProof/>
                  </w:rPr>
                  <w:t>9.3</w:t>
                </w:r>
                <w:r w:rsidR="00350652">
                  <w:rPr>
                    <w:rFonts w:eastAsiaTheme="minorEastAsia" w:cstheme="minorBidi"/>
                    <w:b w:val="0"/>
                    <w:bCs w:val="0"/>
                    <w:noProof/>
                    <w:sz w:val="22"/>
                    <w:szCs w:val="22"/>
                  </w:rPr>
                  <w:tab/>
                </w:r>
                <w:r w:rsidR="00350652" w:rsidRPr="00D475B4">
                  <w:rPr>
                    <w:rStyle w:val="Hyperlink"/>
                    <w:noProof/>
                  </w:rPr>
                  <w:t>Cost Efficiency – Enhancements expenditure</w:t>
                </w:r>
                <w:r w:rsidR="00350652">
                  <w:rPr>
                    <w:noProof/>
                    <w:webHidden/>
                  </w:rPr>
                  <w:tab/>
                </w:r>
                <w:r w:rsidR="00350652">
                  <w:rPr>
                    <w:noProof/>
                    <w:webHidden/>
                  </w:rPr>
                  <w:fldChar w:fldCharType="begin"/>
                </w:r>
                <w:r w:rsidR="00350652">
                  <w:rPr>
                    <w:noProof/>
                    <w:webHidden/>
                  </w:rPr>
                  <w:instrText xml:space="preserve"> PAGEREF _Toc523651322 \h </w:instrText>
                </w:r>
                <w:r w:rsidR="00350652">
                  <w:rPr>
                    <w:noProof/>
                    <w:webHidden/>
                  </w:rPr>
                </w:r>
                <w:r w:rsidR="00350652">
                  <w:rPr>
                    <w:noProof/>
                    <w:webHidden/>
                  </w:rPr>
                  <w:fldChar w:fldCharType="separate"/>
                </w:r>
                <w:r w:rsidR="00EE7276">
                  <w:rPr>
                    <w:noProof/>
                    <w:webHidden/>
                  </w:rPr>
                  <w:t>152</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323" w:history="1">
                <w:r w:rsidR="00350652" w:rsidRPr="00D475B4">
                  <w:rPr>
                    <w:rStyle w:val="Hyperlink"/>
                    <w:noProof/>
                  </w:rPr>
                  <w:t>10</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Risk and Return Alignment</w:t>
                </w:r>
                <w:r w:rsidR="00350652">
                  <w:rPr>
                    <w:noProof/>
                    <w:webHidden/>
                  </w:rPr>
                  <w:tab/>
                </w:r>
                <w:r w:rsidR="00350652">
                  <w:rPr>
                    <w:noProof/>
                    <w:webHidden/>
                  </w:rPr>
                  <w:fldChar w:fldCharType="begin"/>
                </w:r>
                <w:r w:rsidR="00350652">
                  <w:rPr>
                    <w:noProof/>
                    <w:webHidden/>
                  </w:rPr>
                  <w:instrText xml:space="preserve"> PAGEREF _Toc523651323 \h </w:instrText>
                </w:r>
                <w:r w:rsidR="00350652">
                  <w:rPr>
                    <w:noProof/>
                    <w:webHidden/>
                  </w:rPr>
                </w:r>
                <w:r w:rsidR="00350652">
                  <w:rPr>
                    <w:noProof/>
                    <w:webHidden/>
                  </w:rPr>
                  <w:fldChar w:fldCharType="separate"/>
                </w:r>
                <w:r w:rsidR="00EE7276">
                  <w:rPr>
                    <w:noProof/>
                    <w:webHidden/>
                  </w:rPr>
                  <w:t>155</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24" w:history="1">
                <w:r w:rsidR="00350652" w:rsidRPr="00D475B4">
                  <w:rPr>
                    <w:rStyle w:val="Hyperlink"/>
                    <w:noProof/>
                  </w:rPr>
                  <w:t>10.1</w:t>
                </w:r>
                <w:r w:rsidR="00350652">
                  <w:rPr>
                    <w:rFonts w:eastAsiaTheme="minorEastAsia" w:cstheme="minorBidi"/>
                    <w:b w:val="0"/>
                    <w:bCs w:val="0"/>
                    <w:noProof/>
                    <w:sz w:val="22"/>
                    <w:szCs w:val="22"/>
                  </w:rPr>
                  <w:tab/>
                </w:r>
                <w:r w:rsidR="00350652" w:rsidRPr="00D475B4">
                  <w:rPr>
                    <w:rStyle w:val="Hyperlink"/>
                    <w:noProof/>
                  </w:rPr>
                  <w:t>WACC &amp; Retail Margin</w:t>
                </w:r>
                <w:r w:rsidR="00350652">
                  <w:rPr>
                    <w:noProof/>
                    <w:webHidden/>
                  </w:rPr>
                  <w:tab/>
                </w:r>
                <w:r w:rsidR="00350652">
                  <w:rPr>
                    <w:noProof/>
                    <w:webHidden/>
                  </w:rPr>
                  <w:fldChar w:fldCharType="begin"/>
                </w:r>
                <w:r w:rsidR="00350652">
                  <w:rPr>
                    <w:noProof/>
                    <w:webHidden/>
                  </w:rPr>
                  <w:instrText xml:space="preserve"> PAGEREF _Toc523651324 \h </w:instrText>
                </w:r>
                <w:r w:rsidR="00350652">
                  <w:rPr>
                    <w:noProof/>
                    <w:webHidden/>
                  </w:rPr>
                </w:r>
                <w:r w:rsidR="00350652">
                  <w:rPr>
                    <w:noProof/>
                    <w:webHidden/>
                  </w:rPr>
                  <w:fldChar w:fldCharType="separate"/>
                </w:r>
                <w:r w:rsidR="00EE7276">
                  <w:rPr>
                    <w:noProof/>
                    <w:webHidden/>
                  </w:rPr>
                  <w:t>155</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25" w:history="1">
                <w:r w:rsidR="00350652" w:rsidRPr="00D475B4">
                  <w:rPr>
                    <w:rStyle w:val="Hyperlink"/>
                    <w:noProof/>
                  </w:rPr>
                  <w:t>10.2</w:t>
                </w:r>
                <w:r w:rsidR="00350652">
                  <w:rPr>
                    <w:rFonts w:eastAsiaTheme="minorEastAsia" w:cstheme="minorBidi"/>
                    <w:b w:val="0"/>
                    <w:bCs w:val="0"/>
                    <w:noProof/>
                    <w:sz w:val="22"/>
                    <w:szCs w:val="22"/>
                  </w:rPr>
                  <w:tab/>
                </w:r>
                <w:r w:rsidR="00350652" w:rsidRPr="00D475B4">
                  <w:rPr>
                    <w:rStyle w:val="Hyperlink"/>
                    <w:noProof/>
                  </w:rPr>
                  <w:t>Company Specific Premium</w:t>
                </w:r>
                <w:r w:rsidR="00350652">
                  <w:rPr>
                    <w:noProof/>
                    <w:webHidden/>
                  </w:rPr>
                  <w:tab/>
                </w:r>
                <w:r w:rsidR="00350652">
                  <w:rPr>
                    <w:noProof/>
                    <w:webHidden/>
                  </w:rPr>
                  <w:fldChar w:fldCharType="begin"/>
                </w:r>
                <w:r w:rsidR="00350652">
                  <w:rPr>
                    <w:noProof/>
                    <w:webHidden/>
                  </w:rPr>
                  <w:instrText xml:space="preserve"> PAGEREF _Toc523651325 \h </w:instrText>
                </w:r>
                <w:r w:rsidR="00350652">
                  <w:rPr>
                    <w:noProof/>
                    <w:webHidden/>
                  </w:rPr>
                </w:r>
                <w:r w:rsidR="00350652">
                  <w:rPr>
                    <w:noProof/>
                    <w:webHidden/>
                  </w:rPr>
                  <w:fldChar w:fldCharType="separate"/>
                </w:r>
                <w:r w:rsidR="00EE7276">
                  <w:rPr>
                    <w:noProof/>
                    <w:webHidden/>
                  </w:rPr>
                  <w:t>155</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26" w:history="1">
                <w:r w:rsidR="00350652" w:rsidRPr="00D475B4">
                  <w:rPr>
                    <w:rStyle w:val="Hyperlink"/>
                    <w:noProof/>
                    <w14:scene3d>
                      <w14:camera w14:prst="orthographicFront"/>
                      <w14:lightRig w14:rig="threePt" w14:dir="t">
                        <w14:rot w14:lat="0" w14:lon="0" w14:rev="0"/>
                      </w14:lightRig>
                    </w14:scene3d>
                  </w:rPr>
                  <w:t>10.2.1</w:t>
                </w:r>
                <w:r w:rsidR="00350652">
                  <w:rPr>
                    <w:rFonts w:eastAsiaTheme="minorEastAsia" w:cstheme="minorBidi"/>
                    <w:noProof/>
                    <w:sz w:val="22"/>
                    <w:szCs w:val="22"/>
                  </w:rPr>
                  <w:tab/>
                </w:r>
                <w:r w:rsidR="00350652" w:rsidRPr="00D475B4">
                  <w:rPr>
                    <w:rStyle w:val="Hyperlink"/>
                    <w:noProof/>
                  </w:rPr>
                  <w:t>Evidence of customer support</w:t>
                </w:r>
                <w:r w:rsidR="00350652">
                  <w:rPr>
                    <w:noProof/>
                    <w:webHidden/>
                  </w:rPr>
                  <w:tab/>
                </w:r>
                <w:r w:rsidR="00350652">
                  <w:rPr>
                    <w:noProof/>
                    <w:webHidden/>
                  </w:rPr>
                  <w:fldChar w:fldCharType="begin"/>
                </w:r>
                <w:r w:rsidR="00350652">
                  <w:rPr>
                    <w:noProof/>
                    <w:webHidden/>
                  </w:rPr>
                  <w:instrText xml:space="preserve"> PAGEREF _Toc523651326 \h </w:instrText>
                </w:r>
                <w:r w:rsidR="00350652">
                  <w:rPr>
                    <w:noProof/>
                    <w:webHidden/>
                  </w:rPr>
                </w:r>
                <w:r w:rsidR="00350652">
                  <w:rPr>
                    <w:noProof/>
                    <w:webHidden/>
                  </w:rPr>
                  <w:fldChar w:fldCharType="separate"/>
                </w:r>
                <w:r w:rsidR="00EE7276">
                  <w:rPr>
                    <w:noProof/>
                    <w:webHidden/>
                  </w:rPr>
                  <w:t>156</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27" w:history="1">
                <w:r w:rsidR="00350652" w:rsidRPr="00D475B4">
                  <w:rPr>
                    <w:rStyle w:val="Hyperlink"/>
                    <w:noProof/>
                    <w14:scene3d>
                      <w14:camera w14:prst="orthographicFront"/>
                      <w14:lightRig w14:rig="threePt" w14:dir="t">
                        <w14:rot w14:lat="0" w14:lon="0" w14:rev="0"/>
                      </w14:lightRig>
                    </w14:scene3d>
                  </w:rPr>
                  <w:t>10.2.2</w:t>
                </w:r>
                <w:r w:rsidR="00350652">
                  <w:rPr>
                    <w:rFonts w:eastAsiaTheme="minorEastAsia" w:cstheme="minorBidi"/>
                    <w:noProof/>
                    <w:sz w:val="22"/>
                    <w:szCs w:val="22"/>
                  </w:rPr>
                  <w:tab/>
                </w:r>
                <w:r w:rsidR="00350652" w:rsidRPr="00D475B4">
                  <w:rPr>
                    <w:rStyle w:val="Hyperlink"/>
                    <w:noProof/>
                  </w:rPr>
                  <w:t>Benefits compensating customers for the increased cost</w:t>
                </w:r>
                <w:r w:rsidR="00350652">
                  <w:rPr>
                    <w:noProof/>
                    <w:webHidden/>
                  </w:rPr>
                  <w:tab/>
                </w:r>
                <w:r w:rsidR="00350652">
                  <w:rPr>
                    <w:noProof/>
                    <w:webHidden/>
                  </w:rPr>
                  <w:fldChar w:fldCharType="begin"/>
                </w:r>
                <w:r w:rsidR="00350652">
                  <w:rPr>
                    <w:noProof/>
                    <w:webHidden/>
                  </w:rPr>
                  <w:instrText xml:space="preserve"> PAGEREF _Toc523651327 \h </w:instrText>
                </w:r>
                <w:r w:rsidR="00350652">
                  <w:rPr>
                    <w:noProof/>
                    <w:webHidden/>
                  </w:rPr>
                </w:r>
                <w:r w:rsidR="00350652">
                  <w:rPr>
                    <w:noProof/>
                    <w:webHidden/>
                  </w:rPr>
                  <w:fldChar w:fldCharType="separate"/>
                </w:r>
                <w:r w:rsidR="00EE7276">
                  <w:rPr>
                    <w:noProof/>
                    <w:webHidden/>
                  </w:rPr>
                  <w:t>156</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28" w:history="1">
                <w:r w:rsidR="00350652" w:rsidRPr="00D475B4">
                  <w:rPr>
                    <w:rStyle w:val="Hyperlink"/>
                    <w:noProof/>
                    <w14:scene3d>
                      <w14:camera w14:prst="orthographicFront"/>
                      <w14:lightRig w14:rig="threePt" w14:dir="t">
                        <w14:rot w14:lat="0" w14:lon="0" w14:rev="0"/>
                      </w14:lightRig>
                    </w14:scene3d>
                  </w:rPr>
                  <w:t>10.2.3</w:t>
                </w:r>
                <w:r w:rsidR="00350652">
                  <w:rPr>
                    <w:rFonts w:eastAsiaTheme="minorEastAsia" w:cstheme="minorBidi"/>
                    <w:noProof/>
                    <w:sz w:val="22"/>
                    <w:szCs w:val="22"/>
                  </w:rPr>
                  <w:tab/>
                </w:r>
                <w:r w:rsidR="00350652" w:rsidRPr="00D475B4">
                  <w:rPr>
                    <w:rStyle w:val="Hyperlink"/>
                    <w:noProof/>
                  </w:rPr>
                  <w:t>Evidence for the level of adjustment</w:t>
                </w:r>
                <w:r w:rsidR="00350652">
                  <w:rPr>
                    <w:noProof/>
                    <w:webHidden/>
                  </w:rPr>
                  <w:tab/>
                </w:r>
                <w:r w:rsidR="00350652">
                  <w:rPr>
                    <w:noProof/>
                    <w:webHidden/>
                  </w:rPr>
                  <w:fldChar w:fldCharType="begin"/>
                </w:r>
                <w:r w:rsidR="00350652">
                  <w:rPr>
                    <w:noProof/>
                    <w:webHidden/>
                  </w:rPr>
                  <w:instrText xml:space="preserve"> PAGEREF _Toc523651328 \h </w:instrText>
                </w:r>
                <w:r w:rsidR="00350652">
                  <w:rPr>
                    <w:noProof/>
                    <w:webHidden/>
                  </w:rPr>
                </w:r>
                <w:r w:rsidR="00350652">
                  <w:rPr>
                    <w:noProof/>
                    <w:webHidden/>
                  </w:rPr>
                  <w:fldChar w:fldCharType="separate"/>
                </w:r>
                <w:r w:rsidR="00EE7276">
                  <w:rPr>
                    <w:noProof/>
                    <w:webHidden/>
                  </w:rPr>
                  <w:t>158</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29" w:history="1">
                <w:r w:rsidR="00350652" w:rsidRPr="00D475B4">
                  <w:rPr>
                    <w:rStyle w:val="Hyperlink"/>
                    <w:noProof/>
                  </w:rPr>
                  <w:t>10.3</w:t>
                </w:r>
                <w:r w:rsidR="00350652">
                  <w:rPr>
                    <w:rFonts w:eastAsiaTheme="minorEastAsia" w:cstheme="minorBidi"/>
                    <w:b w:val="0"/>
                    <w:bCs w:val="0"/>
                    <w:noProof/>
                    <w:sz w:val="22"/>
                    <w:szCs w:val="22"/>
                  </w:rPr>
                  <w:tab/>
                </w:r>
                <w:r w:rsidR="00350652" w:rsidRPr="00D475B4">
                  <w:rPr>
                    <w:rStyle w:val="Hyperlink"/>
                    <w:noProof/>
                  </w:rPr>
                  <w:t>Risks and Mitigation</w:t>
                </w:r>
                <w:r w:rsidR="00350652">
                  <w:rPr>
                    <w:noProof/>
                    <w:webHidden/>
                  </w:rPr>
                  <w:tab/>
                </w:r>
                <w:r w:rsidR="00350652">
                  <w:rPr>
                    <w:noProof/>
                    <w:webHidden/>
                  </w:rPr>
                  <w:fldChar w:fldCharType="begin"/>
                </w:r>
                <w:r w:rsidR="00350652">
                  <w:rPr>
                    <w:noProof/>
                    <w:webHidden/>
                  </w:rPr>
                  <w:instrText xml:space="preserve"> PAGEREF _Toc523651329 \h </w:instrText>
                </w:r>
                <w:r w:rsidR="00350652">
                  <w:rPr>
                    <w:noProof/>
                    <w:webHidden/>
                  </w:rPr>
                </w:r>
                <w:r w:rsidR="00350652">
                  <w:rPr>
                    <w:noProof/>
                    <w:webHidden/>
                  </w:rPr>
                  <w:fldChar w:fldCharType="separate"/>
                </w:r>
                <w:r w:rsidR="00EE7276">
                  <w:rPr>
                    <w:noProof/>
                    <w:webHidden/>
                  </w:rPr>
                  <w:t>159</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30" w:history="1">
                <w:r w:rsidR="00350652" w:rsidRPr="00D475B4">
                  <w:rPr>
                    <w:rStyle w:val="Hyperlink"/>
                    <w:noProof/>
                  </w:rPr>
                  <w:t>10.4</w:t>
                </w:r>
                <w:r w:rsidR="00350652">
                  <w:rPr>
                    <w:rFonts w:eastAsiaTheme="minorEastAsia" w:cstheme="minorBidi"/>
                    <w:b w:val="0"/>
                    <w:bCs w:val="0"/>
                    <w:noProof/>
                    <w:sz w:val="22"/>
                    <w:szCs w:val="22"/>
                  </w:rPr>
                  <w:tab/>
                </w:r>
                <w:r w:rsidR="00350652" w:rsidRPr="00D475B4">
                  <w:rPr>
                    <w:rStyle w:val="Hyperlink"/>
                    <w:noProof/>
                  </w:rPr>
                  <w:t>RORE Upside/Downside</w:t>
                </w:r>
                <w:r w:rsidR="00350652">
                  <w:rPr>
                    <w:noProof/>
                    <w:webHidden/>
                  </w:rPr>
                  <w:tab/>
                </w:r>
                <w:r w:rsidR="00350652">
                  <w:rPr>
                    <w:noProof/>
                    <w:webHidden/>
                  </w:rPr>
                  <w:fldChar w:fldCharType="begin"/>
                </w:r>
                <w:r w:rsidR="00350652">
                  <w:rPr>
                    <w:noProof/>
                    <w:webHidden/>
                  </w:rPr>
                  <w:instrText xml:space="preserve"> PAGEREF _Toc523651330 \h </w:instrText>
                </w:r>
                <w:r w:rsidR="00350652">
                  <w:rPr>
                    <w:noProof/>
                    <w:webHidden/>
                  </w:rPr>
                </w:r>
                <w:r w:rsidR="00350652">
                  <w:rPr>
                    <w:noProof/>
                    <w:webHidden/>
                  </w:rPr>
                  <w:fldChar w:fldCharType="separate"/>
                </w:r>
                <w:r w:rsidR="00EE7276">
                  <w:rPr>
                    <w:noProof/>
                    <w:webHidden/>
                  </w:rPr>
                  <w:t>162</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331" w:history="1">
                <w:r w:rsidR="00350652" w:rsidRPr="00D475B4">
                  <w:rPr>
                    <w:rStyle w:val="Hyperlink"/>
                    <w:noProof/>
                  </w:rPr>
                  <w:t>11</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Risk and Return – Financeability</w:t>
                </w:r>
                <w:r w:rsidR="00350652">
                  <w:rPr>
                    <w:noProof/>
                    <w:webHidden/>
                  </w:rPr>
                  <w:tab/>
                </w:r>
                <w:r w:rsidR="00350652">
                  <w:rPr>
                    <w:noProof/>
                    <w:webHidden/>
                  </w:rPr>
                  <w:fldChar w:fldCharType="begin"/>
                </w:r>
                <w:r w:rsidR="00350652">
                  <w:rPr>
                    <w:noProof/>
                    <w:webHidden/>
                  </w:rPr>
                  <w:instrText xml:space="preserve"> PAGEREF _Toc523651331 \h </w:instrText>
                </w:r>
                <w:r w:rsidR="00350652">
                  <w:rPr>
                    <w:noProof/>
                    <w:webHidden/>
                  </w:rPr>
                </w:r>
                <w:r w:rsidR="00350652">
                  <w:rPr>
                    <w:noProof/>
                    <w:webHidden/>
                  </w:rPr>
                  <w:fldChar w:fldCharType="separate"/>
                </w:r>
                <w:r w:rsidR="00EE7276">
                  <w:rPr>
                    <w:noProof/>
                    <w:webHidden/>
                  </w:rPr>
                  <w:t>168</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32" w:history="1">
                <w:r w:rsidR="00350652" w:rsidRPr="00D475B4">
                  <w:rPr>
                    <w:rStyle w:val="Hyperlink"/>
                    <w:noProof/>
                  </w:rPr>
                  <w:t>11.1</w:t>
                </w:r>
                <w:r w:rsidR="00350652">
                  <w:rPr>
                    <w:rFonts w:eastAsiaTheme="minorEastAsia" w:cstheme="minorBidi"/>
                    <w:b w:val="0"/>
                    <w:bCs w:val="0"/>
                    <w:noProof/>
                    <w:sz w:val="22"/>
                    <w:szCs w:val="22"/>
                  </w:rPr>
                  <w:tab/>
                </w:r>
                <w:r w:rsidR="00350652" w:rsidRPr="00D475B4">
                  <w:rPr>
                    <w:rStyle w:val="Hyperlink"/>
                    <w:noProof/>
                  </w:rPr>
                  <w:t>Board statement on financeability</w:t>
                </w:r>
                <w:r w:rsidR="00350652">
                  <w:rPr>
                    <w:noProof/>
                    <w:webHidden/>
                  </w:rPr>
                  <w:tab/>
                </w:r>
                <w:r w:rsidR="00350652">
                  <w:rPr>
                    <w:noProof/>
                    <w:webHidden/>
                  </w:rPr>
                  <w:fldChar w:fldCharType="begin"/>
                </w:r>
                <w:r w:rsidR="00350652">
                  <w:rPr>
                    <w:noProof/>
                    <w:webHidden/>
                  </w:rPr>
                  <w:instrText xml:space="preserve"> PAGEREF _Toc523651332 \h </w:instrText>
                </w:r>
                <w:r w:rsidR="00350652">
                  <w:rPr>
                    <w:noProof/>
                    <w:webHidden/>
                  </w:rPr>
                </w:r>
                <w:r w:rsidR="00350652">
                  <w:rPr>
                    <w:noProof/>
                    <w:webHidden/>
                  </w:rPr>
                  <w:fldChar w:fldCharType="separate"/>
                </w:r>
                <w:r w:rsidR="00EE7276">
                  <w:rPr>
                    <w:noProof/>
                    <w:webHidden/>
                  </w:rPr>
                  <w:t>168</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33" w:history="1">
                <w:r w:rsidR="00350652" w:rsidRPr="00D475B4">
                  <w:rPr>
                    <w:rStyle w:val="Hyperlink"/>
                    <w:noProof/>
                  </w:rPr>
                  <w:t>11.2</w:t>
                </w:r>
                <w:r w:rsidR="00350652">
                  <w:rPr>
                    <w:rFonts w:eastAsiaTheme="minorEastAsia" w:cstheme="minorBidi"/>
                    <w:b w:val="0"/>
                    <w:bCs w:val="0"/>
                    <w:noProof/>
                    <w:sz w:val="22"/>
                    <w:szCs w:val="22"/>
                  </w:rPr>
                  <w:tab/>
                </w:r>
                <w:r w:rsidR="00350652" w:rsidRPr="00D475B4">
                  <w:rPr>
                    <w:rStyle w:val="Hyperlink"/>
                    <w:noProof/>
                  </w:rPr>
                  <w:t>Financial resilience</w:t>
                </w:r>
                <w:r w:rsidR="00350652">
                  <w:rPr>
                    <w:noProof/>
                    <w:webHidden/>
                  </w:rPr>
                  <w:tab/>
                </w:r>
                <w:r w:rsidR="00350652">
                  <w:rPr>
                    <w:noProof/>
                    <w:webHidden/>
                  </w:rPr>
                  <w:fldChar w:fldCharType="begin"/>
                </w:r>
                <w:r w:rsidR="00350652">
                  <w:rPr>
                    <w:noProof/>
                    <w:webHidden/>
                  </w:rPr>
                  <w:instrText xml:space="preserve"> PAGEREF _Toc523651333 \h </w:instrText>
                </w:r>
                <w:r w:rsidR="00350652">
                  <w:rPr>
                    <w:noProof/>
                    <w:webHidden/>
                  </w:rPr>
                </w:r>
                <w:r w:rsidR="00350652">
                  <w:rPr>
                    <w:noProof/>
                    <w:webHidden/>
                  </w:rPr>
                  <w:fldChar w:fldCharType="separate"/>
                </w:r>
                <w:r w:rsidR="00EE7276">
                  <w:rPr>
                    <w:noProof/>
                    <w:webHidden/>
                  </w:rPr>
                  <w:t>170</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34" w:history="1">
                <w:r w:rsidR="00350652" w:rsidRPr="00D475B4">
                  <w:rPr>
                    <w:rStyle w:val="Hyperlink"/>
                    <w:noProof/>
                  </w:rPr>
                  <w:t>11.3</w:t>
                </w:r>
                <w:r w:rsidR="00350652">
                  <w:rPr>
                    <w:rFonts w:eastAsiaTheme="minorEastAsia" w:cstheme="minorBidi"/>
                    <w:b w:val="0"/>
                    <w:bCs w:val="0"/>
                    <w:noProof/>
                    <w:sz w:val="22"/>
                    <w:szCs w:val="22"/>
                  </w:rPr>
                  <w:tab/>
                </w:r>
                <w:r w:rsidR="00350652" w:rsidRPr="00D475B4">
                  <w:rPr>
                    <w:rStyle w:val="Hyperlink"/>
                    <w:noProof/>
                  </w:rPr>
                  <w:t>Assessment of financeability</w:t>
                </w:r>
                <w:r w:rsidR="00350652">
                  <w:rPr>
                    <w:noProof/>
                    <w:webHidden/>
                  </w:rPr>
                  <w:tab/>
                </w:r>
                <w:r w:rsidR="00350652">
                  <w:rPr>
                    <w:noProof/>
                    <w:webHidden/>
                  </w:rPr>
                  <w:fldChar w:fldCharType="begin"/>
                </w:r>
                <w:r w:rsidR="00350652">
                  <w:rPr>
                    <w:noProof/>
                    <w:webHidden/>
                  </w:rPr>
                  <w:instrText xml:space="preserve"> PAGEREF _Toc523651334 \h </w:instrText>
                </w:r>
                <w:r w:rsidR="00350652">
                  <w:rPr>
                    <w:noProof/>
                    <w:webHidden/>
                  </w:rPr>
                </w:r>
                <w:r w:rsidR="00350652">
                  <w:rPr>
                    <w:noProof/>
                    <w:webHidden/>
                  </w:rPr>
                  <w:fldChar w:fldCharType="separate"/>
                </w:r>
                <w:r w:rsidR="00EE7276">
                  <w:rPr>
                    <w:noProof/>
                    <w:webHidden/>
                  </w:rPr>
                  <w:t>173</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35" w:history="1">
                <w:r w:rsidR="00350652" w:rsidRPr="00D475B4">
                  <w:rPr>
                    <w:rStyle w:val="Hyperlink"/>
                    <w:noProof/>
                    <w14:scene3d>
                      <w14:camera w14:prst="orthographicFront"/>
                      <w14:lightRig w14:rig="threePt" w14:dir="t">
                        <w14:rot w14:lat="0" w14:lon="0" w14:rev="0"/>
                      </w14:lightRig>
                    </w14:scene3d>
                  </w:rPr>
                  <w:t>11.3.1</w:t>
                </w:r>
                <w:r w:rsidR="00350652">
                  <w:rPr>
                    <w:rFonts w:eastAsiaTheme="minorEastAsia" w:cstheme="minorBidi"/>
                    <w:noProof/>
                    <w:sz w:val="22"/>
                    <w:szCs w:val="22"/>
                  </w:rPr>
                  <w:tab/>
                </w:r>
                <w:r w:rsidR="00350652" w:rsidRPr="00D475B4">
                  <w:rPr>
                    <w:rStyle w:val="Hyperlink"/>
                    <w:noProof/>
                  </w:rPr>
                  <w:t>Financial metrics</w:t>
                </w:r>
                <w:r w:rsidR="00350652">
                  <w:rPr>
                    <w:noProof/>
                    <w:webHidden/>
                  </w:rPr>
                  <w:tab/>
                </w:r>
                <w:r w:rsidR="00350652">
                  <w:rPr>
                    <w:noProof/>
                    <w:webHidden/>
                  </w:rPr>
                  <w:fldChar w:fldCharType="begin"/>
                </w:r>
                <w:r w:rsidR="00350652">
                  <w:rPr>
                    <w:noProof/>
                    <w:webHidden/>
                  </w:rPr>
                  <w:instrText xml:space="preserve"> PAGEREF _Toc523651335 \h </w:instrText>
                </w:r>
                <w:r w:rsidR="00350652">
                  <w:rPr>
                    <w:noProof/>
                    <w:webHidden/>
                  </w:rPr>
                </w:r>
                <w:r w:rsidR="00350652">
                  <w:rPr>
                    <w:noProof/>
                    <w:webHidden/>
                  </w:rPr>
                  <w:fldChar w:fldCharType="separate"/>
                </w:r>
                <w:r w:rsidR="00EE7276">
                  <w:rPr>
                    <w:noProof/>
                    <w:webHidden/>
                  </w:rPr>
                  <w:t>173</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36" w:history="1">
                <w:r w:rsidR="00350652" w:rsidRPr="00D475B4">
                  <w:rPr>
                    <w:rStyle w:val="Hyperlink"/>
                    <w:noProof/>
                    <w14:scene3d>
                      <w14:camera w14:prst="orthographicFront"/>
                      <w14:lightRig w14:rig="threePt" w14:dir="t">
                        <w14:rot w14:lat="0" w14:lon="0" w14:rev="0"/>
                      </w14:lightRig>
                    </w14:scene3d>
                  </w:rPr>
                  <w:t>11.3.2</w:t>
                </w:r>
                <w:r w:rsidR="00350652">
                  <w:rPr>
                    <w:rFonts w:eastAsiaTheme="minorEastAsia" w:cstheme="minorBidi"/>
                    <w:noProof/>
                    <w:sz w:val="22"/>
                    <w:szCs w:val="22"/>
                  </w:rPr>
                  <w:tab/>
                </w:r>
                <w:r w:rsidR="00350652" w:rsidRPr="00D475B4">
                  <w:rPr>
                    <w:rStyle w:val="Hyperlink"/>
                    <w:noProof/>
                  </w:rPr>
                  <w:t>Financeability in the notional capital structure</w:t>
                </w:r>
                <w:r w:rsidR="00350652">
                  <w:rPr>
                    <w:noProof/>
                    <w:webHidden/>
                  </w:rPr>
                  <w:tab/>
                </w:r>
                <w:r w:rsidR="00350652">
                  <w:rPr>
                    <w:noProof/>
                    <w:webHidden/>
                  </w:rPr>
                  <w:fldChar w:fldCharType="begin"/>
                </w:r>
                <w:r w:rsidR="00350652">
                  <w:rPr>
                    <w:noProof/>
                    <w:webHidden/>
                  </w:rPr>
                  <w:instrText xml:space="preserve"> PAGEREF _Toc523651336 \h </w:instrText>
                </w:r>
                <w:r w:rsidR="00350652">
                  <w:rPr>
                    <w:noProof/>
                    <w:webHidden/>
                  </w:rPr>
                </w:r>
                <w:r w:rsidR="00350652">
                  <w:rPr>
                    <w:noProof/>
                    <w:webHidden/>
                  </w:rPr>
                  <w:fldChar w:fldCharType="separate"/>
                </w:r>
                <w:r w:rsidR="00EE7276">
                  <w:rPr>
                    <w:noProof/>
                    <w:webHidden/>
                  </w:rPr>
                  <w:t>174</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37" w:history="1">
                <w:r w:rsidR="00350652" w:rsidRPr="00D475B4">
                  <w:rPr>
                    <w:rStyle w:val="Hyperlink"/>
                    <w:noProof/>
                    <w14:scene3d>
                      <w14:camera w14:prst="orthographicFront"/>
                      <w14:lightRig w14:rig="threePt" w14:dir="t">
                        <w14:rot w14:lat="0" w14:lon="0" w14:rev="0"/>
                      </w14:lightRig>
                    </w14:scene3d>
                  </w:rPr>
                  <w:t>11.3.3</w:t>
                </w:r>
                <w:r w:rsidR="00350652">
                  <w:rPr>
                    <w:rFonts w:eastAsiaTheme="minorEastAsia" w:cstheme="minorBidi"/>
                    <w:noProof/>
                    <w:sz w:val="22"/>
                    <w:szCs w:val="22"/>
                  </w:rPr>
                  <w:tab/>
                </w:r>
                <w:r w:rsidR="00350652" w:rsidRPr="00D475B4">
                  <w:rPr>
                    <w:rStyle w:val="Hyperlink"/>
                    <w:noProof/>
                  </w:rPr>
                  <w:t>Financeability in the actual capital structure</w:t>
                </w:r>
                <w:r w:rsidR="00350652">
                  <w:rPr>
                    <w:noProof/>
                    <w:webHidden/>
                  </w:rPr>
                  <w:tab/>
                </w:r>
                <w:r w:rsidR="00350652">
                  <w:rPr>
                    <w:noProof/>
                    <w:webHidden/>
                  </w:rPr>
                  <w:fldChar w:fldCharType="begin"/>
                </w:r>
                <w:r w:rsidR="00350652">
                  <w:rPr>
                    <w:noProof/>
                    <w:webHidden/>
                  </w:rPr>
                  <w:instrText xml:space="preserve"> PAGEREF _Toc523651337 \h </w:instrText>
                </w:r>
                <w:r w:rsidR="00350652">
                  <w:rPr>
                    <w:noProof/>
                    <w:webHidden/>
                  </w:rPr>
                </w:r>
                <w:r w:rsidR="00350652">
                  <w:rPr>
                    <w:noProof/>
                    <w:webHidden/>
                  </w:rPr>
                  <w:fldChar w:fldCharType="separate"/>
                </w:r>
                <w:r w:rsidR="00EE7276">
                  <w:rPr>
                    <w:noProof/>
                    <w:webHidden/>
                  </w:rPr>
                  <w:t>176</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38" w:history="1">
                <w:r w:rsidR="00350652" w:rsidRPr="00D475B4">
                  <w:rPr>
                    <w:rStyle w:val="Hyperlink"/>
                    <w:noProof/>
                    <w14:scene3d>
                      <w14:camera w14:prst="orthographicFront"/>
                      <w14:lightRig w14:rig="threePt" w14:dir="t">
                        <w14:rot w14:lat="0" w14:lon="0" w14:rev="0"/>
                      </w14:lightRig>
                    </w14:scene3d>
                  </w:rPr>
                  <w:t>11.3.4</w:t>
                </w:r>
                <w:r w:rsidR="00350652">
                  <w:rPr>
                    <w:rFonts w:eastAsiaTheme="minorEastAsia" w:cstheme="minorBidi"/>
                    <w:noProof/>
                    <w:sz w:val="22"/>
                    <w:szCs w:val="22"/>
                  </w:rPr>
                  <w:tab/>
                </w:r>
                <w:r w:rsidR="00350652" w:rsidRPr="00D475B4">
                  <w:rPr>
                    <w:rStyle w:val="Hyperlink"/>
                    <w:noProof/>
                  </w:rPr>
                  <w:t>PAYG and RCV run off levels</w:t>
                </w:r>
                <w:r w:rsidR="00350652">
                  <w:rPr>
                    <w:noProof/>
                    <w:webHidden/>
                  </w:rPr>
                  <w:tab/>
                </w:r>
                <w:r w:rsidR="00350652">
                  <w:rPr>
                    <w:noProof/>
                    <w:webHidden/>
                  </w:rPr>
                  <w:fldChar w:fldCharType="begin"/>
                </w:r>
                <w:r w:rsidR="00350652">
                  <w:rPr>
                    <w:noProof/>
                    <w:webHidden/>
                  </w:rPr>
                  <w:instrText xml:space="preserve"> PAGEREF _Toc523651338 \h </w:instrText>
                </w:r>
                <w:r w:rsidR="00350652">
                  <w:rPr>
                    <w:noProof/>
                    <w:webHidden/>
                  </w:rPr>
                </w:r>
                <w:r w:rsidR="00350652">
                  <w:rPr>
                    <w:noProof/>
                    <w:webHidden/>
                  </w:rPr>
                  <w:fldChar w:fldCharType="separate"/>
                </w:r>
                <w:r w:rsidR="00EE7276">
                  <w:rPr>
                    <w:noProof/>
                    <w:webHidden/>
                  </w:rPr>
                  <w:t>177</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39" w:history="1">
                <w:r w:rsidR="00350652" w:rsidRPr="00D475B4">
                  <w:rPr>
                    <w:rStyle w:val="Hyperlink"/>
                    <w:noProof/>
                    <w14:scene3d>
                      <w14:camera w14:prst="orthographicFront"/>
                      <w14:lightRig w14:rig="threePt" w14:dir="t">
                        <w14:rot w14:lat="0" w14:lon="0" w14:rev="0"/>
                      </w14:lightRig>
                    </w14:scene3d>
                  </w:rPr>
                  <w:t>11.3.5</w:t>
                </w:r>
                <w:r w:rsidR="00350652">
                  <w:rPr>
                    <w:rFonts w:eastAsiaTheme="minorEastAsia" w:cstheme="minorBidi"/>
                    <w:noProof/>
                    <w:sz w:val="22"/>
                    <w:szCs w:val="22"/>
                  </w:rPr>
                  <w:tab/>
                </w:r>
                <w:r w:rsidR="00350652" w:rsidRPr="00D475B4">
                  <w:rPr>
                    <w:rStyle w:val="Hyperlink"/>
                    <w:noProof/>
                  </w:rPr>
                  <w:t>Bill levels, profiles and acceptability</w:t>
                </w:r>
                <w:r w:rsidR="00350652">
                  <w:rPr>
                    <w:noProof/>
                    <w:webHidden/>
                  </w:rPr>
                  <w:tab/>
                </w:r>
                <w:r w:rsidR="00350652">
                  <w:rPr>
                    <w:noProof/>
                    <w:webHidden/>
                  </w:rPr>
                  <w:fldChar w:fldCharType="begin"/>
                </w:r>
                <w:r w:rsidR="00350652">
                  <w:rPr>
                    <w:noProof/>
                    <w:webHidden/>
                  </w:rPr>
                  <w:instrText xml:space="preserve"> PAGEREF _Toc523651339 \h </w:instrText>
                </w:r>
                <w:r w:rsidR="00350652">
                  <w:rPr>
                    <w:noProof/>
                    <w:webHidden/>
                  </w:rPr>
                </w:r>
                <w:r w:rsidR="00350652">
                  <w:rPr>
                    <w:noProof/>
                    <w:webHidden/>
                  </w:rPr>
                  <w:fldChar w:fldCharType="separate"/>
                </w:r>
                <w:r w:rsidR="00EE7276">
                  <w:rPr>
                    <w:noProof/>
                    <w:webHidden/>
                  </w:rPr>
                  <w:t>178</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40" w:history="1">
                <w:r w:rsidR="00350652" w:rsidRPr="00D475B4">
                  <w:rPr>
                    <w:rStyle w:val="Hyperlink"/>
                    <w:noProof/>
                  </w:rPr>
                  <w:t>11.4</w:t>
                </w:r>
                <w:r w:rsidR="00350652">
                  <w:rPr>
                    <w:rFonts w:eastAsiaTheme="minorEastAsia" w:cstheme="minorBidi"/>
                    <w:b w:val="0"/>
                    <w:bCs w:val="0"/>
                    <w:noProof/>
                    <w:sz w:val="22"/>
                    <w:szCs w:val="22"/>
                  </w:rPr>
                  <w:tab/>
                </w:r>
                <w:r w:rsidR="00350652" w:rsidRPr="00D475B4">
                  <w:rPr>
                    <w:rStyle w:val="Hyperlink"/>
                    <w:noProof/>
                  </w:rPr>
                  <w:t>Dividend policy</w:t>
                </w:r>
                <w:r w:rsidR="00350652">
                  <w:rPr>
                    <w:noProof/>
                    <w:webHidden/>
                  </w:rPr>
                  <w:tab/>
                </w:r>
                <w:r w:rsidR="00350652">
                  <w:rPr>
                    <w:noProof/>
                    <w:webHidden/>
                  </w:rPr>
                  <w:fldChar w:fldCharType="begin"/>
                </w:r>
                <w:r w:rsidR="00350652">
                  <w:rPr>
                    <w:noProof/>
                    <w:webHidden/>
                  </w:rPr>
                  <w:instrText xml:space="preserve"> PAGEREF _Toc523651340 \h </w:instrText>
                </w:r>
                <w:r w:rsidR="00350652">
                  <w:rPr>
                    <w:noProof/>
                    <w:webHidden/>
                  </w:rPr>
                </w:r>
                <w:r w:rsidR="00350652">
                  <w:rPr>
                    <w:noProof/>
                    <w:webHidden/>
                  </w:rPr>
                  <w:fldChar w:fldCharType="separate"/>
                </w:r>
                <w:r w:rsidR="00EE7276">
                  <w:rPr>
                    <w:noProof/>
                    <w:webHidden/>
                  </w:rPr>
                  <w:t>181</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41" w:history="1">
                <w:r w:rsidR="00350652" w:rsidRPr="00D475B4">
                  <w:rPr>
                    <w:rStyle w:val="Hyperlink"/>
                    <w:noProof/>
                  </w:rPr>
                  <w:t>11.5</w:t>
                </w:r>
                <w:r w:rsidR="00350652">
                  <w:rPr>
                    <w:rFonts w:eastAsiaTheme="minorEastAsia" w:cstheme="minorBidi"/>
                    <w:b w:val="0"/>
                    <w:bCs w:val="0"/>
                    <w:noProof/>
                    <w:sz w:val="22"/>
                    <w:szCs w:val="22"/>
                  </w:rPr>
                  <w:tab/>
                </w:r>
                <w:r w:rsidR="00350652" w:rsidRPr="00D475B4">
                  <w:rPr>
                    <w:rStyle w:val="Hyperlink"/>
                    <w:noProof/>
                  </w:rPr>
                  <w:t>Gearing Outperformance Sharing Mechanism</w:t>
                </w:r>
                <w:r w:rsidR="00350652">
                  <w:rPr>
                    <w:noProof/>
                    <w:webHidden/>
                  </w:rPr>
                  <w:tab/>
                </w:r>
                <w:r w:rsidR="00350652">
                  <w:rPr>
                    <w:noProof/>
                    <w:webHidden/>
                  </w:rPr>
                  <w:fldChar w:fldCharType="begin"/>
                </w:r>
                <w:r w:rsidR="00350652">
                  <w:rPr>
                    <w:noProof/>
                    <w:webHidden/>
                  </w:rPr>
                  <w:instrText xml:space="preserve"> PAGEREF _Toc523651341 \h </w:instrText>
                </w:r>
                <w:r w:rsidR="00350652">
                  <w:rPr>
                    <w:noProof/>
                    <w:webHidden/>
                  </w:rPr>
                </w:r>
                <w:r w:rsidR="00350652">
                  <w:rPr>
                    <w:noProof/>
                    <w:webHidden/>
                  </w:rPr>
                  <w:fldChar w:fldCharType="separate"/>
                </w:r>
                <w:r w:rsidR="00EE7276">
                  <w:rPr>
                    <w:noProof/>
                    <w:webHidden/>
                  </w:rPr>
                  <w:t>182</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42" w:history="1">
                <w:r w:rsidR="00350652" w:rsidRPr="00D475B4">
                  <w:rPr>
                    <w:rStyle w:val="Hyperlink"/>
                    <w:noProof/>
                  </w:rPr>
                  <w:t>11.6</w:t>
                </w:r>
                <w:r w:rsidR="00350652">
                  <w:rPr>
                    <w:rFonts w:eastAsiaTheme="minorEastAsia" w:cstheme="minorBidi"/>
                    <w:b w:val="0"/>
                    <w:bCs w:val="0"/>
                    <w:noProof/>
                    <w:sz w:val="22"/>
                    <w:szCs w:val="22"/>
                  </w:rPr>
                  <w:tab/>
                </w:r>
                <w:r w:rsidR="00350652" w:rsidRPr="00D475B4">
                  <w:rPr>
                    <w:rStyle w:val="Hyperlink"/>
                    <w:noProof/>
                  </w:rPr>
                  <w:t>Ownership structure</w:t>
                </w:r>
                <w:r w:rsidR="00350652">
                  <w:rPr>
                    <w:noProof/>
                    <w:webHidden/>
                  </w:rPr>
                  <w:tab/>
                </w:r>
                <w:r w:rsidR="00350652">
                  <w:rPr>
                    <w:noProof/>
                    <w:webHidden/>
                  </w:rPr>
                  <w:fldChar w:fldCharType="begin"/>
                </w:r>
                <w:r w:rsidR="00350652">
                  <w:rPr>
                    <w:noProof/>
                    <w:webHidden/>
                  </w:rPr>
                  <w:instrText xml:space="preserve"> PAGEREF _Toc523651342 \h </w:instrText>
                </w:r>
                <w:r w:rsidR="00350652">
                  <w:rPr>
                    <w:noProof/>
                    <w:webHidden/>
                  </w:rPr>
                </w:r>
                <w:r w:rsidR="00350652">
                  <w:rPr>
                    <w:noProof/>
                    <w:webHidden/>
                  </w:rPr>
                  <w:fldChar w:fldCharType="separate"/>
                </w:r>
                <w:r w:rsidR="00EE7276">
                  <w:rPr>
                    <w:noProof/>
                    <w:webHidden/>
                  </w:rPr>
                  <w:t>183</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343" w:history="1">
                <w:r w:rsidR="00350652" w:rsidRPr="00D475B4">
                  <w:rPr>
                    <w:rStyle w:val="Hyperlink"/>
                    <w:noProof/>
                  </w:rPr>
                  <w:t>12</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AMP6 Performance</w:t>
                </w:r>
                <w:r w:rsidR="00350652">
                  <w:rPr>
                    <w:noProof/>
                    <w:webHidden/>
                  </w:rPr>
                  <w:tab/>
                </w:r>
                <w:r w:rsidR="00350652">
                  <w:rPr>
                    <w:noProof/>
                    <w:webHidden/>
                  </w:rPr>
                  <w:fldChar w:fldCharType="begin"/>
                </w:r>
                <w:r w:rsidR="00350652">
                  <w:rPr>
                    <w:noProof/>
                    <w:webHidden/>
                  </w:rPr>
                  <w:instrText xml:space="preserve"> PAGEREF _Toc523651343 \h </w:instrText>
                </w:r>
                <w:r w:rsidR="00350652">
                  <w:rPr>
                    <w:noProof/>
                    <w:webHidden/>
                  </w:rPr>
                </w:r>
                <w:r w:rsidR="00350652">
                  <w:rPr>
                    <w:noProof/>
                    <w:webHidden/>
                  </w:rPr>
                  <w:fldChar w:fldCharType="separate"/>
                </w:r>
                <w:r w:rsidR="00EE7276">
                  <w:rPr>
                    <w:noProof/>
                    <w:webHidden/>
                  </w:rPr>
                  <w:t>184</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44" w:history="1">
                <w:r w:rsidR="00350652" w:rsidRPr="00D475B4">
                  <w:rPr>
                    <w:rStyle w:val="Hyperlink"/>
                    <w:noProof/>
                  </w:rPr>
                  <w:t>12.1</w:t>
                </w:r>
                <w:r w:rsidR="00350652">
                  <w:rPr>
                    <w:rFonts w:eastAsiaTheme="minorEastAsia" w:cstheme="minorBidi"/>
                    <w:b w:val="0"/>
                    <w:bCs w:val="0"/>
                    <w:noProof/>
                    <w:sz w:val="22"/>
                    <w:szCs w:val="22"/>
                  </w:rPr>
                  <w:tab/>
                </w:r>
                <w:r w:rsidR="00350652" w:rsidRPr="00D475B4">
                  <w:rPr>
                    <w:rStyle w:val="Hyperlink"/>
                    <w:noProof/>
                  </w:rPr>
                  <w:t>Reconciliation for 2015-2020</w:t>
                </w:r>
                <w:r w:rsidR="00350652">
                  <w:rPr>
                    <w:noProof/>
                    <w:webHidden/>
                  </w:rPr>
                  <w:tab/>
                </w:r>
                <w:r w:rsidR="00350652">
                  <w:rPr>
                    <w:noProof/>
                    <w:webHidden/>
                  </w:rPr>
                  <w:fldChar w:fldCharType="begin"/>
                </w:r>
                <w:r w:rsidR="00350652">
                  <w:rPr>
                    <w:noProof/>
                    <w:webHidden/>
                  </w:rPr>
                  <w:instrText xml:space="preserve"> PAGEREF _Toc523651344 \h </w:instrText>
                </w:r>
                <w:r w:rsidR="00350652">
                  <w:rPr>
                    <w:noProof/>
                    <w:webHidden/>
                  </w:rPr>
                </w:r>
                <w:r w:rsidR="00350652">
                  <w:rPr>
                    <w:noProof/>
                    <w:webHidden/>
                  </w:rPr>
                  <w:fldChar w:fldCharType="separate"/>
                </w:r>
                <w:r w:rsidR="00EE7276">
                  <w:rPr>
                    <w:noProof/>
                    <w:webHidden/>
                  </w:rPr>
                  <w:t>184</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45" w:history="1">
                <w:r w:rsidR="00350652" w:rsidRPr="00D475B4">
                  <w:rPr>
                    <w:rStyle w:val="Hyperlink"/>
                    <w:noProof/>
                    <w14:scene3d>
                      <w14:camera w14:prst="orthographicFront"/>
                      <w14:lightRig w14:rig="threePt" w14:dir="t">
                        <w14:rot w14:lat="0" w14:lon="0" w14:rev="0"/>
                      </w14:lightRig>
                    </w14:scene3d>
                  </w:rPr>
                  <w:t>12.1.1</w:t>
                </w:r>
                <w:r w:rsidR="00350652">
                  <w:rPr>
                    <w:rFonts w:eastAsiaTheme="minorEastAsia" w:cstheme="minorBidi"/>
                    <w:noProof/>
                    <w:sz w:val="22"/>
                    <w:szCs w:val="22"/>
                  </w:rPr>
                  <w:tab/>
                </w:r>
                <w:r w:rsidR="00350652" w:rsidRPr="00D475B4">
                  <w:rPr>
                    <w:rStyle w:val="Hyperlink"/>
                    <w:noProof/>
                  </w:rPr>
                  <w:t>Outcome Delivery Incentives (ODIs)</w:t>
                </w:r>
                <w:r w:rsidR="00350652">
                  <w:rPr>
                    <w:noProof/>
                    <w:webHidden/>
                  </w:rPr>
                  <w:tab/>
                </w:r>
                <w:r w:rsidR="00350652">
                  <w:rPr>
                    <w:noProof/>
                    <w:webHidden/>
                  </w:rPr>
                  <w:fldChar w:fldCharType="begin"/>
                </w:r>
                <w:r w:rsidR="00350652">
                  <w:rPr>
                    <w:noProof/>
                    <w:webHidden/>
                  </w:rPr>
                  <w:instrText xml:space="preserve"> PAGEREF _Toc523651345 \h </w:instrText>
                </w:r>
                <w:r w:rsidR="00350652">
                  <w:rPr>
                    <w:noProof/>
                    <w:webHidden/>
                  </w:rPr>
                </w:r>
                <w:r w:rsidR="00350652">
                  <w:rPr>
                    <w:noProof/>
                    <w:webHidden/>
                  </w:rPr>
                  <w:fldChar w:fldCharType="separate"/>
                </w:r>
                <w:r w:rsidR="00EE7276">
                  <w:rPr>
                    <w:noProof/>
                    <w:webHidden/>
                  </w:rPr>
                  <w:t>184</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46" w:history="1">
                <w:r w:rsidR="00350652" w:rsidRPr="00D475B4">
                  <w:rPr>
                    <w:rStyle w:val="Hyperlink"/>
                    <w:noProof/>
                    <w14:scene3d>
                      <w14:camera w14:prst="orthographicFront"/>
                      <w14:lightRig w14:rig="threePt" w14:dir="t">
                        <w14:rot w14:lat="0" w14:lon="0" w14:rev="0"/>
                      </w14:lightRig>
                    </w14:scene3d>
                  </w:rPr>
                  <w:t>12.1.2</w:t>
                </w:r>
                <w:r w:rsidR="00350652">
                  <w:rPr>
                    <w:rFonts w:eastAsiaTheme="minorEastAsia" w:cstheme="minorBidi"/>
                    <w:noProof/>
                    <w:sz w:val="22"/>
                    <w:szCs w:val="22"/>
                  </w:rPr>
                  <w:tab/>
                </w:r>
                <w:r w:rsidR="00350652" w:rsidRPr="00D475B4">
                  <w:rPr>
                    <w:rStyle w:val="Hyperlink"/>
                    <w:noProof/>
                  </w:rPr>
                  <w:t>Service Incentive Mechanism</w:t>
                </w:r>
                <w:r w:rsidR="00350652">
                  <w:rPr>
                    <w:noProof/>
                    <w:webHidden/>
                  </w:rPr>
                  <w:tab/>
                </w:r>
                <w:r w:rsidR="00350652">
                  <w:rPr>
                    <w:noProof/>
                    <w:webHidden/>
                  </w:rPr>
                  <w:fldChar w:fldCharType="begin"/>
                </w:r>
                <w:r w:rsidR="00350652">
                  <w:rPr>
                    <w:noProof/>
                    <w:webHidden/>
                  </w:rPr>
                  <w:instrText xml:space="preserve"> PAGEREF _Toc523651346 \h </w:instrText>
                </w:r>
                <w:r w:rsidR="00350652">
                  <w:rPr>
                    <w:noProof/>
                    <w:webHidden/>
                  </w:rPr>
                </w:r>
                <w:r w:rsidR="00350652">
                  <w:rPr>
                    <w:noProof/>
                    <w:webHidden/>
                  </w:rPr>
                  <w:fldChar w:fldCharType="separate"/>
                </w:r>
                <w:r w:rsidR="00EE7276">
                  <w:rPr>
                    <w:noProof/>
                    <w:webHidden/>
                  </w:rPr>
                  <w:t>185</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47" w:history="1">
                <w:r w:rsidR="00350652" w:rsidRPr="00D475B4">
                  <w:rPr>
                    <w:rStyle w:val="Hyperlink"/>
                    <w:noProof/>
                    <w14:scene3d>
                      <w14:camera w14:prst="orthographicFront"/>
                      <w14:lightRig w14:rig="threePt" w14:dir="t">
                        <w14:rot w14:lat="0" w14:lon="0" w14:rev="0"/>
                      </w14:lightRig>
                    </w14:scene3d>
                  </w:rPr>
                  <w:t>12.1.3</w:t>
                </w:r>
                <w:r w:rsidR="00350652">
                  <w:rPr>
                    <w:rFonts w:eastAsiaTheme="minorEastAsia" w:cstheme="minorBidi"/>
                    <w:noProof/>
                    <w:sz w:val="22"/>
                    <w:szCs w:val="22"/>
                  </w:rPr>
                  <w:tab/>
                </w:r>
                <w:r w:rsidR="00350652" w:rsidRPr="00D475B4">
                  <w:rPr>
                    <w:rStyle w:val="Hyperlink"/>
                    <w:noProof/>
                  </w:rPr>
                  <w:t>Wholesale total expenditure (Totex) sharing</w:t>
                </w:r>
                <w:r w:rsidR="00350652">
                  <w:rPr>
                    <w:noProof/>
                    <w:webHidden/>
                  </w:rPr>
                  <w:tab/>
                </w:r>
                <w:r w:rsidR="00350652">
                  <w:rPr>
                    <w:noProof/>
                    <w:webHidden/>
                  </w:rPr>
                  <w:fldChar w:fldCharType="begin"/>
                </w:r>
                <w:r w:rsidR="00350652">
                  <w:rPr>
                    <w:noProof/>
                    <w:webHidden/>
                  </w:rPr>
                  <w:instrText xml:space="preserve"> PAGEREF _Toc523651347 \h </w:instrText>
                </w:r>
                <w:r w:rsidR="00350652">
                  <w:rPr>
                    <w:noProof/>
                    <w:webHidden/>
                  </w:rPr>
                </w:r>
                <w:r w:rsidR="00350652">
                  <w:rPr>
                    <w:noProof/>
                    <w:webHidden/>
                  </w:rPr>
                  <w:fldChar w:fldCharType="separate"/>
                </w:r>
                <w:r w:rsidR="00EE7276">
                  <w:rPr>
                    <w:noProof/>
                    <w:webHidden/>
                  </w:rPr>
                  <w:t>186</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48" w:history="1">
                <w:r w:rsidR="00350652" w:rsidRPr="00D475B4">
                  <w:rPr>
                    <w:rStyle w:val="Hyperlink"/>
                    <w:noProof/>
                    <w14:scene3d>
                      <w14:camera w14:prst="orthographicFront"/>
                      <w14:lightRig w14:rig="threePt" w14:dir="t">
                        <w14:rot w14:lat="0" w14:lon="0" w14:rev="0"/>
                      </w14:lightRig>
                    </w14:scene3d>
                  </w:rPr>
                  <w:t>12.1.4</w:t>
                </w:r>
                <w:r w:rsidR="00350652">
                  <w:rPr>
                    <w:rFonts w:eastAsiaTheme="minorEastAsia" w:cstheme="minorBidi"/>
                    <w:noProof/>
                    <w:sz w:val="22"/>
                    <w:szCs w:val="22"/>
                  </w:rPr>
                  <w:tab/>
                </w:r>
                <w:r w:rsidR="00350652" w:rsidRPr="00D475B4">
                  <w:rPr>
                    <w:rStyle w:val="Hyperlink"/>
                    <w:noProof/>
                  </w:rPr>
                  <w:t>PR14 Wholesale Revenue Forecast Incentive Mechanism for the water service</w:t>
                </w:r>
                <w:r w:rsidR="00350652">
                  <w:rPr>
                    <w:noProof/>
                    <w:webHidden/>
                  </w:rPr>
                  <w:tab/>
                </w:r>
                <w:r w:rsidR="00350652">
                  <w:rPr>
                    <w:noProof/>
                    <w:webHidden/>
                  </w:rPr>
                  <w:fldChar w:fldCharType="begin"/>
                </w:r>
                <w:r w:rsidR="00350652">
                  <w:rPr>
                    <w:noProof/>
                    <w:webHidden/>
                  </w:rPr>
                  <w:instrText xml:space="preserve"> PAGEREF _Toc523651348 \h </w:instrText>
                </w:r>
                <w:r w:rsidR="00350652">
                  <w:rPr>
                    <w:noProof/>
                    <w:webHidden/>
                  </w:rPr>
                </w:r>
                <w:r w:rsidR="00350652">
                  <w:rPr>
                    <w:noProof/>
                    <w:webHidden/>
                  </w:rPr>
                  <w:fldChar w:fldCharType="separate"/>
                </w:r>
                <w:r w:rsidR="00EE7276">
                  <w:rPr>
                    <w:noProof/>
                    <w:webHidden/>
                  </w:rPr>
                  <w:t>187</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49" w:history="1">
                <w:r w:rsidR="00350652" w:rsidRPr="00D475B4">
                  <w:rPr>
                    <w:rStyle w:val="Hyperlink"/>
                    <w:noProof/>
                    <w14:scene3d>
                      <w14:camera w14:prst="orthographicFront"/>
                      <w14:lightRig w14:rig="threePt" w14:dir="t">
                        <w14:rot w14:lat="0" w14:lon="0" w14:rev="0"/>
                      </w14:lightRig>
                    </w14:scene3d>
                  </w:rPr>
                  <w:t>12.1.5</w:t>
                </w:r>
                <w:r w:rsidR="00350652">
                  <w:rPr>
                    <w:rFonts w:eastAsiaTheme="minorEastAsia" w:cstheme="minorBidi"/>
                    <w:noProof/>
                    <w:sz w:val="22"/>
                    <w:szCs w:val="22"/>
                  </w:rPr>
                  <w:tab/>
                </w:r>
                <w:r w:rsidR="00350652" w:rsidRPr="00D475B4">
                  <w:rPr>
                    <w:rStyle w:val="Hyperlink"/>
                    <w:noProof/>
                  </w:rPr>
                  <w:t>Water trading incentive reconciliation</w:t>
                </w:r>
                <w:r w:rsidR="00350652">
                  <w:rPr>
                    <w:noProof/>
                    <w:webHidden/>
                  </w:rPr>
                  <w:tab/>
                </w:r>
                <w:r w:rsidR="00350652">
                  <w:rPr>
                    <w:noProof/>
                    <w:webHidden/>
                  </w:rPr>
                  <w:fldChar w:fldCharType="begin"/>
                </w:r>
                <w:r w:rsidR="00350652">
                  <w:rPr>
                    <w:noProof/>
                    <w:webHidden/>
                  </w:rPr>
                  <w:instrText xml:space="preserve"> PAGEREF _Toc523651349 \h </w:instrText>
                </w:r>
                <w:r w:rsidR="00350652">
                  <w:rPr>
                    <w:noProof/>
                    <w:webHidden/>
                  </w:rPr>
                </w:r>
                <w:r w:rsidR="00350652">
                  <w:rPr>
                    <w:noProof/>
                    <w:webHidden/>
                  </w:rPr>
                  <w:fldChar w:fldCharType="separate"/>
                </w:r>
                <w:r w:rsidR="00EE7276">
                  <w:rPr>
                    <w:noProof/>
                    <w:webHidden/>
                  </w:rPr>
                  <w:t>188</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50" w:history="1">
                <w:r w:rsidR="00350652" w:rsidRPr="00D475B4">
                  <w:rPr>
                    <w:rStyle w:val="Hyperlink"/>
                    <w:noProof/>
                    <w14:scene3d>
                      <w14:camera w14:prst="orthographicFront"/>
                      <w14:lightRig w14:rig="threePt" w14:dir="t">
                        <w14:rot w14:lat="0" w14:lon="0" w14:rev="0"/>
                      </w14:lightRig>
                    </w14:scene3d>
                  </w:rPr>
                  <w:t>12.1.6</w:t>
                </w:r>
                <w:r w:rsidR="00350652">
                  <w:rPr>
                    <w:rFonts w:eastAsiaTheme="minorEastAsia" w:cstheme="minorBidi"/>
                    <w:noProof/>
                    <w:sz w:val="22"/>
                    <w:szCs w:val="22"/>
                  </w:rPr>
                  <w:tab/>
                </w:r>
                <w:r w:rsidR="00350652" w:rsidRPr="00D475B4">
                  <w:rPr>
                    <w:rStyle w:val="Hyperlink"/>
                    <w:noProof/>
                  </w:rPr>
                  <w:t>Reconciliation of household retail revenue</w:t>
                </w:r>
                <w:r w:rsidR="00350652">
                  <w:rPr>
                    <w:noProof/>
                    <w:webHidden/>
                  </w:rPr>
                  <w:tab/>
                </w:r>
                <w:r w:rsidR="00350652">
                  <w:rPr>
                    <w:noProof/>
                    <w:webHidden/>
                  </w:rPr>
                  <w:fldChar w:fldCharType="begin"/>
                </w:r>
                <w:r w:rsidR="00350652">
                  <w:rPr>
                    <w:noProof/>
                    <w:webHidden/>
                  </w:rPr>
                  <w:instrText xml:space="preserve"> PAGEREF _Toc523651350 \h </w:instrText>
                </w:r>
                <w:r w:rsidR="00350652">
                  <w:rPr>
                    <w:noProof/>
                    <w:webHidden/>
                  </w:rPr>
                </w:r>
                <w:r w:rsidR="00350652">
                  <w:rPr>
                    <w:noProof/>
                    <w:webHidden/>
                  </w:rPr>
                  <w:fldChar w:fldCharType="separate"/>
                </w:r>
                <w:r w:rsidR="00EE7276">
                  <w:rPr>
                    <w:noProof/>
                    <w:webHidden/>
                  </w:rPr>
                  <w:t>188</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51" w:history="1">
                <w:r w:rsidR="00350652" w:rsidRPr="00D475B4">
                  <w:rPr>
                    <w:rStyle w:val="Hyperlink"/>
                    <w:noProof/>
                    <w14:scene3d>
                      <w14:camera w14:prst="orthographicFront"/>
                      <w14:lightRig w14:rig="threePt" w14:dir="t">
                        <w14:rot w14:lat="0" w14:lon="0" w14:rev="0"/>
                      </w14:lightRig>
                    </w14:scene3d>
                  </w:rPr>
                  <w:t>12.1.7</w:t>
                </w:r>
                <w:r w:rsidR="00350652">
                  <w:rPr>
                    <w:rFonts w:eastAsiaTheme="minorEastAsia" w:cstheme="minorBidi"/>
                    <w:noProof/>
                    <w:sz w:val="22"/>
                    <w:szCs w:val="22"/>
                  </w:rPr>
                  <w:tab/>
                </w:r>
                <w:r w:rsidR="00350652" w:rsidRPr="00D475B4">
                  <w:rPr>
                    <w:rStyle w:val="Hyperlink"/>
                    <w:noProof/>
                  </w:rPr>
                  <w:t>PR14 reconciliation adjustments summary</w:t>
                </w:r>
                <w:r w:rsidR="00350652">
                  <w:rPr>
                    <w:noProof/>
                    <w:webHidden/>
                  </w:rPr>
                  <w:tab/>
                </w:r>
                <w:r w:rsidR="00350652">
                  <w:rPr>
                    <w:noProof/>
                    <w:webHidden/>
                  </w:rPr>
                  <w:fldChar w:fldCharType="begin"/>
                </w:r>
                <w:r w:rsidR="00350652">
                  <w:rPr>
                    <w:noProof/>
                    <w:webHidden/>
                  </w:rPr>
                  <w:instrText xml:space="preserve"> PAGEREF _Toc523651351 \h </w:instrText>
                </w:r>
                <w:r w:rsidR="00350652">
                  <w:rPr>
                    <w:noProof/>
                    <w:webHidden/>
                  </w:rPr>
                </w:r>
                <w:r w:rsidR="00350652">
                  <w:rPr>
                    <w:noProof/>
                    <w:webHidden/>
                  </w:rPr>
                  <w:fldChar w:fldCharType="separate"/>
                </w:r>
                <w:r w:rsidR="00EE7276">
                  <w:rPr>
                    <w:noProof/>
                    <w:webHidden/>
                  </w:rPr>
                  <w:t>189</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52" w:history="1">
                <w:r w:rsidR="00350652" w:rsidRPr="00D475B4">
                  <w:rPr>
                    <w:rStyle w:val="Hyperlink"/>
                    <w:noProof/>
                    <w14:scene3d>
                      <w14:camera w14:prst="orthographicFront"/>
                      <w14:lightRig w14:rig="threePt" w14:dir="t">
                        <w14:rot w14:lat="0" w14:lon="0" w14:rev="0"/>
                      </w14:lightRig>
                    </w14:scene3d>
                  </w:rPr>
                  <w:t>12.1.8</w:t>
                </w:r>
                <w:r w:rsidR="00350652">
                  <w:rPr>
                    <w:rFonts w:eastAsiaTheme="minorEastAsia" w:cstheme="minorBidi"/>
                    <w:noProof/>
                    <w:sz w:val="22"/>
                    <w:szCs w:val="22"/>
                  </w:rPr>
                  <w:tab/>
                </w:r>
                <w:r w:rsidR="00350652" w:rsidRPr="00D475B4">
                  <w:rPr>
                    <w:rStyle w:val="Hyperlink"/>
                    <w:noProof/>
                  </w:rPr>
                  <w:t>Adjustments to RCV from disposals of interest in land</w:t>
                </w:r>
                <w:r w:rsidR="00350652">
                  <w:rPr>
                    <w:noProof/>
                    <w:webHidden/>
                  </w:rPr>
                  <w:tab/>
                </w:r>
                <w:r w:rsidR="00350652">
                  <w:rPr>
                    <w:noProof/>
                    <w:webHidden/>
                  </w:rPr>
                  <w:fldChar w:fldCharType="begin"/>
                </w:r>
                <w:r w:rsidR="00350652">
                  <w:rPr>
                    <w:noProof/>
                    <w:webHidden/>
                  </w:rPr>
                  <w:instrText xml:space="preserve"> PAGEREF _Toc523651352 \h </w:instrText>
                </w:r>
                <w:r w:rsidR="00350652">
                  <w:rPr>
                    <w:noProof/>
                    <w:webHidden/>
                  </w:rPr>
                </w:r>
                <w:r w:rsidR="00350652">
                  <w:rPr>
                    <w:noProof/>
                    <w:webHidden/>
                  </w:rPr>
                  <w:fldChar w:fldCharType="separate"/>
                </w:r>
                <w:r w:rsidR="00EE7276">
                  <w:rPr>
                    <w:noProof/>
                    <w:webHidden/>
                  </w:rPr>
                  <w:t>189</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53" w:history="1">
                <w:r w:rsidR="00350652" w:rsidRPr="00D475B4">
                  <w:rPr>
                    <w:rStyle w:val="Hyperlink"/>
                    <w:noProof/>
                    <w14:scene3d>
                      <w14:camera w14:prst="orthographicFront"/>
                      <w14:lightRig w14:rig="threePt" w14:dir="t">
                        <w14:rot w14:lat="0" w14:lon="0" w14:rev="0"/>
                      </w14:lightRig>
                    </w14:scene3d>
                  </w:rPr>
                  <w:t>12.1.9</w:t>
                </w:r>
                <w:r w:rsidR="00350652">
                  <w:rPr>
                    <w:rFonts w:eastAsiaTheme="minorEastAsia" w:cstheme="minorBidi"/>
                    <w:noProof/>
                    <w:sz w:val="22"/>
                    <w:szCs w:val="22"/>
                  </w:rPr>
                  <w:tab/>
                </w:r>
                <w:r w:rsidR="00350652" w:rsidRPr="00D475B4">
                  <w:rPr>
                    <w:rStyle w:val="Hyperlink"/>
                    <w:noProof/>
                  </w:rPr>
                  <w:t>Business Plan Table - APP31</w:t>
                </w:r>
                <w:r w:rsidR="00350652">
                  <w:rPr>
                    <w:noProof/>
                    <w:webHidden/>
                  </w:rPr>
                  <w:tab/>
                </w:r>
                <w:r w:rsidR="00350652">
                  <w:rPr>
                    <w:noProof/>
                    <w:webHidden/>
                  </w:rPr>
                  <w:fldChar w:fldCharType="begin"/>
                </w:r>
                <w:r w:rsidR="00350652">
                  <w:rPr>
                    <w:noProof/>
                    <w:webHidden/>
                  </w:rPr>
                  <w:instrText xml:space="preserve"> PAGEREF _Toc523651353 \h </w:instrText>
                </w:r>
                <w:r w:rsidR="00350652">
                  <w:rPr>
                    <w:noProof/>
                    <w:webHidden/>
                  </w:rPr>
                </w:r>
                <w:r w:rsidR="00350652">
                  <w:rPr>
                    <w:noProof/>
                    <w:webHidden/>
                  </w:rPr>
                  <w:fldChar w:fldCharType="separate"/>
                </w:r>
                <w:r w:rsidR="00EE7276">
                  <w:rPr>
                    <w:noProof/>
                    <w:webHidden/>
                  </w:rPr>
                  <w:t>190</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54" w:history="1">
                <w:r w:rsidR="00350652" w:rsidRPr="00D475B4">
                  <w:rPr>
                    <w:rStyle w:val="Hyperlink"/>
                    <w:noProof/>
                    <w14:scene3d>
                      <w14:camera w14:prst="orthographicFront"/>
                      <w14:lightRig w14:rig="threePt" w14:dir="t">
                        <w14:rot w14:lat="0" w14:lon="0" w14:rev="0"/>
                      </w14:lightRig>
                    </w14:scene3d>
                  </w:rPr>
                  <w:t>12.1.10</w:t>
                </w:r>
                <w:r w:rsidR="00350652">
                  <w:rPr>
                    <w:rFonts w:eastAsiaTheme="minorEastAsia" w:cstheme="minorBidi"/>
                    <w:noProof/>
                    <w:sz w:val="22"/>
                    <w:szCs w:val="22"/>
                  </w:rPr>
                  <w:tab/>
                </w:r>
                <w:r w:rsidR="00350652" w:rsidRPr="00D475B4">
                  <w:rPr>
                    <w:rStyle w:val="Hyperlink"/>
                    <w:noProof/>
                  </w:rPr>
                  <w:t>Customer Engagement for proposed adjustments to the 2020-2025 Price Controls</w:t>
                </w:r>
                <w:r w:rsidR="00350652">
                  <w:rPr>
                    <w:noProof/>
                    <w:webHidden/>
                  </w:rPr>
                  <w:tab/>
                </w:r>
                <w:r w:rsidR="00350652">
                  <w:rPr>
                    <w:noProof/>
                    <w:webHidden/>
                  </w:rPr>
                  <w:fldChar w:fldCharType="begin"/>
                </w:r>
                <w:r w:rsidR="00350652">
                  <w:rPr>
                    <w:noProof/>
                    <w:webHidden/>
                  </w:rPr>
                  <w:instrText xml:space="preserve"> PAGEREF _Toc523651354 \h </w:instrText>
                </w:r>
                <w:r w:rsidR="00350652">
                  <w:rPr>
                    <w:noProof/>
                    <w:webHidden/>
                  </w:rPr>
                </w:r>
                <w:r w:rsidR="00350652">
                  <w:rPr>
                    <w:noProof/>
                    <w:webHidden/>
                  </w:rPr>
                  <w:fldChar w:fldCharType="separate"/>
                </w:r>
                <w:r w:rsidR="00EE7276">
                  <w:rPr>
                    <w:noProof/>
                    <w:webHidden/>
                  </w:rPr>
                  <w:t>190</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55" w:history="1">
                <w:r w:rsidR="00350652" w:rsidRPr="00D475B4">
                  <w:rPr>
                    <w:rStyle w:val="Hyperlink"/>
                    <w:noProof/>
                  </w:rPr>
                  <w:t>12.2</w:t>
                </w:r>
                <w:r w:rsidR="00350652">
                  <w:rPr>
                    <w:rFonts w:eastAsiaTheme="minorEastAsia" w:cstheme="minorBidi"/>
                    <w:b w:val="0"/>
                    <w:bCs w:val="0"/>
                    <w:noProof/>
                    <w:sz w:val="22"/>
                    <w:szCs w:val="22"/>
                  </w:rPr>
                  <w:tab/>
                </w:r>
                <w:r w:rsidR="00350652" w:rsidRPr="00D475B4">
                  <w:rPr>
                    <w:rStyle w:val="Hyperlink"/>
                    <w:noProof/>
                  </w:rPr>
                  <w:t>Overview of our performance</w:t>
                </w:r>
                <w:r w:rsidR="00350652">
                  <w:rPr>
                    <w:noProof/>
                    <w:webHidden/>
                  </w:rPr>
                  <w:tab/>
                </w:r>
                <w:r w:rsidR="00350652">
                  <w:rPr>
                    <w:noProof/>
                    <w:webHidden/>
                  </w:rPr>
                  <w:fldChar w:fldCharType="begin"/>
                </w:r>
                <w:r w:rsidR="00350652">
                  <w:rPr>
                    <w:noProof/>
                    <w:webHidden/>
                  </w:rPr>
                  <w:instrText xml:space="preserve"> PAGEREF _Toc523651355 \h </w:instrText>
                </w:r>
                <w:r w:rsidR="00350652">
                  <w:rPr>
                    <w:noProof/>
                    <w:webHidden/>
                  </w:rPr>
                </w:r>
                <w:r w:rsidR="00350652">
                  <w:rPr>
                    <w:noProof/>
                    <w:webHidden/>
                  </w:rPr>
                  <w:fldChar w:fldCharType="separate"/>
                </w:r>
                <w:r w:rsidR="00EE7276">
                  <w:rPr>
                    <w:noProof/>
                    <w:webHidden/>
                  </w:rPr>
                  <w:t>190</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56" w:history="1">
                <w:r w:rsidR="00350652" w:rsidRPr="00D475B4">
                  <w:rPr>
                    <w:rStyle w:val="Hyperlink"/>
                    <w:noProof/>
                    <w14:scene3d>
                      <w14:camera w14:prst="orthographicFront"/>
                      <w14:lightRig w14:rig="threePt" w14:dir="t">
                        <w14:rot w14:lat="0" w14:lon="0" w14:rev="0"/>
                      </w14:lightRig>
                    </w14:scene3d>
                  </w:rPr>
                  <w:t>12.2.1</w:t>
                </w:r>
                <w:r w:rsidR="00350652">
                  <w:rPr>
                    <w:rFonts w:eastAsiaTheme="minorEastAsia" w:cstheme="minorBidi"/>
                    <w:noProof/>
                    <w:sz w:val="22"/>
                    <w:szCs w:val="22"/>
                  </w:rPr>
                  <w:tab/>
                </w:r>
                <w:r w:rsidR="00350652" w:rsidRPr="00D475B4">
                  <w:rPr>
                    <w:rStyle w:val="Hyperlink"/>
                    <w:noProof/>
                  </w:rPr>
                  <w:t>Highlights of AMP6</w:t>
                </w:r>
                <w:r w:rsidR="00350652">
                  <w:rPr>
                    <w:noProof/>
                    <w:webHidden/>
                  </w:rPr>
                  <w:tab/>
                </w:r>
                <w:r w:rsidR="00350652">
                  <w:rPr>
                    <w:noProof/>
                    <w:webHidden/>
                  </w:rPr>
                  <w:fldChar w:fldCharType="begin"/>
                </w:r>
                <w:r w:rsidR="00350652">
                  <w:rPr>
                    <w:noProof/>
                    <w:webHidden/>
                  </w:rPr>
                  <w:instrText xml:space="preserve"> PAGEREF _Toc523651356 \h </w:instrText>
                </w:r>
                <w:r w:rsidR="00350652">
                  <w:rPr>
                    <w:noProof/>
                    <w:webHidden/>
                  </w:rPr>
                </w:r>
                <w:r w:rsidR="00350652">
                  <w:rPr>
                    <w:noProof/>
                    <w:webHidden/>
                  </w:rPr>
                  <w:fldChar w:fldCharType="separate"/>
                </w:r>
                <w:r w:rsidR="00EE7276">
                  <w:rPr>
                    <w:noProof/>
                    <w:webHidden/>
                  </w:rPr>
                  <w:t>190</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57" w:history="1">
                <w:r w:rsidR="00350652" w:rsidRPr="00D475B4">
                  <w:rPr>
                    <w:rStyle w:val="Hyperlink"/>
                    <w:noProof/>
                  </w:rPr>
                  <w:t>12.3</w:t>
                </w:r>
                <w:r w:rsidR="00350652">
                  <w:rPr>
                    <w:rFonts w:eastAsiaTheme="minorEastAsia" w:cstheme="minorBidi"/>
                    <w:b w:val="0"/>
                    <w:bCs w:val="0"/>
                    <w:noProof/>
                    <w:sz w:val="22"/>
                    <w:szCs w:val="22"/>
                  </w:rPr>
                  <w:tab/>
                </w:r>
                <w:r w:rsidR="00350652" w:rsidRPr="00D475B4">
                  <w:rPr>
                    <w:rStyle w:val="Hyperlink"/>
                    <w:noProof/>
                  </w:rPr>
                  <w:t>Our promises to our customers</w:t>
                </w:r>
                <w:r w:rsidR="00350652">
                  <w:rPr>
                    <w:noProof/>
                    <w:webHidden/>
                  </w:rPr>
                  <w:tab/>
                </w:r>
                <w:r w:rsidR="00350652">
                  <w:rPr>
                    <w:noProof/>
                    <w:webHidden/>
                  </w:rPr>
                  <w:fldChar w:fldCharType="begin"/>
                </w:r>
                <w:r w:rsidR="00350652">
                  <w:rPr>
                    <w:noProof/>
                    <w:webHidden/>
                  </w:rPr>
                  <w:instrText xml:space="preserve"> PAGEREF _Toc523651357 \h </w:instrText>
                </w:r>
                <w:r w:rsidR="00350652">
                  <w:rPr>
                    <w:noProof/>
                    <w:webHidden/>
                  </w:rPr>
                </w:r>
                <w:r w:rsidR="00350652">
                  <w:rPr>
                    <w:noProof/>
                    <w:webHidden/>
                  </w:rPr>
                  <w:fldChar w:fldCharType="separate"/>
                </w:r>
                <w:r w:rsidR="00EE7276">
                  <w:rPr>
                    <w:noProof/>
                    <w:webHidden/>
                  </w:rPr>
                  <w:t>192</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58" w:history="1">
                <w:r w:rsidR="00350652" w:rsidRPr="00D475B4">
                  <w:rPr>
                    <w:rStyle w:val="Hyperlink"/>
                    <w:noProof/>
                    <w14:scene3d>
                      <w14:camera w14:prst="orthographicFront"/>
                      <w14:lightRig w14:rig="threePt" w14:dir="t">
                        <w14:rot w14:lat="0" w14:lon="0" w14:rev="0"/>
                      </w14:lightRig>
                    </w14:scene3d>
                  </w:rPr>
                  <w:t>12.3.1</w:t>
                </w:r>
                <w:r w:rsidR="00350652">
                  <w:rPr>
                    <w:rFonts w:eastAsiaTheme="minorEastAsia" w:cstheme="minorBidi"/>
                    <w:noProof/>
                    <w:sz w:val="22"/>
                    <w:szCs w:val="22"/>
                  </w:rPr>
                  <w:tab/>
                </w:r>
                <w:r w:rsidR="00350652" w:rsidRPr="00D475B4">
                  <w:rPr>
                    <w:rStyle w:val="Hyperlink"/>
                    <w:noProof/>
                  </w:rPr>
                  <w:t>Leakage</w:t>
                </w:r>
                <w:r w:rsidR="00350652">
                  <w:rPr>
                    <w:noProof/>
                    <w:webHidden/>
                  </w:rPr>
                  <w:tab/>
                </w:r>
                <w:r w:rsidR="00350652">
                  <w:rPr>
                    <w:noProof/>
                    <w:webHidden/>
                  </w:rPr>
                  <w:fldChar w:fldCharType="begin"/>
                </w:r>
                <w:r w:rsidR="00350652">
                  <w:rPr>
                    <w:noProof/>
                    <w:webHidden/>
                  </w:rPr>
                  <w:instrText xml:space="preserve"> PAGEREF _Toc523651358 \h </w:instrText>
                </w:r>
                <w:r w:rsidR="00350652">
                  <w:rPr>
                    <w:noProof/>
                    <w:webHidden/>
                  </w:rPr>
                </w:r>
                <w:r w:rsidR="00350652">
                  <w:rPr>
                    <w:noProof/>
                    <w:webHidden/>
                  </w:rPr>
                  <w:fldChar w:fldCharType="separate"/>
                </w:r>
                <w:r w:rsidR="00EE7276">
                  <w:rPr>
                    <w:noProof/>
                    <w:webHidden/>
                  </w:rPr>
                  <w:t>194</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59" w:history="1">
                <w:r w:rsidR="00350652" w:rsidRPr="00D475B4">
                  <w:rPr>
                    <w:rStyle w:val="Hyperlink"/>
                    <w:noProof/>
                    <w14:scene3d>
                      <w14:camera w14:prst="orthographicFront"/>
                      <w14:lightRig w14:rig="threePt" w14:dir="t">
                        <w14:rot w14:lat="0" w14:lon="0" w14:rev="0"/>
                      </w14:lightRig>
                    </w14:scene3d>
                  </w:rPr>
                  <w:t>12.3.2</w:t>
                </w:r>
                <w:r w:rsidR="00350652">
                  <w:rPr>
                    <w:rFonts w:eastAsiaTheme="minorEastAsia" w:cstheme="minorBidi"/>
                    <w:noProof/>
                    <w:sz w:val="22"/>
                    <w:szCs w:val="22"/>
                  </w:rPr>
                  <w:tab/>
                </w:r>
                <w:r w:rsidR="00350652" w:rsidRPr="00D475B4">
                  <w:rPr>
                    <w:rStyle w:val="Hyperlink"/>
                    <w:noProof/>
                  </w:rPr>
                  <w:t>Per Capita Consumption</w:t>
                </w:r>
                <w:r w:rsidR="00350652">
                  <w:rPr>
                    <w:noProof/>
                    <w:webHidden/>
                  </w:rPr>
                  <w:tab/>
                </w:r>
                <w:r w:rsidR="00350652">
                  <w:rPr>
                    <w:noProof/>
                    <w:webHidden/>
                  </w:rPr>
                  <w:fldChar w:fldCharType="begin"/>
                </w:r>
                <w:r w:rsidR="00350652">
                  <w:rPr>
                    <w:noProof/>
                    <w:webHidden/>
                  </w:rPr>
                  <w:instrText xml:space="preserve"> PAGEREF _Toc523651359 \h </w:instrText>
                </w:r>
                <w:r w:rsidR="00350652">
                  <w:rPr>
                    <w:noProof/>
                    <w:webHidden/>
                  </w:rPr>
                </w:r>
                <w:r w:rsidR="00350652">
                  <w:rPr>
                    <w:noProof/>
                    <w:webHidden/>
                  </w:rPr>
                  <w:fldChar w:fldCharType="separate"/>
                </w:r>
                <w:r w:rsidR="00EE7276">
                  <w:rPr>
                    <w:noProof/>
                    <w:webHidden/>
                  </w:rPr>
                  <w:t>194</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60" w:history="1">
                <w:r w:rsidR="00350652" w:rsidRPr="00D475B4">
                  <w:rPr>
                    <w:rStyle w:val="Hyperlink"/>
                    <w:noProof/>
                    <w14:scene3d>
                      <w14:camera w14:prst="orthographicFront"/>
                      <w14:lightRig w14:rig="threePt" w14:dir="t">
                        <w14:rot w14:lat="0" w14:lon="0" w14:rev="0"/>
                      </w14:lightRig>
                    </w14:scene3d>
                  </w:rPr>
                  <w:t>12.3.3</w:t>
                </w:r>
                <w:r w:rsidR="00350652">
                  <w:rPr>
                    <w:rFonts w:eastAsiaTheme="minorEastAsia" w:cstheme="minorBidi"/>
                    <w:noProof/>
                    <w:sz w:val="22"/>
                    <w:szCs w:val="22"/>
                  </w:rPr>
                  <w:tab/>
                </w:r>
                <w:r w:rsidR="00350652" w:rsidRPr="00D475B4">
                  <w:rPr>
                    <w:rStyle w:val="Hyperlink"/>
                    <w:noProof/>
                  </w:rPr>
                  <w:t>Comparative Performance</w:t>
                </w:r>
                <w:r w:rsidR="00350652">
                  <w:rPr>
                    <w:noProof/>
                    <w:webHidden/>
                  </w:rPr>
                  <w:tab/>
                </w:r>
                <w:r w:rsidR="00350652">
                  <w:rPr>
                    <w:noProof/>
                    <w:webHidden/>
                  </w:rPr>
                  <w:fldChar w:fldCharType="begin"/>
                </w:r>
                <w:r w:rsidR="00350652">
                  <w:rPr>
                    <w:noProof/>
                    <w:webHidden/>
                  </w:rPr>
                  <w:instrText xml:space="preserve"> PAGEREF _Toc523651360 \h </w:instrText>
                </w:r>
                <w:r w:rsidR="00350652">
                  <w:rPr>
                    <w:noProof/>
                    <w:webHidden/>
                  </w:rPr>
                </w:r>
                <w:r w:rsidR="00350652">
                  <w:rPr>
                    <w:noProof/>
                    <w:webHidden/>
                  </w:rPr>
                  <w:fldChar w:fldCharType="separate"/>
                </w:r>
                <w:r w:rsidR="00EE7276">
                  <w:rPr>
                    <w:noProof/>
                    <w:webHidden/>
                  </w:rPr>
                  <w:t>195</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61" w:history="1">
                <w:r w:rsidR="00350652" w:rsidRPr="00D475B4">
                  <w:rPr>
                    <w:rStyle w:val="Hyperlink"/>
                    <w:noProof/>
                    <w14:scene3d>
                      <w14:camera w14:prst="orthographicFront"/>
                      <w14:lightRig w14:rig="threePt" w14:dir="t">
                        <w14:rot w14:lat="0" w14:lon="0" w14:rev="0"/>
                      </w14:lightRig>
                    </w14:scene3d>
                  </w:rPr>
                  <w:t>12.3.4</w:t>
                </w:r>
                <w:r w:rsidR="00350652">
                  <w:rPr>
                    <w:rFonts w:eastAsiaTheme="minorEastAsia" w:cstheme="minorBidi"/>
                    <w:noProof/>
                    <w:sz w:val="22"/>
                    <w:szCs w:val="22"/>
                  </w:rPr>
                  <w:tab/>
                </w:r>
                <w:r w:rsidR="00350652" w:rsidRPr="00D475B4">
                  <w:rPr>
                    <w:rStyle w:val="Hyperlink"/>
                    <w:noProof/>
                  </w:rPr>
                  <w:t>Capital Expenditure Programme AMP6</w:t>
                </w:r>
                <w:r w:rsidR="00350652">
                  <w:rPr>
                    <w:noProof/>
                    <w:webHidden/>
                  </w:rPr>
                  <w:tab/>
                </w:r>
                <w:r w:rsidR="00350652">
                  <w:rPr>
                    <w:noProof/>
                    <w:webHidden/>
                  </w:rPr>
                  <w:fldChar w:fldCharType="begin"/>
                </w:r>
                <w:r w:rsidR="00350652">
                  <w:rPr>
                    <w:noProof/>
                    <w:webHidden/>
                  </w:rPr>
                  <w:instrText xml:space="preserve"> PAGEREF _Toc523651361 \h </w:instrText>
                </w:r>
                <w:r w:rsidR="00350652">
                  <w:rPr>
                    <w:noProof/>
                    <w:webHidden/>
                  </w:rPr>
                </w:r>
                <w:r w:rsidR="00350652">
                  <w:rPr>
                    <w:noProof/>
                    <w:webHidden/>
                  </w:rPr>
                  <w:fldChar w:fldCharType="separate"/>
                </w:r>
                <w:r w:rsidR="00EE7276">
                  <w:rPr>
                    <w:noProof/>
                    <w:webHidden/>
                  </w:rPr>
                  <w:t>195</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62" w:history="1">
                <w:r w:rsidR="00350652" w:rsidRPr="00D475B4">
                  <w:rPr>
                    <w:rStyle w:val="Hyperlink"/>
                    <w:noProof/>
                    <w14:scene3d>
                      <w14:camera w14:prst="orthographicFront"/>
                      <w14:lightRig w14:rig="threePt" w14:dir="t">
                        <w14:rot w14:lat="0" w14:lon="0" w14:rev="0"/>
                      </w14:lightRig>
                    </w14:scene3d>
                  </w:rPr>
                  <w:t>12.3.5</w:t>
                </w:r>
                <w:r w:rsidR="00350652">
                  <w:rPr>
                    <w:rFonts w:eastAsiaTheme="minorEastAsia" w:cstheme="minorBidi"/>
                    <w:noProof/>
                    <w:sz w:val="22"/>
                    <w:szCs w:val="22"/>
                  </w:rPr>
                  <w:tab/>
                </w:r>
                <w:r w:rsidR="00350652" w:rsidRPr="00D475B4">
                  <w:rPr>
                    <w:rStyle w:val="Hyperlink"/>
                    <w:noProof/>
                  </w:rPr>
                  <w:t>Management of Operating Costs</w:t>
                </w:r>
                <w:r w:rsidR="00350652">
                  <w:rPr>
                    <w:noProof/>
                    <w:webHidden/>
                  </w:rPr>
                  <w:tab/>
                </w:r>
                <w:r w:rsidR="00350652">
                  <w:rPr>
                    <w:noProof/>
                    <w:webHidden/>
                  </w:rPr>
                  <w:fldChar w:fldCharType="begin"/>
                </w:r>
                <w:r w:rsidR="00350652">
                  <w:rPr>
                    <w:noProof/>
                    <w:webHidden/>
                  </w:rPr>
                  <w:instrText xml:space="preserve"> PAGEREF _Toc523651362 \h </w:instrText>
                </w:r>
                <w:r w:rsidR="00350652">
                  <w:rPr>
                    <w:noProof/>
                    <w:webHidden/>
                  </w:rPr>
                </w:r>
                <w:r w:rsidR="00350652">
                  <w:rPr>
                    <w:noProof/>
                    <w:webHidden/>
                  </w:rPr>
                  <w:fldChar w:fldCharType="separate"/>
                </w:r>
                <w:r w:rsidR="00EE7276">
                  <w:rPr>
                    <w:noProof/>
                    <w:webHidden/>
                  </w:rPr>
                  <w:t>196</w:t>
                </w:r>
                <w:r w:rsidR="00350652">
                  <w:rPr>
                    <w:noProof/>
                    <w:webHidden/>
                  </w:rPr>
                  <w:fldChar w:fldCharType="end"/>
                </w:r>
              </w:hyperlink>
            </w:p>
            <w:p w:rsidR="00350652" w:rsidRDefault="00E56911">
              <w:pPr>
                <w:pStyle w:val="TOC3"/>
                <w:tabs>
                  <w:tab w:val="left" w:pos="1200"/>
                  <w:tab w:val="right" w:pos="8296"/>
                </w:tabs>
                <w:rPr>
                  <w:rFonts w:eastAsiaTheme="minorEastAsia" w:cstheme="minorBidi"/>
                  <w:noProof/>
                  <w:sz w:val="22"/>
                  <w:szCs w:val="22"/>
                </w:rPr>
              </w:pPr>
              <w:hyperlink w:anchor="_Toc523651363" w:history="1">
                <w:r w:rsidR="00350652" w:rsidRPr="00D475B4">
                  <w:rPr>
                    <w:rStyle w:val="Hyperlink"/>
                    <w:noProof/>
                    <w14:scene3d>
                      <w14:camera w14:prst="orthographicFront"/>
                      <w14:lightRig w14:rig="threePt" w14:dir="t">
                        <w14:rot w14:lat="0" w14:lon="0" w14:rev="0"/>
                      </w14:lightRig>
                    </w14:scene3d>
                  </w:rPr>
                  <w:t>12.3.6</w:t>
                </w:r>
                <w:r w:rsidR="00350652">
                  <w:rPr>
                    <w:rFonts w:eastAsiaTheme="minorEastAsia" w:cstheme="minorBidi"/>
                    <w:noProof/>
                    <w:sz w:val="22"/>
                    <w:szCs w:val="22"/>
                  </w:rPr>
                  <w:tab/>
                </w:r>
                <w:r w:rsidR="00350652" w:rsidRPr="00D475B4">
                  <w:rPr>
                    <w:rStyle w:val="Hyperlink"/>
                    <w:noProof/>
                  </w:rPr>
                  <w:t>Confidence in Delivery</w:t>
                </w:r>
                <w:r w:rsidR="00350652">
                  <w:rPr>
                    <w:noProof/>
                    <w:webHidden/>
                  </w:rPr>
                  <w:tab/>
                </w:r>
                <w:r w:rsidR="00350652">
                  <w:rPr>
                    <w:noProof/>
                    <w:webHidden/>
                  </w:rPr>
                  <w:fldChar w:fldCharType="begin"/>
                </w:r>
                <w:r w:rsidR="00350652">
                  <w:rPr>
                    <w:noProof/>
                    <w:webHidden/>
                  </w:rPr>
                  <w:instrText xml:space="preserve"> PAGEREF _Toc523651363 \h </w:instrText>
                </w:r>
                <w:r w:rsidR="00350652">
                  <w:rPr>
                    <w:noProof/>
                    <w:webHidden/>
                  </w:rPr>
                </w:r>
                <w:r w:rsidR="00350652">
                  <w:rPr>
                    <w:noProof/>
                    <w:webHidden/>
                  </w:rPr>
                  <w:fldChar w:fldCharType="separate"/>
                </w:r>
                <w:r w:rsidR="00EE7276">
                  <w:rPr>
                    <w:noProof/>
                    <w:webHidden/>
                  </w:rPr>
                  <w:t>196</w:t>
                </w:r>
                <w:r w:rsidR="00350652">
                  <w:rPr>
                    <w:noProof/>
                    <w:webHidden/>
                  </w:rPr>
                  <w:fldChar w:fldCharType="end"/>
                </w:r>
              </w:hyperlink>
            </w:p>
            <w:p w:rsidR="00350652" w:rsidRDefault="00E56911">
              <w:pPr>
                <w:pStyle w:val="TOC1"/>
                <w:tabs>
                  <w:tab w:val="left" w:pos="480"/>
                  <w:tab w:val="right" w:pos="8296"/>
                </w:tabs>
                <w:rPr>
                  <w:rFonts w:asciiTheme="minorHAnsi" w:eastAsiaTheme="minorEastAsia" w:hAnsiTheme="minorHAnsi" w:cstheme="minorBidi"/>
                  <w:b w:val="0"/>
                  <w:bCs w:val="0"/>
                  <w:caps w:val="0"/>
                  <w:noProof/>
                  <w:sz w:val="22"/>
                  <w:szCs w:val="22"/>
                </w:rPr>
              </w:pPr>
              <w:hyperlink w:anchor="_Toc523651364" w:history="1">
                <w:r w:rsidR="00350652" w:rsidRPr="00D475B4">
                  <w:rPr>
                    <w:rStyle w:val="Hyperlink"/>
                    <w:noProof/>
                  </w:rPr>
                  <w:t>13</w:t>
                </w:r>
                <w:r w:rsidR="00350652">
                  <w:rPr>
                    <w:rFonts w:asciiTheme="minorHAnsi" w:eastAsiaTheme="minorEastAsia" w:hAnsiTheme="minorHAnsi" w:cstheme="minorBidi"/>
                    <w:b w:val="0"/>
                    <w:bCs w:val="0"/>
                    <w:caps w:val="0"/>
                    <w:noProof/>
                    <w:sz w:val="22"/>
                    <w:szCs w:val="22"/>
                  </w:rPr>
                  <w:tab/>
                </w:r>
                <w:r w:rsidR="00350652" w:rsidRPr="00D475B4">
                  <w:rPr>
                    <w:rStyle w:val="Hyperlink"/>
                    <w:noProof/>
                  </w:rPr>
                  <w:t>Securing Confidence and Assurance</w:t>
                </w:r>
                <w:r w:rsidR="00350652">
                  <w:rPr>
                    <w:noProof/>
                    <w:webHidden/>
                  </w:rPr>
                  <w:tab/>
                </w:r>
                <w:r w:rsidR="00350652">
                  <w:rPr>
                    <w:noProof/>
                    <w:webHidden/>
                  </w:rPr>
                  <w:fldChar w:fldCharType="begin"/>
                </w:r>
                <w:r w:rsidR="00350652">
                  <w:rPr>
                    <w:noProof/>
                    <w:webHidden/>
                  </w:rPr>
                  <w:instrText xml:space="preserve"> PAGEREF _Toc523651364 \h </w:instrText>
                </w:r>
                <w:r w:rsidR="00350652">
                  <w:rPr>
                    <w:noProof/>
                    <w:webHidden/>
                  </w:rPr>
                </w:r>
                <w:r w:rsidR="00350652">
                  <w:rPr>
                    <w:noProof/>
                    <w:webHidden/>
                  </w:rPr>
                  <w:fldChar w:fldCharType="separate"/>
                </w:r>
                <w:r w:rsidR="00EE7276">
                  <w:rPr>
                    <w:noProof/>
                    <w:webHidden/>
                  </w:rPr>
                  <w:t>197</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65" w:history="1">
                <w:r w:rsidR="00350652" w:rsidRPr="00D475B4">
                  <w:rPr>
                    <w:rStyle w:val="Hyperlink"/>
                    <w:noProof/>
                  </w:rPr>
                  <w:t>13.1</w:t>
                </w:r>
                <w:r w:rsidR="00350652">
                  <w:rPr>
                    <w:rFonts w:eastAsiaTheme="minorEastAsia" w:cstheme="minorBidi"/>
                    <w:b w:val="0"/>
                    <w:bCs w:val="0"/>
                    <w:noProof/>
                    <w:sz w:val="22"/>
                    <w:szCs w:val="22"/>
                  </w:rPr>
                  <w:tab/>
                </w:r>
                <w:r w:rsidR="00350652" w:rsidRPr="00D475B4">
                  <w:rPr>
                    <w:rStyle w:val="Hyperlink"/>
                    <w:noProof/>
                  </w:rPr>
                  <w:t>Summary of Assurance</w:t>
                </w:r>
                <w:r w:rsidR="00350652">
                  <w:rPr>
                    <w:noProof/>
                    <w:webHidden/>
                  </w:rPr>
                  <w:tab/>
                </w:r>
                <w:r w:rsidR="00350652">
                  <w:rPr>
                    <w:noProof/>
                    <w:webHidden/>
                  </w:rPr>
                  <w:fldChar w:fldCharType="begin"/>
                </w:r>
                <w:r w:rsidR="00350652">
                  <w:rPr>
                    <w:noProof/>
                    <w:webHidden/>
                  </w:rPr>
                  <w:instrText xml:space="preserve"> PAGEREF _Toc523651365 \h </w:instrText>
                </w:r>
                <w:r w:rsidR="00350652">
                  <w:rPr>
                    <w:noProof/>
                    <w:webHidden/>
                  </w:rPr>
                </w:r>
                <w:r w:rsidR="00350652">
                  <w:rPr>
                    <w:noProof/>
                    <w:webHidden/>
                  </w:rPr>
                  <w:fldChar w:fldCharType="separate"/>
                </w:r>
                <w:r w:rsidR="00EE7276">
                  <w:rPr>
                    <w:noProof/>
                    <w:webHidden/>
                  </w:rPr>
                  <w:t>197</w:t>
                </w:r>
                <w:r w:rsidR="00350652">
                  <w:rPr>
                    <w:noProof/>
                    <w:webHidden/>
                  </w:rPr>
                  <w:fldChar w:fldCharType="end"/>
                </w:r>
              </w:hyperlink>
            </w:p>
            <w:p w:rsidR="00350652" w:rsidRDefault="00E56911">
              <w:pPr>
                <w:pStyle w:val="TOC2"/>
                <w:tabs>
                  <w:tab w:val="left" w:pos="720"/>
                  <w:tab w:val="right" w:pos="8296"/>
                </w:tabs>
                <w:rPr>
                  <w:rFonts w:eastAsiaTheme="minorEastAsia" w:cstheme="minorBidi"/>
                  <w:b w:val="0"/>
                  <w:bCs w:val="0"/>
                  <w:noProof/>
                  <w:sz w:val="22"/>
                  <w:szCs w:val="22"/>
                </w:rPr>
              </w:pPr>
              <w:hyperlink w:anchor="_Toc523651366" w:history="1">
                <w:r w:rsidR="00350652" w:rsidRPr="00D475B4">
                  <w:rPr>
                    <w:rStyle w:val="Hyperlink"/>
                    <w:noProof/>
                  </w:rPr>
                  <w:t>13.2</w:t>
                </w:r>
                <w:r w:rsidR="00350652">
                  <w:rPr>
                    <w:rFonts w:eastAsiaTheme="minorEastAsia" w:cstheme="minorBidi"/>
                    <w:b w:val="0"/>
                    <w:bCs w:val="0"/>
                    <w:noProof/>
                    <w:sz w:val="22"/>
                    <w:szCs w:val="22"/>
                  </w:rPr>
                  <w:tab/>
                </w:r>
                <w:r w:rsidR="00350652" w:rsidRPr="00D475B4">
                  <w:rPr>
                    <w:rStyle w:val="Hyperlink"/>
                    <w:noProof/>
                  </w:rPr>
                  <w:t>Our Summary of CCG Report</w:t>
                </w:r>
                <w:r w:rsidR="00350652">
                  <w:rPr>
                    <w:noProof/>
                    <w:webHidden/>
                  </w:rPr>
                  <w:tab/>
                </w:r>
                <w:r w:rsidR="00350652">
                  <w:rPr>
                    <w:noProof/>
                    <w:webHidden/>
                  </w:rPr>
                  <w:fldChar w:fldCharType="begin"/>
                </w:r>
                <w:r w:rsidR="00350652">
                  <w:rPr>
                    <w:noProof/>
                    <w:webHidden/>
                  </w:rPr>
                  <w:instrText xml:space="preserve"> PAGEREF _Toc523651366 \h </w:instrText>
                </w:r>
                <w:r w:rsidR="00350652">
                  <w:rPr>
                    <w:noProof/>
                    <w:webHidden/>
                  </w:rPr>
                </w:r>
                <w:r w:rsidR="00350652">
                  <w:rPr>
                    <w:noProof/>
                    <w:webHidden/>
                  </w:rPr>
                  <w:fldChar w:fldCharType="separate"/>
                </w:r>
                <w:r w:rsidR="00EE7276">
                  <w:rPr>
                    <w:noProof/>
                    <w:webHidden/>
                  </w:rPr>
                  <w:t>199</w:t>
                </w:r>
                <w:r w:rsidR="00350652">
                  <w:rPr>
                    <w:noProof/>
                    <w:webHidden/>
                  </w:rPr>
                  <w:fldChar w:fldCharType="end"/>
                </w:r>
              </w:hyperlink>
            </w:p>
            <w:p w:rsidR="008F4A1A" w:rsidRDefault="00D60125">
              <w:r>
                <w:rPr>
                  <w:rFonts w:asciiTheme="majorHAnsi" w:hAnsiTheme="majorHAnsi"/>
                </w:rPr>
                <w:fldChar w:fldCharType="end"/>
              </w:r>
            </w:p>
          </w:sdtContent>
        </w:sdt>
        <w:p w:rsidR="00387E54" w:rsidRPr="00D60125" w:rsidRDefault="00B45532" w:rsidP="00D60125">
          <w:pPr>
            <w:pStyle w:val="StyleLeftBefore0cmAfter0pt"/>
            <w:tabs>
              <w:tab w:val="right" w:pos="8222"/>
            </w:tabs>
            <w:rPr>
              <w:rFonts w:ascii="Calibri" w:hAnsi="Calibri"/>
              <w:b/>
            </w:rPr>
          </w:pPr>
          <w:r w:rsidRPr="00D60125">
            <w:rPr>
              <w:rFonts w:ascii="Calibri" w:hAnsi="Calibri"/>
              <w:b/>
            </w:rPr>
            <w:t>Glossary of Terms</w:t>
          </w:r>
          <w:r w:rsidR="00D60125" w:rsidRPr="00D60125">
            <w:rPr>
              <w:rFonts w:ascii="Calibri" w:hAnsi="Calibri"/>
              <w:b/>
            </w:rPr>
            <w:tab/>
            <w:t>a-</w:t>
          </w:r>
          <w:r w:rsidR="00A247C3">
            <w:rPr>
              <w:rFonts w:ascii="Calibri" w:hAnsi="Calibri"/>
              <w:b/>
            </w:rPr>
            <w:t>d</w:t>
          </w:r>
        </w:p>
      </w:sdtContent>
    </w:sdt>
    <w:p w:rsidR="008E3D1F" w:rsidRPr="00BD1EDE" w:rsidRDefault="008E3D1F" w:rsidP="003154BF">
      <w:pPr>
        <w:pStyle w:val="Tableofcontents"/>
        <w:sectPr w:rsidR="008E3D1F" w:rsidRPr="00BD1EDE" w:rsidSect="00A25890">
          <w:pgSz w:w="11906" w:h="16838"/>
          <w:pgMar w:top="1440" w:right="1800" w:bottom="1440" w:left="1800" w:header="708" w:footer="708" w:gutter="0"/>
          <w:pgNumType w:fmt="lowerRoman" w:start="1"/>
          <w:cols w:space="708"/>
          <w:docGrid w:linePitch="360"/>
        </w:sectPr>
      </w:pPr>
      <w:r w:rsidRPr="009A09B3">
        <w:rPr>
          <w:rFonts w:cs="Arial"/>
          <w:sz w:val="20"/>
          <w:szCs w:val="20"/>
        </w:rPr>
        <w:t>Table of contents</w:t>
      </w:r>
    </w:p>
    <w:p w:rsidR="005F3A19" w:rsidRPr="005F3A19" w:rsidRDefault="005F3A19" w:rsidP="005F3A19">
      <w:pPr>
        <w:pStyle w:val="Heading1"/>
      </w:pPr>
      <w:bookmarkStart w:id="1" w:name="_Toc523651228"/>
      <w:r>
        <w:t>Introduction</w:t>
      </w:r>
      <w:bookmarkEnd w:id="1"/>
    </w:p>
    <w:p w:rsidR="00DE0E1B" w:rsidRPr="00DE0E1B" w:rsidRDefault="00DE0E1B" w:rsidP="00DE0E1B">
      <w:pPr>
        <w:pStyle w:val="Heading2"/>
      </w:pPr>
      <w:bookmarkStart w:id="2" w:name="_Toc522199963"/>
      <w:bookmarkStart w:id="3" w:name="_Toc522200060"/>
      <w:bookmarkStart w:id="4" w:name="_Toc523651229"/>
      <w:r>
        <w:t>Executive Summary</w:t>
      </w:r>
      <w:bookmarkEnd w:id="2"/>
      <w:bookmarkEnd w:id="3"/>
      <w:bookmarkEnd w:id="4"/>
    </w:p>
    <w:p w:rsidR="00DC0EAC" w:rsidRPr="00C87A63" w:rsidRDefault="00DC0EAC" w:rsidP="00DC0EAC">
      <w:pPr>
        <w:tabs>
          <w:tab w:val="left" w:pos="0"/>
        </w:tabs>
        <w:rPr>
          <w:sz w:val="22"/>
          <w:szCs w:val="22"/>
        </w:rPr>
      </w:pPr>
      <w:r w:rsidRPr="00C87A63">
        <w:rPr>
          <w:sz w:val="22"/>
          <w:szCs w:val="22"/>
        </w:rPr>
        <w:t xml:space="preserve">Portsmouth Water has a proud history of serving </w:t>
      </w:r>
      <w:r w:rsidR="00052E98">
        <w:rPr>
          <w:sz w:val="22"/>
          <w:szCs w:val="22"/>
        </w:rPr>
        <w:t xml:space="preserve">our </w:t>
      </w:r>
      <w:r w:rsidRPr="00C87A63">
        <w:rPr>
          <w:sz w:val="22"/>
          <w:szCs w:val="22"/>
        </w:rPr>
        <w:t>community for over 160 years.  The Board has embraced the challenge to deliver “more of what matters” to customers and developed a</w:t>
      </w:r>
      <w:r w:rsidR="00C0433D" w:rsidRPr="00C87A63">
        <w:rPr>
          <w:sz w:val="22"/>
          <w:szCs w:val="22"/>
        </w:rPr>
        <w:t>n ambitious,</w:t>
      </w:r>
      <w:r w:rsidRPr="00C87A63">
        <w:rPr>
          <w:sz w:val="22"/>
          <w:szCs w:val="22"/>
        </w:rPr>
        <w:t xml:space="preserve"> high quality plan.</w:t>
      </w:r>
      <w:r w:rsidR="00C0433D" w:rsidRPr="00C87A63">
        <w:rPr>
          <w:sz w:val="22"/>
          <w:szCs w:val="22"/>
        </w:rPr>
        <w:t xml:space="preserve"> </w:t>
      </w:r>
      <w:r w:rsidRPr="00C87A63">
        <w:rPr>
          <w:sz w:val="22"/>
          <w:szCs w:val="22"/>
        </w:rPr>
        <w:t xml:space="preserve"> It has been fully engaged in both challenging and assuring our Plan throughout </w:t>
      </w:r>
      <w:r w:rsidR="00C0433D" w:rsidRPr="00C87A63">
        <w:rPr>
          <w:sz w:val="22"/>
          <w:szCs w:val="22"/>
        </w:rPr>
        <w:t>its</w:t>
      </w:r>
      <w:r w:rsidRPr="00C87A63">
        <w:rPr>
          <w:sz w:val="22"/>
          <w:szCs w:val="22"/>
        </w:rPr>
        <w:t xml:space="preserve"> develop</w:t>
      </w:r>
      <w:r w:rsidR="00C0433D" w:rsidRPr="00C87A63">
        <w:rPr>
          <w:sz w:val="22"/>
          <w:szCs w:val="22"/>
        </w:rPr>
        <w:t>ment</w:t>
      </w:r>
      <w:r w:rsidRPr="00C87A63">
        <w:rPr>
          <w:sz w:val="22"/>
          <w:szCs w:val="22"/>
        </w:rPr>
        <w:t>.</w:t>
      </w:r>
      <w:r w:rsidR="002C2D0A" w:rsidRPr="00C87A63">
        <w:rPr>
          <w:sz w:val="22"/>
          <w:szCs w:val="22"/>
        </w:rPr>
        <w:t xml:space="preserve"> This has resulted in a plan that is highly acceptable to customers, both overall and </w:t>
      </w:r>
      <w:r w:rsidR="00C0433D" w:rsidRPr="00C87A63">
        <w:rPr>
          <w:sz w:val="22"/>
          <w:szCs w:val="22"/>
        </w:rPr>
        <w:t xml:space="preserve">with specific reference to </w:t>
      </w:r>
      <w:r w:rsidR="002C2D0A" w:rsidRPr="00C87A63">
        <w:rPr>
          <w:sz w:val="22"/>
          <w:szCs w:val="22"/>
        </w:rPr>
        <w:t xml:space="preserve">the reward and penalties structure. </w:t>
      </w:r>
    </w:p>
    <w:p w:rsidR="00DC0EAC" w:rsidRPr="00C87A63" w:rsidRDefault="00DC0EAC" w:rsidP="00DC0EAC">
      <w:pPr>
        <w:tabs>
          <w:tab w:val="left" w:pos="0"/>
        </w:tabs>
        <w:rPr>
          <w:sz w:val="22"/>
          <w:szCs w:val="22"/>
        </w:rPr>
      </w:pPr>
      <w:r w:rsidRPr="00C87A63">
        <w:rPr>
          <w:sz w:val="22"/>
          <w:szCs w:val="22"/>
        </w:rPr>
        <w:t xml:space="preserve">We </w:t>
      </w:r>
      <w:r w:rsidR="001932BC" w:rsidRPr="00C87A63">
        <w:rPr>
          <w:sz w:val="22"/>
          <w:szCs w:val="22"/>
        </w:rPr>
        <w:t xml:space="preserve">are </w:t>
      </w:r>
      <w:r w:rsidRPr="00C87A63">
        <w:rPr>
          <w:sz w:val="22"/>
          <w:szCs w:val="22"/>
        </w:rPr>
        <w:t>build</w:t>
      </w:r>
      <w:r w:rsidR="001932BC" w:rsidRPr="00C87A63">
        <w:rPr>
          <w:sz w:val="22"/>
          <w:szCs w:val="22"/>
        </w:rPr>
        <w:t>ing</w:t>
      </w:r>
      <w:r w:rsidRPr="00C87A63">
        <w:rPr>
          <w:sz w:val="22"/>
          <w:szCs w:val="22"/>
        </w:rPr>
        <w:t xml:space="preserve"> on our strong track record, with industry</w:t>
      </w:r>
      <w:r w:rsidR="001932BC" w:rsidRPr="00C87A63">
        <w:rPr>
          <w:sz w:val="22"/>
          <w:szCs w:val="22"/>
        </w:rPr>
        <w:t>-</w:t>
      </w:r>
      <w:r w:rsidRPr="00C87A63">
        <w:rPr>
          <w:sz w:val="22"/>
          <w:szCs w:val="22"/>
        </w:rPr>
        <w:t>leading performance across customer service (SIM) and top quartile performance operationally on interruptions to supply, burst levels, CRI and water quality contacts.  We</w:t>
      </w:r>
      <w:r w:rsidR="000E138C" w:rsidRPr="00C87A63">
        <w:rPr>
          <w:sz w:val="22"/>
          <w:szCs w:val="22"/>
        </w:rPr>
        <w:t xml:space="preserve"> currently</w:t>
      </w:r>
      <w:r w:rsidRPr="00C87A63">
        <w:rPr>
          <w:sz w:val="22"/>
          <w:szCs w:val="22"/>
        </w:rPr>
        <w:t xml:space="preserve"> </w:t>
      </w:r>
      <w:r w:rsidR="001932BC" w:rsidRPr="00C87A63">
        <w:rPr>
          <w:sz w:val="22"/>
          <w:szCs w:val="22"/>
        </w:rPr>
        <w:t xml:space="preserve">deliver all </w:t>
      </w:r>
      <w:r w:rsidRPr="00C87A63">
        <w:rPr>
          <w:sz w:val="22"/>
          <w:szCs w:val="22"/>
        </w:rPr>
        <w:t xml:space="preserve">this for </w:t>
      </w:r>
      <w:r w:rsidR="000E138C" w:rsidRPr="00C87A63">
        <w:rPr>
          <w:sz w:val="22"/>
          <w:szCs w:val="22"/>
        </w:rPr>
        <w:t>a</w:t>
      </w:r>
      <w:r w:rsidRPr="00C87A63">
        <w:rPr>
          <w:sz w:val="22"/>
          <w:szCs w:val="22"/>
        </w:rPr>
        <w:t xml:space="preserve">n average </w:t>
      </w:r>
      <w:r w:rsidR="000E138C" w:rsidRPr="00C87A63">
        <w:rPr>
          <w:sz w:val="22"/>
          <w:szCs w:val="22"/>
        </w:rPr>
        <w:t xml:space="preserve">bill of </w:t>
      </w:r>
      <w:r w:rsidRPr="00C87A63">
        <w:rPr>
          <w:sz w:val="22"/>
          <w:szCs w:val="22"/>
        </w:rPr>
        <w:t>£10</w:t>
      </w:r>
      <w:r w:rsidR="000E138C" w:rsidRPr="00C87A63">
        <w:rPr>
          <w:sz w:val="22"/>
          <w:szCs w:val="22"/>
        </w:rPr>
        <w:t>1</w:t>
      </w:r>
      <w:r w:rsidRPr="00C87A63">
        <w:rPr>
          <w:sz w:val="22"/>
          <w:szCs w:val="22"/>
        </w:rPr>
        <w:t xml:space="preserve"> - the lowest </w:t>
      </w:r>
      <w:r w:rsidR="001932BC" w:rsidRPr="00C87A63">
        <w:rPr>
          <w:sz w:val="22"/>
          <w:szCs w:val="22"/>
        </w:rPr>
        <w:t xml:space="preserve">water </w:t>
      </w:r>
      <w:r w:rsidRPr="00C87A63">
        <w:rPr>
          <w:sz w:val="22"/>
          <w:szCs w:val="22"/>
        </w:rPr>
        <w:t>bill in the country.  This has fallen</w:t>
      </w:r>
      <w:r w:rsidR="0074401D" w:rsidRPr="00C87A63">
        <w:rPr>
          <w:sz w:val="22"/>
          <w:szCs w:val="22"/>
        </w:rPr>
        <w:t xml:space="preserve"> both</w:t>
      </w:r>
      <w:r w:rsidRPr="00C87A63">
        <w:rPr>
          <w:sz w:val="22"/>
          <w:szCs w:val="22"/>
        </w:rPr>
        <w:t xml:space="preserve"> in real terms </w:t>
      </w:r>
      <w:r w:rsidR="0074401D" w:rsidRPr="00C87A63">
        <w:rPr>
          <w:sz w:val="22"/>
          <w:szCs w:val="22"/>
        </w:rPr>
        <w:t xml:space="preserve">and </w:t>
      </w:r>
      <w:r w:rsidRPr="00C87A63">
        <w:rPr>
          <w:sz w:val="22"/>
          <w:szCs w:val="22"/>
        </w:rPr>
        <w:t>relative to industry averages over the last 18 years.</w:t>
      </w:r>
    </w:p>
    <w:p w:rsidR="00DC0EAC" w:rsidRPr="00C87A63" w:rsidRDefault="00DC0EAC" w:rsidP="00DC0EAC">
      <w:pPr>
        <w:tabs>
          <w:tab w:val="left" w:pos="0"/>
        </w:tabs>
        <w:rPr>
          <w:sz w:val="22"/>
          <w:szCs w:val="22"/>
        </w:rPr>
      </w:pPr>
      <w:r w:rsidRPr="00C87A63">
        <w:rPr>
          <w:sz w:val="22"/>
          <w:szCs w:val="22"/>
        </w:rPr>
        <w:t xml:space="preserve">Our customers recognise that we deliver great service at a low price and they have high levels of trust in us relative to the industry and other utilities.  The independent UK CSI </w:t>
      </w:r>
      <w:r w:rsidR="000E138C" w:rsidRPr="00C87A63">
        <w:rPr>
          <w:sz w:val="22"/>
          <w:szCs w:val="22"/>
        </w:rPr>
        <w:t xml:space="preserve">survey </w:t>
      </w:r>
      <w:r w:rsidRPr="00C87A63">
        <w:rPr>
          <w:sz w:val="22"/>
          <w:szCs w:val="22"/>
        </w:rPr>
        <w:t xml:space="preserve">showed we had the highest </w:t>
      </w:r>
      <w:r w:rsidR="002C2D0A" w:rsidRPr="00C87A63">
        <w:rPr>
          <w:sz w:val="22"/>
          <w:szCs w:val="22"/>
        </w:rPr>
        <w:t>satisfaction score</w:t>
      </w:r>
      <w:r w:rsidRPr="00C87A63">
        <w:rPr>
          <w:sz w:val="22"/>
          <w:szCs w:val="22"/>
        </w:rPr>
        <w:t xml:space="preserve"> in the industry and second highest amongst utility companies.</w:t>
      </w:r>
    </w:p>
    <w:p w:rsidR="00DC0EAC" w:rsidRPr="00C87A63" w:rsidRDefault="00DC0EAC" w:rsidP="00DC0EAC">
      <w:pPr>
        <w:tabs>
          <w:tab w:val="left" w:pos="0"/>
        </w:tabs>
        <w:rPr>
          <w:sz w:val="22"/>
          <w:szCs w:val="22"/>
        </w:rPr>
      </w:pPr>
      <w:r w:rsidRPr="00C87A63">
        <w:rPr>
          <w:sz w:val="22"/>
          <w:szCs w:val="22"/>
        </w:rPr>
        <w:t xml:space="preserve">The Board has ensured that our proposed Business Plan reflects what is important for customers, ambitious performance levels, </w:t>
      </w:r>
      <w:r w:rsidR="001932BC" w:rsidRPr="00C87A63">
        <w:rPr>
          <w:sz w:val="22"/>
          <w:szCs w:val="22"/>
        </w:rPr>
        <w:t xml:space="preserve">strengthens our resilience and is deliverable with </w:t>
      </w:r>
      <w:r w:rsidRPr="00C87A63">
        <w:rPr>
          <w:sz w:val="22"/>
          <w:szCs w:val="22"/>
        </w:rPr>
        <w:t xml:space="preserve">an efficient cost base </w:t>
      </w:r>
      <w:r w:rsidR="00C0433D" w:rsidRPr="00C87A63">
        <w:rPr>
          <w:sz w:val="22"/>
          <w:szCs w:val="22"/>
        </w:rPr>
        <w:t xml:space="preserve">and </w:t>
      </w:r>
      <w:r w:rsidR="000E138C" w:rsidRPr="00C87A63">
        <w:rPr>
          <w:sz w:val="22"/>
          <w:szCs w:val="22"/>
        </w:rPr>
        <w:t xml:space="preserve">an </w:t>
      </w:r>
      <w:r w:rsidRPr="00C87A63">
        <w:rPr>
          <w:sz w:val="22"/>
          <w:szCs w:val="22"/>
        </w:rPr>
        <w:t>appropriate balance between risk and return.  Overall this result</w:t>
      </w:r>
      <w:r w:rsidR="00C0433D" w:rsidRPr="00C87A63">
        <w:rPr>
          <w:sz w:val="22"/>
          <w:szCs w:val="22"/>
        </w:rPr>
        <w:t>s</w:t>
      </w:r>
      <w:r w:rsidRPr="00C87A63">
        <w:rPr>
          <w:sz w:val="22"/>
          <w:szCs w:val="22"/>
        </w:rPr>
        <w:t xml:space="preserve"> in a lower average bill of just £97 </w:t>
      </w:r>
      <w:r w:rsidR="000E138C" w:rsidRPr="00C87A63">
        <w:rPr>
          <w:sz w:val="22"/>
          <w:szCs w:val="22"/>
        </w:rPr>
        <w:t xml:space="preserve">for AMP7 </w:t>
      </w:r>
      <w:r w:rsidRPr="00C87A63">
        <w:rPr>
          <w:sz w:val="22"/>
          <w:szCs w:val="22"/>
        </w:rPr>
        <w:t>(in 2017/18 prices).</w:t>
      </w:r>
      <w:r w:rsidR="000E138C" w:rsidRPr="00C87A63">
        <w:rPr>
          <w:sz w:val="22"/>
          <w:szCs w:val="22"/>
        </w:rPr>
        <w:t xml:space="preserve">  </w:t>
      </w:r>
      <w:r w:rsidR="00C0433D" w:rsidRPr="00C87A63">
        <w:rPr>
          <w:sz w:val="22"/>
          <w:szCs w:val="22"/>
        </w:rPr>
        <w:t xml:space="preserve">Over 80% of our </w:t>
      </w:r>
      <w:r w:rsidR="000E138C" w:rsidRPr="00C87A63">
        <w:rPr>
          <w:sz w:val="22"/>
          <w:szCs w:val="22"/>
        </w:rPr>
        <w:t xml:space="preserve">customers </w:t>
      </w:r>
      <w:r w:rsidR="00C0433D" w:rsidRPr="00C87A63">
        <w:rPr>
          <w:sz w:val="22"/>
          <w:szCs w:val="22"/>
        </w:rPr>
        <w:t>support our proposed bill level.</w:t>
      </w:r>
    </w:p>
    <w:p w:rsidR="002C2D0A" w:rsidRPr="00C87A63" w:rsidRDefault="00DC0EAC" w:rsidP="002C2D0A">
      <w:pPr>
        <w:tabs>
          <w:tab w:val="left" w:pos="0"/>
        </w:tabs>
        <w:rPr>
          <w:rFonts w:cs="Arial"/>
          <w:sz w:val="22"/>
          <w:szCs w:val="22"/>
        </w:rPr>
      </w:pPr>
      <w:r w:rsidRPr="00C87A63">
        <w:rPr>
          <w:sz w:val="22"/>
          <w:szCs w:val="22"/>
        </w:rPr>
        <w:t>Th</w:t>
      </w:r>
      <w:r w:rsidR="001932BC" w:rsidRPr="00C87A63">
        <w:rPr>
          <w:sz w:val="22"/>
          <w:szCs w:val="22"/>
        </w:rPr>
        <w:t>is</w:t>
      </w:r>
      <w:r w:rsidRPr="00C87A63">
        <w:rPr>
          <w:sz w:val="22"/>
          <w:szCs w:val="22"/>
        </w:rPr>
        <w:t xml:space="preserve"> Business Plan reflects our positive response to the challenges set by our regulators and stakeholders.  It is grounded in customer priorities, the four themes of the Ofwat framework and in delivering the needs of the Government </w:t>
      </w:r>
      <w:r w:rsidR="001932BC" w:rsidRPr="00C87A63">
        <w:rPr>
          <w:sz w:val="22"/>
          <w:szCs w:val="22"/>
        </w:rPr>
        <w:t xml:space="preserve">and </w:t>
      </w:r>
      <w:r w:rsidRPr="00C87A63">
        <w:rPr>
          <w:sz w:val="22"/>
          <w:szCs w:val="22"/>
        </w:rPr>
        <w:t xml:space="preserve">other stakeholders’ strategic priorities.  We are confident that it enables us to fulfil our Statutory Obligations and address the Government’s priorities as set out </w:t>
      </w:r>
      <w:r w:rsidR="00C0433D" w:rsidRPr="00C87A63">
        <w:rPr>
          <w:sz w:val="22"/>
          <w:szCs w:val="22"/>
        </w:rPr>
        <w:t xml:space="preserve">by </w:t>
      </w:r>
      <w:r w:rsidRPr="00C87A63">
        <w:rPr>
          <w:sz w:val="22"/>
          <w:szCs w:val="22"/>
        </w:rPr>
        <w:t>Ofwat.</w:t>
      </w:r>
      <w:r w:rsidR="000E138C" w:rsidRPr="00C87A63">
        <w:rPr>
          <w:sz w:val="22"/>
          <w:szCs w:val="22"/>
        </w:rPr>
        <w:t xml:space="preserve">  </w:t>
      </w:r>
      <w:r w:rsidR="002C2D0A" w:rsidRPr="00C87A63">
        <w:rPr>
          <w:rFonts w:cs="Arial"/>
          <w:sz w:val="22"/>
          <w:szCs w:val="22"/>
        </w:rPr>
        <w:t>We believe our Plan meets the four challenges set out by the Water Industry Regulators in their letter of 9 August 2018</w:t>
      </w:r>
      <w:r w:rsidR="000E138C" w:rsidRPr="00C87A63">
        <w:rPr>
          <w:rFonts w:cs="Arial"/>
          <w:sz w:val="22"/>
          <w:szCs w:val="22"/>
        </w:rPr>
        <w:t>, to create a co-ordinated plan for the South East.</w:t>
      </w:r>
    </w:p>
    <w:p w:rsidR="00DC0EAC" w:rsidRPr="00C87A63" w:rsidRDefault="00DC0EAC" w:rsidP="00DC0EAC">
      <w:pPr>
        <w:tabs>
          <w:tab w:val="left" w:pos="0"/>
        </w:tabs>
        <w:rPr>
          <w:rFonts w:cs="Arial"/>
          <w:b/>
          <w:color w:val="2E74B5" w:themeColor="accent1" w:themeShade="BF"/>
          <w:sz w:val="22"/>
          <w:szCs w:val="22"/>
        </w:rPr>
      </w:pPr>
      <w:r w:rsidRPr="00C87A63">
        <w:rPr>
          <w:rFonts w:cs="Arial"/>
          <w:b/>
          <w:color w:val="2E74B5" w:themeColor="accent1" w:themeShade="BF"/>
          <w:sz w:val="22"/>
          <w:szCs w:val="22"/>
        </w:rPr>
        <w:t>New water resources supporting the South East region</w:t>
      </w:r>
    </w:p>
    <w:p w:rsidR="00DC0EAC" w:rsidRPr="00C87A63" w:rsidRDefault="00DC0EAC" w:rsidP="00DC0EAC">
      <w:pPr>
        <w:tabs>
          <w:tab w:val="left" w:pos="0"/>
        </w:tabs>
        <w:rPr>
          <w:rFonts w:cs="Arial"/>
          <w:sz w:val="22"/>
          <w:szCs w:val="22"/>
        </w:rPr>
      </w:pPr>
      <w:r w:rsidRPr="00C87A63">
        <w:rPr>
          <w:rFonts w:cs="Arial"/>
          <w:sz w:val="22"/>
          <w:szCs w:val="22"/>
        </w:rPr>
        <w:t xml:space="preserve">Our Business Plan will make a major contribution to </w:t>
      </w:r>
      <w:r w:rsidR="00B2601B" w:rsidRPr="00C87A63">
        <w:rPr>
          <w:rFonts w:cs="Arial"/>
          <w:sz w:val="22"/>
          <w:szCs w:val="22"/>
        </w:rPr>
        <w:t>long-term</w:t>
      </w:r>
      <w:r w:rsidR="000E138C" w:rsidRPr="00C87A63">
        <w:rPr>
          <w:rFonts w:cs="Arial"/>
          <w:sz w:val="22"/>
          <w:szCs w:val="22"/>
        </w:rPr>
        <w:t xml:space="preserve"> </w:t>
      </w:r>
      <w:r w:rsidRPr="00C87A63">
        <w:rPr>
          <w:rFonts w:cs="Arial"/>
          <w:sz w:val="22"/>
          <w:szCs w:val="22"/>
        </w:rPr>
        <w:t>resilien</w:t>
      </w:r>
      <w:r w:rsidR="000E138C" w:rsidRPr="00C87A63">
        <w:rPr>
          <w:rFonts w:cs="Arial"/>
          <w:sz w:val="22"/>
          <w:szCs w:val="22"/>
        </w:rPr>
        <w:t>t</w:t>
      </w:r>
      <w:r w:rsidRPr="00C87A63">
        <w:rPr>
          <w:rFonts w:cs="Arial"/>
          <w:sz w:val="22"/>
          <w:szCs w:val="22"/>
        </w:rPr>
        <w:t xml:space="preserve"> water resources in the South East</w:t>
      </w:r>
      <w:r w:rsidR="002C2D0A" w:rsidRPr="00C87A63">
        <w:rPr>
          <w:rFonts w:cs="Arial"/>
          <w:sz w:val="22"/>
          <w:szCs w:val="22"/>
        </w:rPr>
        <w:t xml:space="preserve"> by</w:t>
      </w:r>
      <w:r w:rsidRPr="00C87A63">
        <w:rPr>
          <w:rFonts w:cs="Arial"/>
          <w:sz w:val="22"/>
          <w:szCs w:val="22"/>
        </w:rPr>
        <w:t xml:space="preserve"> providing additional bulk supplies to Southern Water (SWS).  This will be enabled by a twin track approach to reduce leakage and lower </w:t>
      </w:r>
      <w:r w:rsidR="009258ED" w:rsidRPr="00C87A63">
        <w:rPr>
          <w:rFonts w:cs="Arial"/>
          <w:sz w:val="22"/>
          <w:szCs w:val="22"/>
        </w:rPr>
        <w:t>PCC</w:t>
      </w:r>
      <w:r w:rsidR="00C0433D" w:rsidRPr="00C87A63">
        <w:rPr>
          <w:rFonts w:cs="Arial"/>
          <w:sz w:val="22"/>
          <w:szCs w:val="22"/>
        </w:rPr>
        <w:t>,</w:t>
      </w:r>
      <w:r w:rsidRPr="00C87A63">
        <w:rPr>
          <w:rFonts w:cs="Arial"/>
          <w:sz w:val="22"/>
          <w:szCs w:val="22"/>
        </w:rPr>
        <w:t xml:space="preserve"> and the development of Havant Thicket Winter Storage Reservoir (HTWSR).  The reservoir was selected by the Water Resources in the South East (WRSE) modelling as a solution to future potential water </w:t>
      </w:r>
      <w:r w:rsidR="002C2D0A" w:rsidRPr="00C87A63">
        <w:rPr>
          <w:rFonts w:cs="Arial"/>
          <w:sz w:val="22"/>
          <w:szCs w:val="22"/>
        </w:rPr>
        <w:t xml:space="preserve">shortages in the region.  We will </w:t>
      </w:r>
      <w:r w:rsidR="00C0433D" w:rsidRPr="00C87A63">
        <w:rPr>
          <w:rFonts w:cs="Arial"/>
          <w:sz w:val="22"/>
          <w:szCs w:val="22"/>
        </w:rPr>
        <w:t xml:space="preserve">be </w:t>
      </w:r>
      <w:r w:rsidR="002C2D0A" w:rsidRPr="00C87A63">
        <w:rPr>
          <w:rFonts w:cs="Arial"/>
          <w:sz w:val="22"/>
          <w:szCs w:val="22"/>
        </w:rPr>
        <w:t>build</w:t>
      </w:r>
      <w:r w:rsidR="00C0433D" w:rsidRPr="00C87A63">
        <w:rPr>
          <w:rFonts w:cs="Arial"/>
          <w:sz w:val="22"/>
          <w:szCs w:val="22"/>
        </w:rPr>
        <w:t>ing</w:t>
      </w:r>
      <w:r w:rsidRPr="00C87A63">
        <w:rPr>
          <w:rFonts w:cs="Arial"/>
          <w:sz w:val="22"/>
          <w:szCs w:val="22"/>
        </w:rPr>
        <w:t xml:space="preserve"> the reservoir in close collaboration with SWS.</w:t>
      </w:r>
    </w:p>
    <w:p w:rsidR="00DC0EAC" w:rsidRPr="00C87A63" w:rsidRDefault="00DC0EAC" w:rsidP="00DC0EAC">
      <w:pPr>
        <w:tabs>
          <w:tab w:val="left" w:pos="0"/>
        </w:tabs>
        <w:rPr>
          <w:rFonts w:cs="Arial"/>
          <w:sz w:val="22"/>
          <w:szCs w:val="22"/>
        </w:rPr>
      </w:pPr>
      <w:r w:rsidRPr="00C87A63">
        <w:rPr>
          <w:rFonts w:cs="Arial"/>
          <w:sz w:val="22"/>
          <w:szCs w:val="22"/>
        </w:rPr>
        <w:t>We have considered the suitability of HTWSR for DPC and</w:t>
      </w:r>
      <w:r w:rsidR="001932BC" w:rsidRPr="00C87A63">
        <w:rPr>
          <w:rFonts w:cs="Arial"/>
          <w:sz w:val="22"/>
          <w:szCs w:val="22"/>
        </w:rPr>
        <w:t>,</w:t>
      </w:r>
      <w:r w:rsidRPr="00C87A63">
        <w:rPr>
          <w:rFonts w:cs="Arial"/>
          <w:sz w:val="22"/>
          <w:szCs w:val="22"/>
        </w:rPr>
        <w:t xml:space="preserve"> following extensive </w:t>
      </w:r>
      <w:r w:rsidR="001103D7" w:rsidRPr="00C87A63">
        <w:rPr>
          <w:rFonts w:cs="Arial"/>
          <w:sz w:val="22"/>
          <w:szCs w:val="22"/>
        </w:rPr>
        <w:t>analysis,</w:t>
      </w:r>
      <w:r w:rsidRPr="00C87A63">
        <w:rPr>
          <w:rFonts w:cs="Arial"/>
          <w:sz w:val="22"/>
          <w:szCs w:val="22"/>
        </w:rPr>
        <w:t xml:space="preserve"> we have concluded that this does not represent the best value for customers.  </w:t>
      </w:r>
      <w:r w:rsidR="00EA7148" w:rsidRPr="00C87A63">
        <w:rPr>
          <w:rFonts w:cs="Arial"/>
          <w:sz w:val="22"/>
          <w:szCs w:val="22"/>
        </w:rPr>
        <w:t xml:space="preserve">Our </w:t>
      </w:r>
      <w:r w:rsidR="00E76864">
        <w:rPr>
          <w:rFonts w:cs="Arial"/>
          <w:sz w:val="22"/>
          <w:szCs w:val="22"/>
        </w:rPr>
        <w:t>I</w:t>
      </w:r>
      <w:r w:rsidR="00EA7148" w:rsidRPr="00C87A63">
        <w:rPr>
          <w:rFonts w:cs="Arial"/>
          <w:sz w:val="22"/>
          <w:szCs w:val="22"/>
        </w:rPr>
        <w:t xml:space="preserve">nvestors will contribute substantial </w:t>
      </w:r>
      <w:r w:rsidR="00AB6F74">
        <w:rPr>
          <w:rFonts w:cs="Arial"/>
          <w:sz w:val="22"/>
          <w:szCs w:val="22"/>
        </w:rPr>
        <w:t xml:space="preserve">new </w:t>
      </w:r>
      <w:r w:rsidR="005115F9" w:rsidRPr="00C87A63">
        <w:rPr>
          <w:rFonts w:cs="Arial"/>
          <w:sz w:val="22"/>
          <w:szCs w:val="22"/>
        </w:rPr>
        <w:t>capital</w:t>
      </w:r>
      <w:r w:rsidR="00EA7148" w:rsidRPr="00C87A63">
        <w:rPr>
          <w:rFonts w:cs="Arial"/>
          <w:sz w:val="22"/>
          <w:szCs w:val="22"/>
        </w:rPr>
        <w:t xml:space="preserve"> to the development of HTWSR as part of a comprehensive market financing package.</w:t>
      </w:r>
    </w:p>
    <w:p w:rsidR="00A61600" w:rsidRDefault="00A61600">
      <w:pPr>
        <w:tabs>
          <w:tab w:val="clear" w:pos="851"/>
        </w:tabs>
        <w:spacing w:after="0"/>
        <w:ind w:left="0"/>
        <w:jc w:val="left"/>
        <w:rPr>
          <w:b/>
          <w:color w:val="2E74B5" w:themeColor="accent1" w:themeShade="BF"/>
          <w:sz w:val="22"/>
          <w:szCs w:val="22"/>
        </w:rPr>
      </w:pPr>
      <w:r>
        <w:rPr>
          <w:b/>
          <w:color w:val="2E74B5" w:themeColor="accent1" w:themeShade="BF"/>
          <w:sz w:val="22"/>
          <w:szCs w:val="22"/>
        </w:rPr>
        <w:br w:type="page"/>
      </w:r>
    </w:p>
    <w:p w:rsidR="00DC0EAC" w:rsidRPr="00C87A63" w:rsidRDefault="00DC0EAC" w:rsidP="00DC0EAC">
      <w:pPr>
        <w:tabs>
          <w:tab w:val="left" w:pos="0"/>
        </w:tabs>
        <w:rPr>
          <w:b/>
          <w:color w:val="2E74B5" w:themeColor="accent1" w:themeShade="BF"/>
          <w:sz w:val="22"/>
          <w:szCs w:val="22"/>
        </w:rPr>
      </w:pPr>
      <w:r w:rsidRPr="00C87A63">
        <w:rPr>
          <w:b/>
          <w:color w:val="2E74B5" w:themeColor="accent1" w:themeShade="BF"/>
          <w:sz w:val="22"/>
          <w:szCs w:val="22"/>
        </w:rPr>
        <w:t>What matters most to our customers?</w:t>
      </w:r>
    </w:p>
    <w:p w:rsidR="00DC0EAC" w:rsidRPr="00C87A63" w:rsidRDefault="00DC0EAC" w:rsidP="00DC0EAC">
      <w:pPr>
        <w:tabs>
          <w:tab w:val="left" w:pos="0"/>
        </w:tabs>
        <w:rPr>
          <w:sz w:val="22"/>
          <w:szCs w:val="22"/>
        </w:rPr>
      </w:pPr>
      <w:r w:rsidRPr="00C87A63">
        <w:rPr>
          <w:sz w:val="22"/>
          <w:szCs w:val="22"/>
        </w:rPr>
        <w:t>A step change in customer engagement activity underpins our Plan. We have engaged on a wide range of topics using different methods</w:t>
      </w:r>
      <w:r w:rsidR="001932BC" w:rsidRPr="00C87A63">
        <w:rPr>
          <w:sz w:val="22"/>
          <w:szCs w:val="22"/>
        </w:rPr>
        <w:t>,</w:t>
      </w:r>
      <w:r w:rsidRPr="00C87A63">
        <w:rPr>
          <w:sz w:val="22"/>
          <w:szCs w:val="22"/>
        </w:rPr>
        <w:t xml:space="preserve"> including experiments, a customer panel, work with young people and more traditional surveys and focus groups.  This was backed up through </w:t>
      </w:r>
      <w:r w:rsidR="002C2D0A" w:rsidRPr="00C87A63">
        <w:rPr>
          <w:sz w:val="22"/>
          <w:szCs w:val="22"/>
        </w:rPr>
        <w:t xml:space="preserve">quantitative surveys and </w:t>
      </w:r>
      <w:r w:rsidRPr="00C87A63">
        <w:rPr>
          <w:sz w:val="22"/>
          <w:szCs w:val="22"/>
        </w:rPr>
        <w:t>triangulation with other information.</w:t>
      </w:r>
    </w:p>
    <w:p w:rsidR="00DC0EAC" w:rsidRPr="00C87A63" w:rsidRDefault="00DC0EAC" w:rsidP="008B0746">
      <w:pPr>
        <w:tabs>
          <w:tab w:val="left" w:pos="0"/>
        </w:tabs>
        <w:spacing w:after="60"/>
        <w:rPr>
          <w:sz w:val="22"/>
          <w:szCs w:val="22"/>
        </w:rPr>
      </w:pPr>
      <w:r w:rsidRPr="00C87A63">
        <w:rPr>
          <w:sz w:val="22"/>
          <w:szCs w:val="22"/>
        </w:rPr>
        <w:t xml:space="preserve">Our customers show high </w:t>
      </w:r>
      <w:r w:rsidR="00C0433D" w:rsidRPr="00C87A63">
        <w:rPr>
          <w:sz w:val="22"/>
          <w:szCs w:val="22"/>
        </w:rPr>
        <w:t xml:space="preserve">levels of </w:t>
      </w:r>
      <w:r w:rsidRPr="00C87A63">
        <w:rPr>
          <w:sz w:val="22"/>
          <w:szCs w:val="22"/>
        </w:rPr>
        <w:t xml:space="preserve">satisfaction with our service and recognise strong overall performance at low, affordable bill levels. They supported our £97 bill and </w:t>
      </w:r>
      <w:r w:rsidR="001932BC" w:rsidRPr="00C87A63">
        <w:rPr>
          <w:sz w:val="22"/>
          <w:szCs w:val="22"/>
        </w:rPr>
        <w:t xml:space="preserve">a </w:t>
      </w:r>
      <w:r w:rsidRPr="00C87A63">
        <w:rPr>
          <w:sz w:val="22"/>
          <w:szCs w:val="22"/>
        </w:rPr>
        <w:t>£7</w:t>
      </w:r>
      <w:r w:rsidR="002C2D0A" w:rsidRPr="00C87A63">
        <w:rPr>
          <w:sz w:val="22"/>
          <w:szCs w:val="22"/>
        </w:rPr>
        <w:t>5</w:t>
      </w:r>
      <w:r w:rsidRPr="00C87A63">
        <w:rPr>
          <w:sz w:val="22"/>
          <w:szCs w:val="22"/>
        </w:rPr>
        <w:t xml:space="preserve"> social tariff</w:t>
      </w:r>
      <w:r w:rsidR="001932BC" w:rsidRPr="00C87A63">
        <w:rPr>
          <w:sz w:val="22"/>
          <w:szCs w:val="22"/>
        </w:rPr>
        <w:t>,</w:t>
      </w:r>
      <w:r w:rsidRPr="00C87A63">
        <w:rPr>
          <w:sz w:val="22"/>
          <w:szCs w:val="22"/>
        </w:rPr>
        <w:t xml:space="preserve"> together with our ambition to keep bills </w:t>
      </w:r>
      <w:r w:rsidR="00C0433D" w:rsidRPr="00C87A63">
        <w:rPr>
          <w:sz w:val="22"/>
          <w:szCs w:val="22"/>
        </w:rPr>
        <w:t xml:space="preserve">static </w:t>
      </w:r>
      <w:r w:rsidRPr="00C87A63">
        <w:rPr>
          <w:sz w:val="22"/>
          <w:szCs w:val="22"/>
        </w:rPr>
        <w:t xml:space="preserve">in real terms over the longer term.  They also recognised the benefits of being served by a small local business and supported the modest </w:t>
      </w:r>
      <w:r w:rsidR="00E76864">
        <w:rPr>
          <w:sz w:val="22"/>
          <w:szCs w:val="22"/>
        </w:rPr>
        <w:t>C</w:t>
      </w:r>
      <w:r w:rsidRPr="00C87A63">
        <w:rPr>
          <w:sz w:val="22"/>
          <w:szCs w:val="22"/>
        </w:rPr>
        <w:t xml:space="preserve">ompany </w:t>
      </w:r>
      <w:r w:rsidR="00E76864">
        <w:rPr>
          <w:sz w:val="22"/>
          <w:szCs w:val="22"/>
        </w:rPr>
        <w:t>S</w:t>
      </w:r>
      <w:r w:rsidRPr="00C87A63">
        <w:rPr>
          <w:sz w:val="22"/>
          <w:szCs w:val="22"/>
        </w:rPr>
        <w:t xml:space="preserve">pecific </w:t>
      </w:r>
      <w:r w:rsidR="00E76864">
        <w:rPr>
          <w:sz w:val="22"/>
          <w:szCs w:val="22"/>
        </w:rPr>
        <w:t>P</w:t>
      </w:r>
      <w:r w:rsidRPr="00C87A63">
        <w:rPr>
          <w:sz w:val="22"/>
          <w:szCs w:val="22"/>
        </w:rPr>
        <w:t xml:space="preserve">remium and adjustments to fund capital investment.  </w:t>
      </w:r>
      <w:r w:rsidR="000E1EE1" w:rsidRPr="00C87A63">
        <w:rPr>
          <w:sz w:val="22"/>
          <w:szCs w:val="22"/>
        </w:rPr>
        <w:t>Further,</w:t>
      </w:r>
      <w:r w:rsidR="00C0433D" w:rsidRPr="00C87A63">
        <w:rPr>
          <w:sz w:val="22"/>
          <w:szCs w:val="22"/>
        </w:rPr>
        <w:t xml:space="preserve"> below, w</w:t>
      </w:r>
      <w:r w:rsidRPr="00C87A63">
        <w:rPr>
          <w:sz w:val="22"/>
          <w:szCs w:val="22"/>
        </w:rPr>
        <w:t>e have summarised</w:t>
      </w:r>
      <w:r w:rsidR="001103D7" w:rsidRPr="00C87A63">
        <w:rPr>
          <w:sz w:val="22"/>
          <w:szCs w:val="22"/>
        </w:rPr>
        <w:t xml:space="preserve"> </w:t>
      </w:r>
      <w:r w:rsidRPr="00C87A63">
        <w:rPr>
          <w:sz w:val="22"/>
          <w:szCs w:val="22"/>
        </w:rPr>
        <w:t xml:space="preserve">the messages from </w:t>
      </w:r>
      <w:r w:rsidR="001932BC" w:rsidRPr="00C87A63">
        <w:rPr>
          <w:sz w:val="22"/>
          <w:szCs w:val="22"/>
        </w:rPr>
        <w:t xml:space="preserve">our </w:t>
      </w:r>
      <w:r w:rsidRPr="00C87A63">
        <w:rPr>
          <w:sz w:val="22"/>
          <w:szCs w:val="22"/>
        </w:rPr>
        <w:t xml:space="preserve">customers </w:t>
      </w:r>
      <w:r w:rsidR="001103D7" w:rsidRPr="00C87A63">
        <w:rPr>
          <w:sz w:val="22"/>
          <w:szCs w:val="22"/>
        </w:rPr>
        <w:t xml:space="preserve">and how these </w:t>
      </w:r>
      <w:r w:rsidR="00C0433D" w:rsidRPr="00C87A63">
        <w:rPr>
          <w:sz w:val="22"/>
          <w:szCs w:val="22"/>
        </w:rPr>
        <w:t xml:space="preserve">have </w:t>
      </w:r>
      <w:r w:rsidR="001103D7" w:rsidRPr="00C87A63">
        <w:rPr>
          <w:sz w:val="22"/>
          <w:szCs w:val="22"/>
        </w:rPr>
        <w:t>informed our Plan.</w:t>
      </w:r>
    </w:p>
    <w:tbl>
      <w:tblPr>
        <w:tblStyle w:val="TableGrid50"/>
        <w:tblW w:w="8788" w:type="dxa"/>
        <w:tblInd w:w="846" w:type="dxa"/>
        <w:tblLook w:val="04A0" w:firstRow="1" w:lastRow="0" w:firstColumn="1" w:lastColumn="0" w:noHBand="0" w:noVBand="1"/>
      </w:tblPr>
      <w:tblGrid>
        <w:gridCol w:w="4252"/>
        <w:gridCol w:w="4536"/>
      </w:tblGrid>
      <w:tr w:rsidR="00DC0EAC" w:rsidRPr="00C87A63" w:rsidTr="007769AE">
        <w:trPr>
          <w:trHeight w:val="275"/>
        </w:trPr>
        <w:tc>
          <w:tcPr>
            <w:tcW w:w="4252" w:type="dxa"/>
            <w:shd w:val="clear" w:color="auto" w:fill="2E74B5" w:themeFill="accent1" w:themeFillShade="BF"/>
          </w:tcPr>
          <w:p w:rsidR="00DC0EAC" w:rsidRPr="00C87A63" w:rsidRDefault="00DC0EAC" w:rsidP="001E0DCD">
            <w:pPr>
              <w:tabs>
                <w:tab w:val="clear" w:pos="851"/>
                <w:tab w:val="left" w:pos="0"/>
              </w:tabs>
              <w:spacing w:after="0"/>
              <w:ind w:left="0"/>
              <w:rPr>
                <w:b/>
                <w:color w:val="FFFFFF" w:themeColor="background1"/>
                <w:sz w:val="16"/>
                <w:szCs w:val="16"/>
              </w:rPr>
            </w:pPr>
            <w:r w:rsidRPr="00C87A63">
              <w:rPr>
                <w:b/>
                <w:color w:val="FFFFFF" w:themeColor="background1"/>
                <w:sz w:val="16"/>
                <w:szCs w:val="16"/>
              </w:rPr>
              <w:t>Customer insight</w:t>
            </w:r>
          </w:p>
        </w:tc>
        <w:tc>
          <w:tcPr>
            <w:tcW w:w="4536" w:type="dxa"/>
            <w:shd w:val="clear" w:color="auto" w:fill="2E74B5" w:themeFill="accent1" w:themeFillShade="BF"/>
          </w:tcPr>
          <w:p w:rsidR="00DC0EAC" w:rsidRPr="00C87A63" w:rsidRDefault="00DC0EAC" w:rsidP="001E0DCD">
            <w:pPr>
              <w:tabs>
                <w:tab w:val="clear" w:pos="851"/>
                <w:tab w:val="left" w:pos="0"/>
              </w:tabs>
              <w:spacing w:after="0"/>
              <w:ind w:left="0"/>
              <w:rPr>
                <w:b/>
                <w:color w:val="FFFFFF" w:themeColor="background1"/>
                <w:sz w:val="16"/>
                <w:szCs w:val="16"/>
              </w:rPr>
            </w:pPr>
            <w:r w:rsidRPr="00C87A63">
              <w:rPr>
                <w:b/>
                <w:color w:val="FFFFFF" w:themeColor="background1"/>
                <w:sz w:val="16"/>
                <w:szCs w:val="16"/>
              </w:rPr>
              <w:t>Impact on Business Plan</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Top priority is safe, secure and reliable supply of drinking water</w:t>
            </w:r>
          </w:p>
        </w:tc>
        <w:tc>
          <w:tcPr>
            <w:tcW w:w="4536"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We used the customer ranking of Outcomes to optimise our overall approach to business activities.</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Challenge on service level targets</w:t>
            </w:r>
          </w:p>
        </w:tc>
        <w:tc>
          <w:tcPr>
            <w:tcW w:w="4536" w:type="dxa"/>
          </w:tcPr>
          <w:p w:rsidR="00DC0EAC" w:rsidRPr="00C87A63" w:rsidRDefault="00DC0EAC" w:rsidP="001932BC">
            <w:pPr>
              <w:tabs>
                <w:tab w:val="clear" w:pos="851"/>
                <w:tab w:val="left" w:pos="0"/>
              </w:tabs>
              <w:spacing w:after="0"/>
              <w:ind w:left="0"/>
              <w:rPr>
                <w:rFonts w:cs="Arial"/>
                <w:sz w:val="16"/>
                <w:szCs w:val="16"/>
              </w:rPr>
            </w:pPr>
            <w:r w:rsidRPr="00C87A63">
              <w:rPr>
                <w:rFonts w:cs="Arial"/>
                <w:sz w:val="16"/>
                <w:szCs w:val="16"/>
              </w:rPr>
              <w:t>We revised targets accordingly e</w:t>
            </w:r>
            <w:r w:rsidR="001932BC" w:rsidRPr="00C87A63">
              <w:rPr>
                <w:rFonts w:cs="Arial"/>
                <w:sz w:val="16"/>
                <w:szCs w:val="16"/>
              </w:rPr>
              <w:t>.</w:t>
            </w:r>
            <w:r w:rsidRPr="00C87A63">
              <w:rPr>
                <w:rFonts w:cs="Arial"/>
                <w:sz w:val="16"/>
                <w:szCs w:val="16"/>
              </w:rPr>
              <w:t>g</w:t>
            </w:r>
            <w:r w:rsidR="001932BC" w:rsidRPr="00C87A63">
              <w:rPr>
                <w:rFonts w:cs="Arial"/>
                <w:sz w:val="16"/>
                <w:szCs w:val="16"/>
              </w:rPr>
              <w:t>.</w:t>
            </w:r>
            <w:r w:rsidRPr="00C87A63">
              <w:rPr>
                <w:rFonts w:cs="Arial"/>
                <w:sz w:val="16"/>
                <w:szCs w:val="16"/>
              </w:rPr>
              <w:t xml:space="preserve"> vulnerability </w:t>
            </w:r>
            <w:r w:rsidR="001932BC" w:rsidRPr="00C87A63">
              <w:rPr>
                <w:rFonts w:cs="Arial"/>
                <w:sz w:val="16"/>
                <w:szCs w:val="16"/>
              </w:rPr>
              <w:t>and</w:t>
            </w:r>
            <w:r w:rsidRPr="00C87A63">
              <w:rPr>
                <w:rFonts w:cs="Arial"/>
                <w:sz w:val="16"/>
                <w:szCs w:val="16"/>
              </w:rPr>
              <w:t xml:space="preserve"> environmental activities.</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Support continued investment in resilience</w:t>
            </w:r>
          </w:p>
          <w:p w:rsidR="00DC0EAC" w:rsidRPr="00C87A63" w:rsidRDefault="00DC0EAC" w:rsidP="00DC0EAC">
            <w:pPr>
              <w:tabs>
                <w:tab w:val="clear" w:pos="851"/>
                <w:tab w:val="left" w:pos="0"/>
              </w:tabs>
              <w:spacing w:after="0"/>
              <w:ind w:left="0"/>
              <w:rPr>
                <w:rFonts w:cs="Arial"/>
                <w:sz w:val="16"/>
                <w:szCs w:val="16"/>
              </w:rPr>
            </w:pPr>
          </w:p>
        </w:tc>
        <w:tc>
          <w:tcPr>
            <w:tcW w:w="4536" w:type="dxa"/>
          </w:tcPr>
          <w:p w:rsidR="00DC0EAC" w:rsidRPr="00C87A63" w:rsidRDefault="001103D7" w:rsidP="00DC0EAC">
            <w:pPr>
              <w:tabs>
                <w:tab w:val="clear" w:pos="851"/>
                <w:tab w:val="left" w:pos="0"/>
              </w:tabs>
              <w:spacing w:after="0"/>
              <w:ind w:left="0"/>
              <w:rPr>
                <w:rFonts w:cs="Arial"/>
                <w:sz w:val="16"/>
                <w:szCs w:val="16"/>
              </w:rPr>
            </w:pPr>
            <w:r w:rsidRPr="00C87A63">
              <w:rPr>
                <w:rFonts w:cs="Arial"/>
                <w:sz w:val="16"/>
                <w:szCs w:val="16"/>
              </w:rPr>
              <w:t>Inclusion of schemes to</w:t>
            </w:r>
            <w:r w:rsidR="00DC0EAC" w:rsidRPr="00C87A63">
              <w:rPr>
                <w:rFonts w:cs="Arial"/>
                <w:sz w:val="16"/>
                <w:szCs w:val="16"/>
              </w:rPr>
              <w:t xml:space="preserve"> enhance</w:t>
            </w:r>
            <w:r w:rsidRPr="00C87A63">
              <w:rPr>
                <w:rFonts w:cs="Arial"/>
                <w:sz w:val="16"/>
                <w:szCs w:val="16"/>
              </w:rPr>
              <w:t xml:space="preserve"> further</w:t>
            </w:r>
            <w:r w:rsidR="00DC0EAC" w:rsidRPr="00C87A63">
              <w:rPr>
                <w:rFonts w:cs="Arial"/>
                <w:sz w:val="16"/>
                <w:szCs w:val="16"/>
              </w:rPr>
              <w:t xml:space="preserve"> resilience including HTWSR enhancing the SE region.</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Support for water trading provided Portsmouth Water’s customers</w:t>
            </w:r>
            <w:r w:rsidR="001932BC" w:rsidRPr="00C87A63">
              <w:rPr>
                <w:rFonts w:cs="Arial"/>
                <w:sz w:val="16"/>
                <w:szCs w:val="16"/>
              </w:rPr>
              <w:t xml:space="preserve"> are</w:t>
            </w:r>
            <w:r w:rsidRPr="00C87A63">
              <w:rPr>
                <w:rFonts w:cs="Arial"/>
                <w:sz w:val="16"/>
                <w:szCs w:val="16"/>
              </w:rPr>
              <w:t xml:space="preserve"> not adversely affected</w:t>
            </w:r>
          </w:p>
        </w:tc>
        <w:tc>
          <w:tcPr>
            <w:tcW w:w="4536"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Supported development of HTWSR and ambition on demand side management activities.</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Value environmental enhancement that goes beyond legal responsibilities and content to give rewards for these</w:t>
            </w:r>
          </w:p>
        </w:tc>
        <w:tc>
          <w:tcPr>
            <w:tcW w:w="4536" w:type="dxa"/>
          </w:tcPr>
          <w:p w:rsidR="00DC0EAC" w:rsidRPr="00C87A63" w:rsidRDefault="00EA7148" w:rsidP="00DC0EAC">
            <w:pPr>
              <w:tabs>
                <w:tab w:val="clear" w:pos="851"/>
                <w:tab w:val="left" w:pos="0"/>
              </w:tabs>
              <w:spacing w:after="0"/>
              <w:ind w:left="0"/>
              <w:rPr>
                <w:rFonts w:cs="Arial"/>
                <w:sz w:val="16"/>
                <w:szCs w:val="16"/>
              </w:rPr>
            </w:pPr>
            <w:r w:rsidRPr="00C87A63">
              <w:rPr>
                <w:rFonts w:cs="Arial"/>
                <w:sz w:val="16"/>
                <w:szCs w:val="16"/>
              </w:rPr>
              <w:t>Increased breadth</w:t>
            </w:r>
            <w:r w:rsidR="00DC0EAC" w:rsidRPr="00C87A63">
              <w:rPr>
                <w:rFonts w:cs="Arial"/>
                <w:sz w:val="16"/>
                <w:szCs w:val="16"/>
              </w:rPr>
              <w:t xml:space="preserve"> and range of environmental activities both on and beyond our sites.</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Co-create and deliver more water efficiency education</w:t>
            </w:r>
          </w:p>
        </w:tc>
        <w:tc>
          <w:tcPr>
            <w:tcW w:w="4536"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 xml:space="preserve">Development of new approaches to support water efficiency. </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A wide range of views on metering, customers prefer choice rather than compulsion</w:t>
            </w:r>
          </w:p>
        </w:tc>
        <w:tc>
          <w:tcPr>
            <w:tcW w:w="4536"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Development of innovative “not for revenue” metering programme that provides consumption information to customers to encourage switching.</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Support our affordable bills and extending the numbers of customers on a Social Tariff</w:t>
            </w:r>
          </w:p>
        </w:tc>
        <w:tc>
          <w:tcPr>
            <w:tcW w:w="4536" w:type="dxa"/>
          </w:tcPr>
          <w:p w:rsidR="00DC0EAC" w:rsidRPr="00C87A63" w:rsidRDefault="00DC0EAC" w:rsidP="001932BC">
            <w:pPr>
              <w:tabs>
                <w:tab w:val="clear" w:pos="851"/>
                <w:tab w:val="left" w:pos="0"/>
              </w:tabs>
              <w:spacing w:after="0"/>
              <w:ind w:left="0"/>
              <w:rPr>
                <w:rFonts w:cs="Arial"/>
                <w:sz w:val="16"/>
                <w:szCs w:val="16"/>
              </w:rPr>
            </w:pPr>
            <w:r w:rsidRPr="00C87A63">
              <w:rPr>
                <w:rFonts w:cs="Arial"/>
                <w:sz w:val="16"/>
                <w:szCs w:val="16"/>
              </w:rPr>
              <w:t xml:space="preserve">Customer acceptance of bill levels and support for increasing numbers on our </w:t>
            </w:r>
            <w:r w:rsidR="001932BC" w:rsidRPr="00C87A63">
              <w:rPr>
                <w:rFonts w:cs="Arial"/>
                <w:sz w:val="16"/>
                <w:szCs w:val="16"/>
              </w:rPr>
              <w:t>S</w:t>
            </w:r>
            <w:r w:rsidRPr="00C87A63">
              <w:rPr>
                <w:rFonts w:cs="Arial"/>
                <w:sz w:val="16"/>
                <w:szCs w:val="16"/>
              </w:rPr>
              <w:t xml:space="preserve">ocial </w:t>
            </w:r>
            <w:r w:rsidR="001932BC" w:rsidRPr="00C87A63">
              <w:rPr>
                <w:rFonts w:cs="Arial"/>
                <w:sz w:val="16"/>
                <w:szCs w:val="16"/>
              </w:rPr>
              <w:t>T</w:t>
            </w:r>
            <w:r w:rsidRPr="00C87A63">
              <w:rPr>
                <w:rFonts w:cs="Arial"/>
                <w:sz w:val="16"/>
                <w:szCs w:val="16"/>
              </w:rPr>
              <w:t>ariff.</w:t>
            </w:r>
          </w:p>
        </w:tc>
      </w:tr>
      <w:tr w:rsidR="00DC0EAC" w:rsidRPr="00C87A63" w:rsidTr="007769AE">
        <w:tc>
          <w:tcPr>
            <w:tcW w:w="4252" w:type="dxa"/>
          </w:tcPr>
          <w:p w:rsidR="00DC0EAC" w:rsidRPr="00C87A63" w:rsidRDefault="00DC0EAC" w:rsidP="00EC2F8C">
            <w:pPr>
              <w:tabs>
                <w:tab w:val="clear" w:pos="851"/>
                <w:tab w:val="left" w:pos="0"/>
              </w:tabs>
              <w:spacing w:after="0"/>
              <w:ind w:left="0"/>
              <w:rPr>
                <w:rFonts w:cs="Arial"/>
                <w:sz w:val="16"/>
                <w:szCs w:val="16"/>
              </w:rPr>
            </w:pPr>
            <w:r w:rsidRPr="00C87A63">
              <w:rPr>
                <w:rFonts w:cs="Arial"/>
                <w:sz w:val="16"/>
                <w:szCs w:val="16"/>
              </w:rPr>
              <w:t xml:space="preserve">See benefits in being supplied by a small local company, supporting a Company </w:t>
            </w:r>
            <w:r w:rsidR="00EC2F8C" w:rsidRPr="00C87A63">
              <w:rPr>
                <w:rFonts w:cs="Arial"/>
                <w:sz w:val="16"/>
                <w:szCs w:val="16"/>
              </w:rPr>
              <w:t xml:space="preserve">Specific </w:t>
            </w:r>
            <w:r w:rsidRPr="00C87A63">
              <w:rPr>
                <w:rFonts w:cs="Arial"/>
                <w:sz w:val="16"/>
                <w:szCs w:val="16"/>
              </w:rPr>
              <w:t>Premium</w:t>
            </w:r>
          </w:p>
        </w:tc>
        <w:tc>
          <w:tcPr>
            <w:tcW w:w="4536"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Strong customer support for Company Specific Premium.</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Given high levels of satisfaction with existing service levels generally not in favour of rewards for service improvements but did support penalties for poor performance</w:t>
            </w:r>
          </w:p>
        </w:tc>
        <w:tc>
          <w:tcPr>
            <w:tcW w:w="4536" w:type="dxa"/>
          </w:tcPr>
          <w:p w:rsidR="00DC0EAC" w:rsidRPr="00C87A63" w:rsidRDefault="00DC0EAC" w:rsidP="001932BC">
            <w:pPr>
              <w:tabs>
                <w:tab w:val="clear" w:pos="851"/>
                <w:tab w:val="left" w:pos="0"/>
              </w:tabs>
              <w:spacing w:after="0"/>
              <w:ind w:left="0"/>
              <w:rPr>
                <w:rFonts w:cs="Arial"/>
                <w:sz w:val="16"/>
                <w:szCs w:val="16"/>
              </w:rPr>
            </w:pPr>
            <w:r w:rsidRPr="00C87A63">
              <w:rPr>
                <w:rFonts w:cs="Arial"/>
                <w:sz w:val="16"/>
                <w:szCs w:val="16"/>
              </w:rPr>
              <w:t xml:space="preserve">Customer support for the overall package of rewards </w:t>
            </w:r>
            <w:r w:rsidR="001932BC" w:rsidRPr="00C87A63">
              <w:rPr>
                <w:rFonts w:cs="Arial"/>
                <w:sz w:val="16"/>
                <w:szCs w:val="16"/>
              </w:rPr>
              <w:t>and</w:t>
            </w:r>
            <w:r w:rsidRPr="00C87A63">
              <w:rPr>
                <w:rFonts w:cs="Arial"/>
                <w:sz w:val="16"/>
                <w:szCs w:val="16"/>
              </w:rPr>
              <w:t xml:space="preserve"> penalties.</w:t>
            </w:r>
          </w:p>
        </w:tc>
      </w:tr>
      <w:tr w:rsidR="00DC0EAC" w:rsidRPr="00C87A63" w:rsidTr="007769AE">
        <w:tc>
          <w:tcPr>
            <w:tcW w:w="4252"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Developers like our responsiveness and accessibility</w:t>
            </w:r>
          </w:p>
        </w:tc>
        <w:tc>
          <w:tcPr>
            <w:tcW w:w="4536" w:type="dxa"/>
          </w:tcPr>
          <w:p w:rsidR="00DC0EAC" w:rsidRPr="00C87A63" w:rsidRDefault="00DC0EAC" w:rsidP="00DC0EAC">
            <w:pPr>
              <w:tabs>
                <w:tab w:val="clear" w:pos="851"/>
                <w:tab w:val="left" w:pos="0"/>
              </w:tabs>
              <w:spacing w:after="0"/>
              <w:ind w:left="0"/>
              <w:rPr>
                <w:rFonts w:cs="Arial"/>
                <w:sz w:val="16"/>
                <w:szCs w:val="16"/>
              </w:rPr>
            </w:pPr>
            <w:r w:rsidRPr="00C87A63">
              <w:rPr>
                <w:rFonts w:cs="Arial"/>
                <w:sz w:val="16"/>
                <w:szCs w:val="16"/>
              </w:rPr>
              <w:t xml:space="preserve">Developing further activities to ensure responsiveness and flexibility </w:t>
            </w:r>
          </w:p>
        </w:tc>
      </w:tr>
      <w:tr w:rsidR="00DC0EAC" w:rsidRPr="00C87A63" w:rsidTr="007769AE">
        <w:tc>
          <w:tcPr>
            <w:tcW w:w="4252" w:type="dxa"/>
          </w:tcPr>
          <w:p w:rsidR="00DC0EAC" w:rsidRPr="00C87A63" w:rsidRDefault="002C2D0A" w:rsidP="00DC0EAC">
            <w:pPr>
              <w:tabs>
                <w:tab w:val="clear" w:pos="851"/>
                <w:tab w:val="left" w:pos="0"/>
              </w:tabs>
              <w:spacing w:after="0"/>
              <w:ind w:left="0"/>
              <w:rPr>
                <w:rFonts w:cs="Arial"/>
                <w:sz w:val="16"/>
                <w:szCs w:val="16"/>
              </w:rPr>
            </w:pPr>
            <w:r w:rsidRPr="00C87A63">
              <w:rPr>
                <w:rFonts w:cs="Arial"/>
                <w:sz w:val="16"/>
                <w:szCs w:val="16"/>
              </w:rPr>
              <w:t>Non-Household customers</w:t>
            </w:r>
            <w:r w:rsidR="00DC0EAC" w:rsidRPr="00C87A63">
              <w:rPr>
                <w:rFonts w:cs="Arial"/>
                <w:sz w:val="16"/>
                <w:szCs w:val="16"/>
              </w:rPr>
              <w:t xml:space="preserve"> were supportive of service levels</w:t>
            </w:r>
            <w:r w:rsidRPr="00C87A63">
              <w:rPr>
                <w:rFonts w:cs="Arial"/>
                <w:sz w:val="16"/>
                <w:szCs w:val="16"/>
              </w:rPr>
              <w:t xml:space="preserve"> but stressed the impact on them of interruptions to supply.</w:t>
            </w:r>
          </w:p>
        </w:tc>
        <w:tc>
          <w:tcPr>
            <w:tcW w:w="4536" w:type="dxa"/>
          </w:tcPr>
          <w:p w:rsidR="00DC0EAC" w:rsidRPr="00C87A63" w:rsidRDefault="001932BC" w:rsidP="001932BC">
            <w:pPr>
              <w:tabs>
                <w:tab w:val="clear" w:pos="851"/>
                <w:tab w:val="left" w:pos="0"/>
              </w:tabs>
              <w:spacing w:after="0"/>
              <w:ind w:left="0"/>
              <w:rPr>
                <w:rFonts w:cs="Arial"/>
                <w:sz w:val="16"/>
                <w:szCs w:val="16"/>
                <w:highlight w:val="yellow"/>
              </w:rPr>
            </w:pPr>
            <w:r w:rsidRPr="00C87A63">
              <w:rPr>
                <w:rFonts w:cs="Arial"/>
                <w:sz w:val="16"/>
                <w:szCs w:val="16"/>
              </w:rPr>
              <w:t xml:space="preserve">Target to halve </w:t>
            </w:r>
            <w:r w:rsidR="002C2D0A" w:rsidRPr="00C87A63">
              <w:rPr>
                <w:rFonts w:cs="Arial"/>
                <w:sz w:val="16"/>
                <w:szCs w:val="16"/>
              </w:rPr>
              <w:t>supply interruptions in AMP7.</w:t>
            </w:r>
          </w:p>
        </w:tc>
      </w:tr>
    </w:tbl>
    <w:p w:rsidR="00A61600" w:rsidRDefault="00A61600" w:rsidP="00DC0EAC">
      <w:pPr>
        <w:tabs>
          <w:tab w:val="left" w:pos="0"/>
        </w:tabs>
        <w:spacing w:after="0"/>
        <w:ind w:left="1848"/>
        <w:rPr>
          <w:rFonts w:cs="Arial"/>
          <w:sz w:val="22"/>
          <w:szCs w:val="22"/>
        </w:rPr>
      </w:pPr>
    </w:p>
    <w:p w:rsidR="00A61600" w:rsidRPr="00C87A63" w:rsidRDefault="00A61600" w:rsidP="00A61600">
      <w:pPr>
        <w:tabs>
          <w:tab w:val="left" w:pos="0"/>
        </w:tabs>
        <w:rPr>
          <w:rFonts w:cs="Arial"/>
          <w:b/>
          <w:color w:val="2E74B5" w:themeColor="accent1" w:themeShade="BF"/>
          <w:sz w:val="22"/>
          <w:szCs w:val="22"/>
        </w:rPr>
      </w:pPr>
      <w:r w:rsidRPr="00C87A63">
        <w:rPr>
          <w:rFonts w:cs="Arial"/>
          <w:b/>
          <w:color w:val="2E74B5" w:themeColor="accent1" w:themeShade="BF"/>
          <w:sz w:val="22"/>
          <w:szCs w:val="22"/>
        </w:rPr>
        <w:t>Putting the customer at the heart of what we do</w:t>
      </w:r>
    </w:p>
    <w:p w:rsidR="00A61600" w:rsidRPr="00C87A63" w:rsidRDefault="00A61600" w:rsidP="00A61600">
      <w:pPr>
        <w:tabs>
          <w:tab w:val="left" w:pos="0"/>
        </w:tabs>
        <w:rPr>
          <w:rFonts w:cs="Arial"/>
          <w:sz w:val="22"/>
          <w:szCs w:val="22"/>
        </w:rPr>
      </w:pPr>
      <w:r w:rsidRPr="00C87A63">
        <w:rPr>
          <w:rFonts w:cs="Arial"/>
          <w:sz w:val="22"/>
          <w:szCs w:val="22"/>
        </w:rPr>
        <w:t xml:space="preserve">Our core principle is about “doing the right thing” and we drive this into the business culture.  </w:t>
      </w:r>
      <w:r w:rsidR="000E1EE1">
        <w:rPr>
          <w:rFonts w:cs="Arial"/>
          <w:sz w:val="22"/>
          <w:szCs w:val="22"/>
        </w:rPr>
        <w:t>Our decision at the PR14 Price Review to forgo £5m (3% of allowed revenue) of legacy adjustments to keep customer bills down</w:t>
      </w:r>
      <w:r w:rsidR="00FF41FA">
        <w:rPr>
          <w:rFonts w:cs="Arial"/>
          <w:sz w:val="22"/>
          <w:szCs w:val="22"/>
        </w:rPr>
        <w:t>,</w:t>
      </w:r>
      <w:r w:rsidR="000E1EE1">
        <w:rPr>
          <w:rFonts w:cs="Arial"/>
          <w:sz w:val="22"/>
          <w:szCs w:val="22"/>
        </w:rPr>
        <w:t xml:space="preserve"> demonstrates this.  </w:t>
      </w:r>
      <w:r w:rsidRPr="00C87A63">
        <w:rPr>
          <w:rFonts w:cs="Arial"/>
          <w:sz w:val="22"/>
          <w:szCs w:val="22"/>
        </w:rPr>
        <w:t>We instil an overall business culture of “customer first” and apply the test of “value for money” recognising that whatever we spend, customers are paying for.</w:t>
      </w:r>
    </w:p>
    <w:p w:rsidR="00A61600" w:rsidRPr="00C87A63" w:rsidRDefault="00A61600" w:rsidP="00A61600">
      <w:pPr>
        <w:tabs>
          <w:tab w:val="left" w:pos="0"/>
        </w:tabs>
        <w:rPr>
          <w:rFonts w:cs="Arial"/>
          <w:sz w:val="22"/>
          <w:szCs w:val="22"/>
        </w:rPr>
      </w:pPr>
      <w:r w:rsidRPr="00C87A63">
        <w:rPr>
          <w:rFonts w:cs="Arial"/>
          <w:sz w:val="22"/>
          <w:szCs w:val="22"/>
        </w:rPr>
        <w:t>Our financial policies have and will continue to be sustainable with a responsible approach to dividends and executive pay linked to delivering for customers.  A base dividend policy of a 5% dividend yield will be adopted and we have proposed a sharing mechanism for gearing out-performance in line with Ofwat’s example approach.</w:t>
      </w:r>
    </w:p>
    <w:p w:rsidR="00A61600" w:rsidRDefault="00A61600" w:rsidP="000E1EE1">
      <w:pPr>
        <w:rPr>
          <w:rFonts w:cs="Arial"/>
          <w:sz w:val="22"/>
          <w:szCs w:val="22"/>
        </w:rPr>
      </w:pPr>
      <w:r w:rsidRPr="000E1EE1">
        <w:rPr>
          <w:sz w:val="22"/>
          <w:szCs w:val="22"/>
        </w:rPr>
        <w:t>Good governance practice is applied across the Company and the Board operates independently in both mind-set and composition.  Following the appointment of an Investor representative to the Board in April 2018, we are currently appointing a further independent Non-Executive Director.</w:t>
      </w:r>
      <w:r>
        <w:rPr>
          <w:rFonts w:cs="Arial"/>
          <w:sz w:val="22"/>
          <w:szCs w:val="22"/>
        </w:rPr>
        <w:br w:type="page"/>
      </w:r>
    </w:p>
    <w:p w:rsidR="00DC0EAC" w:rsidRPr="00C87A63" w:rsidRDefault="00DC0EAC" w:rsidP="00DC0EAC">
      <w:pPr>
        <w:shd w:val="clear" w:color="auto" w:fill="FFFFFF" w:themeFill="background1"/>
        <w:tabs>
          <w:tab w:val="left" w:pos="0"/>
        </w:tabs>
        <w:rPr>
          <w:rFonts w:cs="Arial"/>
          <w:b/>
          <w:color w:val="2E74B5" w:themeColor="accent1" w:themeShade="BF"/>
          <w:sz w:val="22"/>
          <w:szCs w:val="22"/>
        </w:rPr>
      </w:pPr>
      <w:r w:rsidRPr="00C87A63">
        <w:rPr>
          <w:rFonts w:cs="Arial"/>
          <w:b/>
          <w:color w:val="2E74B5" w:themeColor="accent1" w:themeShade="BF"/>
          <w:sz w:val="22"/>
          <w:szCs w:val="22"/>
        </w:rPr>
        <w:t>Delivering outcomes for customers</w:t>
      </w:r>
    </w:p>
    <w:p w:rsidR="00DC0EAC" w:rsidRDefault="00152CFB" w:rsidP="00A61600">
      <w:pPr>
        <w:tabs>
          <w:tab w:val="left" w:pos="0"/>
        </w:tabs>
        <w:spacing w:after="0"/>
        <w:rPr>
          <w:rFonts w:cs="Arial"/>
          <w:sz w:val="22"/>
          <w:szCs w:val="22"/>
        </w:rPr>
      </w:pPr>
      <w:r w:rsidRPr="00C87A63">
        <w:rPr>
          <w:rFonts w:cs="Arial"/>
          <w:sz w:val="22"/>
          <w:szCs w:val="22"/>
        </w:rPr>
        <w:t>Our c</w:t>
      </w:r>
      <w:r w:rsidR="00DC0EAC" w:rsidRPr="00C87A63">
        <w:rPr>
          <w:rFonts w:cs="Arial"/>
          <w:sz w:val="22"/>
          <w:szCs w:val="22"/>
        </w:rPr>
        <w:t xml:space="preserve">ustomers, the Board, the </w:t>
      </w:r>
      <w:r w:rsidR="001932BC" w:rsidRPr="00C87A63">
        <w:rPr>
          <w:rFonts w:cs="Arial"/>
          <w:sz w:val="22"/>
          <w:szCs w:val="22"/>
        </w:rPr>
        <w:t>Customer Challenge Group (</w:t>
      </w:r>
      <w:r w:rsidR="00DC0EAC" w:rsidRPr="00C87A63">
        <w:rPr>
          <w:rFonts w:cs="Arial"/>
          <w:sz w:val="22"/>
          <w:szCs w:val="22"/>
        </w:rPr>
        <w:t>CCG</w:t>
      </w:r>
      <w:r w:rsidR="001932BC" w:rsidRPr="00C87A63">
        <w:rPr>
          <w:rFonts w:cs="Arial"/>
          <w:sz w:val="22"/>
          <w:szCs w:val="22"/>
        </w:rPr>
        <w:t>)</w:t>
      </w:r>
      <w:r w:rsidR="00DC0EAC" w:rsidRPr="00C87A63">
        <w:rPr>
          <w:rFonts w:cs="Arial"/>
          <w:sz w:val="22"/>
          <w:szCs w:val="22"/>
        </w:rPr>
        <w:t xml:space="preserve"> and other stakeholders have </w:t>
      </w:r>
      <w:r w:rsidRPr="00C87A63">
        <w:rPr>
          <w:rFonts w:cs="Arial"/>
          <w:sz w:val="22"/>
          <w:szCs w:val="22"/>
        </w:rPr>
        <w:t xml:space="preserve">all </w:t>
      </w:r>
      <w:r w:rsidR="00DC0EAC" w:rsidRPr="00C87A63">
        <w:rPr>
          <w:rFonts w:cs="Arial"/>
          <w:sz w:val="22"/>
          <w:szCs w:val="22"/>
        </w:rPr>
        <w:t xml:space="preserve">shaped our Outcomes and the related </w:t>
      </w:r>
      <w:r w:rsidR="00964B14">
        <w:rPr>
          <w:rFonts w:cs="Arial"/>
          <w:sz w:val="22"/>
          <w:szCs w:val="22"/>
        </w:rPr>
        <w:t>Performance Commitments</w:t>
      </w:r>
      <w:r w:rsidR="00DC0EAC" w:rsidRPr="00C87A63">
        <w:rPr>
          <w:rFonts w:cs="Arial"/>
          <w:sz w:val="22"/>
          <w:szCs w:val="22"/>
        </w:rPr>
        <w:t>, challenged ser</w:t>
      </w:r>
      <w:r w:rsidR="001932BC" w:rsidRPr="00C87A63">
        <w:rPr>
          <w:rFonts w:cs="Arial"/>
          <w:sz w:val="22"/>
          <w:szCs w:val="22"/>
        </w:rPr>
        <w:t>vice levels and valued rewards and</w:t>
      </w:r>
      <w:r w:rsidR="00DC0EAC" w:rsidRPr="00C87A63">
        <w:rPr>
          <w:rFonts w:cs="Arial"/>
          <w:sz w:val="22"/>
          <w:szCs w:val="22"/>
        </w:rPr>
        <w:t xml:space="preserve"> penalties.  Underpinning our </w:t>
      </w:r>
      <w:r w:rsidR="001932BC" w:rsidRPr="00C87A63">
        <w:rPr>
          <w:rFonts w:cs="Arial"/>
          <w:sz w:val="22"/>
          <w:szCs w:val="22"/>
        </w:rPr>
        <w:t>seven</w:t>
      </w:r>
      <w:r w:rsidR="00DC0EAC" w:rsidRPr="00C87A63">
        <w:rPr>
          <w:rFonts w:cs="Arial"/>
          <w:sz w:val="22"/>
          <w:szCs w:val="22"/>
        </w:rPr>
        <w:t xml:space="preserve"> outcomes are 21 </w:t>
      </w:r>
      <w:r w:rsidR="00964B14">
        <w:rPr>
          <w:rFonts w:cs="Arial"/>
          <w:sz w:val="22"/>
          <w:szCs w:val="22"/>
        </w:rPr>
        <w:t>Performance Commitments</w:t>
      </w:r>
      <w:r w:rsidR="00B2601B" w:rsidRPr="00C87A63">
        <w:rPr>
          <w:rFonts w:cs="Arial"/>
          <w:sz w:val="22"/>
          <w:szCs w:val="22"/>
        </w:rPr>
        <w:t>, which</w:t>
      </w:r>
      <w:r w:rsidR="00DC0EAC" w:rsidRPr="00C87A63">
        <w:rPr>
          <w:rFonts w:cs="Arial"/>
          <w:sz w:val="22"/>
          <w:szCs w:val="22"/>
        </w:rPr>
        <w:t xml:space="preserve"> we will use to measure our </w:t>
      </w:r>
      <w:r w:rsidRPr="00C87A63">
        <w:rPr>
          <w:rFonts w:cs="Arial"/>
          <w:sz w:val="22"/>
          <w:szCs w:val="22"/>
        </w:rPr>
        <w:t xml:space="preserve">customer delivery </w:t>
      </w:r>
      <w:r w:rsidR="00DC0EAC" w:rsidRPr="00C87A63">
        <w:rPr>
          <w:rFonts w:cs="Arial"/>
          <w:sz w:val="22"/>
          <w:szCs w:val="22"/>
        </w:rPr>
        <w:t>performance.</w:t>
      </w:r>
    </w:p>
    <w:tbl>
      <w:tblPr>
        <w:tblStyle w:val="TableGrid36111"/>
        <w:tblpPr w:leftFromText="180" w:rightFromText="180" w:vertAnchor="text" w:horzAnchor="margin" w:tblpX="846" w:tblpY="172"/>
        <w:tblW w:w="8784" w:type="dxa"/>
        <w:tblLayout w:type="fixed"/>
        <w:tblLook w:val="04A0" w:firstRow="1" w:lastRow="0" w:firstColumn="1" w:lastColumn="0" w:noHBand="0" w:noVBand="1"/>
      </w:tblPr>
      <w:tblGrid>
        <w:gridCol w:w="1696"/>
        <w:gridCol w:w="2415"/>
        <w:gridCol w:w="704"/>
        <w:gridCol w:w="709"/>
        <w:gridCol w:w="850"/>
        <w:gridCol w:w="851"/>
        <w:gridCol w:w="1559"/>
      </w:tblGrid>
      <w:tr w:rsidR="00A61600" w:rsidRPr="00C87A63" w:rsidTr="007769AE">
        <w:trPr>
          <w:cantSplit/>
          <w:trHeight w:val="239"/>
        </w:trPr>
        <w:tc>
          <w:tcPr>
            <w:tcW w:w="1696" w:type="dxa"/>
            <w:shd w:val="clear" w:color="auto" w:fill="2E74B5"/>
            <w:vAlign w:val="center"/>
          </w:tcPr>
          <w:p w:rsidR="00A61600" w:rsidRPr="00C87A63" w:rsidRDefault="00A61600" w:rsidP="007769AE">
            <w:pPr>
              <w:tabs>
                <w:tab w:val="clear" w:pos="851"/>
                <w:tab w:val="left" w:pos="0"/>
              </w:tabs>
              <w:spacing w:after="0"/>
              <w:ind w:left="0"/>
              <w:contextualSpacing/>
              <w:jc w:val="center"/>
              <w:rPr>
                <w:rFonts w:cs="Arial"/>
                <w:b/>
                <w:color w:val="FFFFFF"/>
                <w:sz w:val="16"/>
                <w:szCs w:val="16"/>
              </w:rPr>
            </w:pPr>
            <w:r w:rsidRPr="00C87A63">
              <w:rPr>
                <w:rFonts w:cs="Arial"/>
                <w:b/>
                <w:color w:val="FFFFFF"/>
                <w:sz w:val="16"/>
                <w:szCs w:val="16"/>
              </w:rPr>
              <w:t>PR19 Outcomes</w:t>
            </w:r>
          </w:p>
        </w:tc>
        <w:tc>
          <w:tcPr>
            <w:tcW w:w="2415" w:type="dxa"/>
            <w:shd w:val="clear" w:color="auto" w:fill="2E74B5"/>
            <w:vAlign w:val="center"/>
          </w:tcPr>
          <w:p w:rsidR="00A61600" w:rsidRPr="00C87A63" w:rsidRDefault="00A61600" w:rsidP="007769AE">
            <w:pPr>
              <w:tabs>
                <w:tab w:val="clear" w:pos="851"/>
                <w:tab w:val="left" w:pos="0"/>
              </w:tabs>
              <w:spacing w:after="0"/>
              <w:ind w:left="0"/>
              <w:contextualSpacing/>
              <w:jc w:val="center"/>
              <w:rPr>
                <w:rFonts w:cs="Arial"/>
                <w:b/>
                <w:color w:val="FFFFFF"/>
                <w:sz w:val="16"/>
                <w:szCs w:val="16"/>
              </w:rPr>
            </w:pPr>
            <w:r>
              <w:rPr>
                <w:rFonts w:cs="Arial"/>
                <w:b/>
                <w:color w:val="FFFFFF"/>
                <w:sz w:val="16"/>
                <w:szCs w:val="16"/>
              </w:rPr>
              <w:t>Performance Commitments</w:t>
            </w:r>
          </w:p>
        </w:tc>
        <w:tc>
          <w:tcPr>
            <w:tcW w:w="704" w:type="dxa"/>
            <w:shd w:val="clear" w:color="auto" w:fill="2E74B5"/>
            <w:vAlign w:val="center"/>
          </w:tcPr>
          <w:p w:rsidR="00A61600" w:rsidRPr="00C87A63" w:rsidRDefault="00A61600" w:rsidP="007769AE">
            <w:pPr>
              <w:tabs>
                <w:tab w:val="clear" w:pos="851"/>
                <w:tab w:val="left" w:pos="0"/>
              </w:tabs>
              <w:spacing w:after="0"/>
              <w:ind w:left="0"/>
              <w:contextualSpacing/>
              <w:jc w:val="center"/>
              <w:rPr>
                <w:rFonts w:cs="Arial"/>
                <w:b/>
                <w:color w:val="FFFFFF"/>
                <w:sz w:val="16"/>
                <w:szCs w:val="16"/>
              </w:rPr>
            </w:pPr>
            <w:r w:rsidRPr="00C87A63">
              <w:rPr>
                <w:rFonts w:cs="Arial"/>
                <w:b/>
                <w:color w:val="FFFFFF"/>
                <w:sz w:val="16"/>
                <w:szCs w:val="16"/>
              </w:rPr>
              <w:t>Type</w:t>
            </w:r>
          </w:p>
        </w:tc>
        <w:tc>
          <w:tcPr>
            <w:tcW w:w="709" w:type="dxa"/>
            <w:shd w:val="clear" w:color="auto" w:fill="2E74B5"/>
            <w:vAlign w:val="center"/>
          </w:tcPr>
          <w:p w:rsidR="00A61600" w:rsidRPr="00C87A63" w:rsidRDefault="00A61600" w:rsidP="007769AE">
            <w:pPr>
              <w:tabs>
                <w:tab w:val="clear" w:pos="851"/>
                <w:tab w:val="left" w:pos="0"/>
              </w:tabs>
              <w:spacing w:after="0"/>
              <w:ind w:left="0"/>
              <w:contextualSpacing/>
              <w:jc w:val="center"/>
              <w:rPr>
                <w:rFonts w:cs="Arial"/>
                <w:b/>
                <w:color w:val="FFFFFF"/>
                <w:sz w:val="16"/>
                <w:szCs w:val="16"/>
              </w:rPr>
            </w:pPr>
            <w:r w:rsidRPr="00C87A63">
              <w:rPr>
                <w:rFonts w:cs="Arial"/>
                <w:b/>
                <w:color w:val="FFFFFF"/>
                <w:sz w:val="16"/>
                <w:szCs w:val="16"/>
              </w:rPr>
              <w:t>ODI</w:t>
            </w:r>
          </w:p>
        </w:tc>
        <w:tc>
          <w:tcPr>
            <w:tcW w:w="850" w:type="dxa"/>
            <w:shd w:val="clear" w:color="auto" w:fill="2E74B5"/>
            <w:vAlign w:val="center"/>
          </w:tcPr>
          <w:p w:rsidR="00A61600" w:rsidRPr="00C87A63" w:rsidRDefault="00A61600" w:rsidP="007769AE">
            <w:pPr>
              <w:tabs>
                <w:tab w:val="clear" w:pos="851"/>
                <w:tab w:val="left" w:pos="0"/>
              </w:tabs>
              <w:spacing w:after="0"/>
              <w:ind w:left="0"/>
              <w:contextualSpacing/>
              <w:jc w:val="center"/>
              <w:rPr>
                <w:rFonts w:cs="Arial"/>
                <w:b/>
                <w:color w:val="FFFFFF"/>
                <w:sz w:val="16"/>
                <w:szCs w:val="16"/>
              </w:rPr>
            </w:pPr>
            <w:r w:rsidRPr="00C87A63">
              <w:rPr>
                <w:rFonts w:cs="Arial"/>
                <w:b/>
                <w:color w:val="FFFFFF"/>
                <w:sz w:val="16"/>
                <w:szCs w:val="16"/>
              </w:rPr>
              <w:t>2017/18</w:t>
            </w:r>
          </w:p>
        </w:tc>
        <w:tc>
          <w:tcPr>
            <w:tcW w:w="851" w:type="dxa"/>
            <w:shd w:val="clear" w:color="auto" w:fill="2E74B5"/>
            <w:vAlign w:val="center"/>
          </w:tcPr>
          <w:p w:rsidR="00A61600" w:rsidRPr="00C87A63" w:rsidRDefault="00A61600" w:rsidP="007769AE">
            <w:pPr>
              <w:tabs>
                <w:tab w:val="clear" w:pos="851"/>
                <w:tab w:val="left" w:pos="0"/>
              </w:tabs>
              <w:spacing w:after="0"/>
              <w:ind w:left="0"/>
              <w:contextualSpacing/>
              <w:jc w:val="center"/>
              <w:rPr>
                <w:rFonts w:cs="Arial"/>
                <w:b/>
                <w:color w:val="FFFFFF"/>
                <w:sz w:val="16"/>
                <w:szCs w:val="16"/>
              </w:rPr>
            </w:pPr>
            <w:r w:rsidRPr="00C87A63">
              <w:rPr>
                <w:rFonts w:cs="Arial"/>
                <w:b/>
                <w:color w:val="FFFFFF"/>
                <w:sz w:val="16"/>
                <w:szCs w:val="16"/>
              </w:rPr>
              <w:t>2019/20</w:t>
            </w:r>
          </w:p>
        </w:tc>
        <w:tc>
          <w:tcPr>
            <w:tcW w:w="1559" w:type="dxa"/>
            <w:shd w:val="clear" w:color="auto" w:fill="2E74B5"/>
            <w:vAlign w:val="center"/>
          </w:tcPr>
          <w:p w:rsidR="00A61600" w:rsidRPr="00C87A63" w:rsidRDefault="00A61600" w:rsidP="007769AE">
            <w:pPr>
              <w:tabs>
                <w:tab w:val="clear" w:pos="851"/>
                <w:tab w:val="left" w:pos="0"/>
              </w:tabs>
              <w:spacing w:after="0"/>
              <w:ind w:left="0"/>
              <w:contextualSpacing/>
              <w:jc w:val="center"/>
              <w:rPr>
                <w:rFonts w:cs="Arial"/>
                <w:b/>
                <w:color w:val="FFFFFF"/>
                <w:sz w:val="16"/>
                <w:szCs w:val="16"/>
              </w:rPr>
            </w:pPr>
            <w:r w:rsidRPr="00C87A63">
              <w:rPr>
                <w:rFonts w:cs="Arial"/>
                <w:b/>
                <w:color w:val="FFFFFF"/>
                <w:sz w:val="16"/>
                <w:szCs w:val="16"/>
              </w:rPr>
              <w:t>2024/25</w:t>
            </w:r>
          </w:p>
        </w:tc>
      </w:tr>
      <w:tr w:rsidR="00A61600" w:rsidRPr="00C87A63" w:rsidTr="007769AE">
        <w:trPr>
          <w:trHeight w:val="278"/>
        </w:trPr>
        <w:tc>
          <w:tcPr>
            <w:tcW w:w="1696" w:type="dxa"/>
            <w:vMerge w:val="restart"/>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 xml:space="preserve">Safe, Secure, and Reliable supply of drinking water </w:t>
            </w: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Compliance Risk Index</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Supply interruptions (Minutes)</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ER/EP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4.28</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4.00</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3.00</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7B78CC" w:rsidP="007769AE">
            <w:pPr>
              <w:tabs>
                <w:tab w:val="clear" w:pos="851"/>
                <w:tab w:val="left" w:pos="0"/>
              </w:tabs>
              <w:spacing w:after="0"/>
              <w:ind w:left="0"/>
              <w:contextualSpacing/>
              <w:jc w:val="left"/>
              <w:rPr>
                <w:rFonts w:cs="Arial"/>
                <w:sz w:val="16"/>
                <w:szCs w:val="16"/>
              </w:rPr>
            </w:pPr>
            <w:r>
              <w:rPr>
                <w:rFonts w:cs="Arial"/>
                <w:sz w:val="16"/>
                <w:szCs w:val="16"/>
              </w:rPr>
              <w:t>Mains repairs</w:t>
            </w:r>
            <w:r w:rsidR="00A61600" w:rsidRPr="00C87A63">
              <w:rPr>
                <w:rFonts w:cs="Arial"/>
                <w:sz w:val="16"/>
                <w:szCs w:val="16"/>
              </w:rPr>
              <w:t xml:space="preserve"> (per 1000km)</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ER/EP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70</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69</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67</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Unplanned outages (%)</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7.0</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4.0</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3.0</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Water quality (black, brown, orange)</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Properties at risk of low pressure</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70</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70</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18</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Resilience schemes</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Complete</w:t>
            </w:r>
          </w:p>
        </w:tc>
      </w:tr>
      <w:tr w:rsidR="00A61600" w:rsidRPr="00C87A63" w:rsidTr="007769AE">
        <w:trPr>
          <w:trHeight w:val="276"/>
        </w:trPr>
        <w:tc>
          <w:tcPr>
            <w:tcW w:w="1696" w:type="dxa"/>
            <w:vMerge w:val="restart"/>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Long term resilience of supplies for our own customers and to support the South East Region</w:t>
            </w: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Per Capita Consumption (l/h/d)</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ER/EP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144</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142</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135</w:t>
            </w:r>
          </w:p>
        </w:tc>
      </w:tr>
      <w:tr w:rsidR="00A61600" w:rsidRPr="00C87A63" w:rsidTr="007769AE">
        <w:trPr>
          <w:trHeight w:val="276"/>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Risk of severe restrictions in a drought</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None</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None</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None</w:t>
            </w:r>
          </w:p>
        </w:tc>
      </w:tr>
      <w:tr w:rsidR="00A61600" w:rsidRPr="00C87A63" w:rsidTr="007769AE">
        <w:trPr>
          <w:trHeight w:val="276"/>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Temporary Usage Bans ≤ 1 in 20 year scenario</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None</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None</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None</w:t>
            </w:r>
          </w:p>
        </w:tc>
      </w:tr>
      <w:tr w:rsidR="00A61600" w:rsidRPr="00C87A63" w:rsidTr="007769AE">
        <w:tc>
          <w:tcPr>
            <w:tcW w:w="1696" w:type="dxa"/>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Low leakage</w:t>
            </w: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Leakage (Ml/d)</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ER/EP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37.0</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34.9</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29.6</w:t>
            </w:r>
          </w:p>
        </w:tc>
      </w:tr>
      <w:tr w:rsidR="00A61600" w:rsidRPr="00C87A63" w:rsidTr="007769AE">
        <w:trPr>
          <w:trHeight w:val="278"/>
        </w:trPr>
        <w:tc>
          <w:tcPr>
            <w:tcW w:w="1696" w:type="dxa"/>
            <w:vMerge w:val="restart"/>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A service tailored to individual needs at a long-term affordable price.</w:t>
            </w: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C-Mex</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D-Mex</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Voids &amp; gap sites</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Within 0.25% of local councils rolling average</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Affordability (number of customers)</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5312</w:t>
            </w:r>
          </w:p>
        </w:tc>
        <w:tc>
          <w:tcPr>
            <w:tcW w:w="851" w:type="dxa"/>
            <w:vAlign w:val="center"/>
          </w:tcPr>
          <w:p w:rsidR="00A61600" w:rsidRPr="00C87A63" w:rsidRDefault="00A61600" w:rsidP="00C51A49">
            <w:pPr>
              <w:tabs>
                <w:tab w:val="clear" w:pos="851"/>
                <w:tab w:val="left" w:pos="0"/>
              </w:tabs>
              <w:spacing w:after="0"/>
              <w:ind w:left="0"/>
              <w:contextualSpacing/>
              <w:jc w:val="center"/>
              <w:rPr>
                <w:rFonts w:cs="Arial"/>
                <w:sz w:val="16"/>
                <w:szCs w:val="16"/>
              </w:rPr>
            </w:pPr>
            <w:r w:rsidRPr="00C87A63">
              <w:rPr>
                <w:rFonts w:cs="Arial"/>
                <w:sz w:val="16"/>
                <w:szCs w:val="16"/>
              </w:rPr>
              <w:t>6</w:t>
            </w:r>
            <w:r w:rsidR="00C51A49">
              <w:rPr>
                <w:rFonts w:cs="Arial"/>
                <w:sz w:val="16"/>
                <w:szCs w:val="16"/>
              </w:rPr>
              <w:t>0</w:t>
            </w:r>
            <w:r w:rsidRPr="00C87A63">
              <w:rPr>
                <w:rFonts w:cs="Arial"/>
                <w:sz w:val="16"/>
                <w:szCs w:val="16"/>
              </w:rPr>
              <w:t>00</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8000</w:t>
            </w:r>
          </w:p>
        </w:tc>
      </w:tr>
      <w:tr w:rsidR="00A61600" w:rsidRPr="00C87A63" w:rsidTr="007769AE">
        <w:trPr>
          <w:trHeight w:val="138"/>
        </w:trPr>
        <w:tc>
          <w:tcPr>
            <w:tcW w:w="1696" w:type="dxa"/>
            <w:vMerge w:val="restart"/>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An improved environment, supporting biodiversity.</w:t>
            </w: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Abstraction Incentive Mechanism related</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Complete</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Catchment management (number)</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50 Farmers</w:t>
            </w:r>
          </w:p>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Engaged</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Biodiversity</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£250k</w:t>
            </w:r>
          </w:p>
        </w:tc>
      </w:tr>
      <w:tr w:rsidR="00A61600" w:rsidRPr="00C87A63" w:rsidTr="007769AE">
        <w:trPr>
          <w:trHeight w:val="278"/>
        </w:trPr>
        <w:tc>
          <w:tcPr>
            <w:tcW w:w="1696" w:type="dxa"/>
            <w:vMerge/>
          </w:tcPr>
          <w:p w:rsidR="00A61600" w:rsidRPr="00C87A63" w:rsidRDefault="00A61600" w:rsidP="007769AE">
            <w:pPr>
              <w:tabs>
                <w:tab w:val="clear" w:pos="851"/>
                <w:tab w:val="left" w:pos="0"/>
              </w:tabs>
              <w:spacing w:after="0"/>
              <w:ind w:left="0"/>
              <w:contextualSpacing/>
              <w:jc w:val="left"/>
              <w:rPr>
                <w:rFonts w:cs="Arial"/>
                <w:sz w:val="16"/>
                <w:szCs w:val="16"/>
              </w:rPr>
            </w:pP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Carbon (tCO</w:t>
            </w:r>
            <w:r w:rsidRPr="00C87A63">
              <w:rPr>
                <w:rFonts w:cs="Arial"/>
                <w:sz w:val="16"/>
                <w:szCs w:val="16"/>
                <w:vertAlign w:val="subscript"/>
              </w:rPr>
              <w:t>2</w:t>
            </w:r>
            <w:r w:rsidRPr="00C87A63">
              <w:rPr>
                <w:rFonts w:cs="Arial"/>
                <w:sz w:val="16"/>
                <w:szCs w:val="16"/>
              </w:rPr>
              <w:t>/Ml/d)</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UQ</w:t>
            </w:r>
          </w:p>
        </w:tc>
      </w:tr>
      <w:tr w:rsidR="00A61600" w:rsidRPr="00C87A63" w:rsidTr="007769AE">
        <w:tc>
          <w:tcPr>
            <w:tcW w:w="1696" w:type="dxa"/>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Being Recognised by the community as a good corporate citizen</w:t>
            </w: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Vulnerability</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n/a</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85% satisfaction</w:t>
            </w:r>
          </w:p>
        </w:tc>
      </w:tr>
      <w:tr w:rsidR="00A61600" w:rsidRPr="00C87A63" w:rsidTr="007769AE">
        <w:tc>
          <w:tcPr>
            <w:tcW w:w="1696" w:type="dxa"/>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Recognised by stakeholders as having a culture of Health and Safety through all our activities</w:t>
            </w:r>
          </w:p>
        </w:tc>
        <w:tc>
          <w:tcPr>
            <w:tcW w:w="2415" w:type="dxa"/>
            <w:vAlign w:val="center"/>
          </w:tcPr>
          <w:p w:rsidR="00A61600" w:rsidRPr="00C87A63" w:rsidRDefault="00A61600" w:rsidP="007769AE">
            <w:pPr>
              <w:tabs>
                <w:tab w:val="clear" w:pos="851"/>
                <w:tab w:val="left" w:pos="0"/>
              </w:tabs>
              <w:spacing w:after="0"/>
              <w:ind w:left="0"/>
              <w:contextualSpacing/>
              <w:jc w:val="left"/>
              <w:rPr>
                <w:rFonts w:cs="Arial"/>
                <w:sz w:val="16"/>
                <w:szCs w:val="16"/>
              </w:rPr>
            </w:pPr>
            <w:r w:rsidRPr="00C87A63">
              <w:rPr>
                <w:rFonts w:cs="Arial"/>
                <w:sz w:val="16"/>
                <w:szCs w:val="16"/>
              </w:rPr>
              <w:t>RoSPA award</w:t>
            </w:r>
          </w:p>
        </w:tc>
        <w:tc>
          <w:tcPr>
            <w:tcW w:w="704"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B</w:t>
            </w:r>
          </w:p>
        </w:tc>
        <w:tc>
          <w:tcPr>
            <w:tcW w:w="70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REP</w:t>
            </w:r>
          </w:p>
        </w:tc>
        <w:tc>
          <w:tcPr>
            <w:tcW w:w="850"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Awarded</w:t>
            </w:r>
          </w:p>
        </w:tc>
        <w:tc>
          <w:tcPr>
            <w:tcW w:w="851"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Awarded</w:t>
            </w:r>
          </w:p>
        </w:tc>
        <w:tc>
          <w:tcPr>
            <w:tcW w:w="1559" w:type="dxa"/>
            <w:vAlign w:val="center"/>
          </w:tcPr>
          <w:p w:rsidR="00A61600" w:rsidRPr="00C87A63" w:rsidRDefault="00A61600" w:rsidP="007769AE">
            <w:pPr>
              <w:tabs>
                <w:tab w:val="clear" w:pos="851"/>
                <w:tab w:val="left" w:pos="0"/>
              </w:tabs>
              <w:spacing w:after="0"/>
              <w:ind w:left="0"/>
              <w:contextualSpacing/>
              <w:jc w:val="center"/>
              <w:rPr>
                <w:rFonts w:cs="Arial"/>
                <w:sz w:val="16"/>
                <w:szCs w:val="16"/>
              </w:rPr>
            </w:pPr>
            <w:r w:rsidRPr="00C87A63">
              <w:rPr>
                <w:rFonts w:cs="Arial"/>
                <w:sz w:val="16"/>
                <w:szCs w:val="16"/>
              </w:rPr>
              <w:t>Awarded</w:t>
            </w:r>
          </w:p>
        </w:tc>
      </w:tr>
    </w:tbl>
    <w:p w:rsidR="00A61600" w:rsidRDefault="00A61600" w:rsidP="007769AE">
      <w:pPr>
        <w:spacing w:after="0"/>
      </w:pPr>
    </w:p>
    <w:p w:rsidR="00CF30C6" w:rsidRDefault="00CF30C6" w:rsidP="00CF30C6">
      <w:pPr>
        <w:rPr>
          <w:sz w:val="14"/>
          <w:szCs w:val="14"/>
        </w:rPr>
      </w:pPr>
      <w:r w:rsidRPr="00F84F6A">
        <w:rPr>
          <w:sz w:val="14"/>
          <w:szCs w:val="14"/>
        </w:rPr>
        <w:t>Key: C= Co</w:t>
      </w:r>
      <w:r>
        <w:rPr>
          <w:sz w:val="14"/>
          <w:szCs w:val="14"/>
        </w:rPr>
        <w:t xml:space="preserve">mmon B=Bespoke P=Penalty Only </w:t>
      </w:r>
      <w:r w:rsidR="00EC2F8C">
        <w:rPr>
          <w:sz w:val="14"/>
          <w:szCs w:val="14"/>
        </w:rPr>
        <w:t xml:space="preserve">R = Reward Only </w:t>
      </w:r>
      <w:r>
        <w:rPr>
          <w:sz w:val="14"/>
          <w:szCs w:val="14"/>
        </w:rPr>
        <w:t>R/P = Reward/</w:t>
      </w:r>
      <w:r w:rsidR="008F4A1A">
        <w:rPr>
          <w:sz w:val="14"/>
          <w:szCs w:val="14"/>
        </w:rPr>
        <w:t>Penalty REP = Reputational</w:t>
      </w:r>
      <w:r>
        <w:rPr>
          <w:sz w:val="14"/>
          <w:szCs w:val="14"/>
        </w:rPr>
        <w:t xml:space="preserve"> ER/EP = Enhanced Reward/Penalty UQ = Upper Quartile</w:t>
      </w:r>
    </w:p>
    <w:p w:rsidR="00DC0EAC" w:rsidRPr="00C87A63" w:rsidRDefault="00DC0EAC" w:rsidP="00DC0EAC">
      <w:pPr>
        <w:tabs>
          <w:tab w:val="left" w:pos="0"/>
        </w:tabs>
        <w:rPr>
          <w:sz w:val="22"/>
          <w:szCs w:val="22"/>
        </w:rPr>
      </w:pPr>
      <w:r w:rsidRPr="00C87A63">
        <w:rPr>
          <w:sz w:val="22"/>
          <w:szCs w:val="22"/>
        </w:rPr>
        <w:t xml:space="preserve">Our PR19 </w:t>
      </w:r>
      <w:r w:rsidR="00964B14">
        <w:rPr>
          <w:sz w:val="22"/>
          <w:szCs w:val="22"/>
        </w:rPr>
        <w:t>Performance Commitments</w:t>
      </w:r>
      <w:r w:rsidR="000E138C" w:rsidRPr="00C87A63">
        <w:rPr>
          <w:sz w:val="22"/>
          <w:szCs w:val="22"/>
        </w:rPr>
        <w:t xml:space="preserve"> (PCs)</w:t>
      </w:r>
      <w:r w:rsidRPr="00C87A63">
        <w:rPr>
          <w:sz w:val="22"/>
          <w:szCs w:val="22"/>
        </w:rPr>
        <w:t xml:space="preserve"> continue to stretch service levels and set challenging improvements in the areas </w:t>
      </w:r>
      <w:r w:rsidR="00152CFB" w:rsidRPr="00C87A63">
        <w:rPr>
          <w:sz w:val="22"/>
          <w:szCs w:val="22"/>
        </w:rPr>
        <w:t xml:space="preserve">where </w:t>
      </w:r>
      <w:r w:rsidRPr="00C87A63">
        <w:rPr>
          <w:sz w:val="22"/>
          <w:szCs w:val="22"/>
        </w:rPr>
        <w:t xml:space="preserve">we perform less well – leakage and </w:t>
      </w:r>
      <w:r w:rsidR="009258ED" w:rsidRPr="00C87A63">
        <w:rPr>
          <w:sz w:val="22"/>
          <w:szCs w:val="22"/>
        </w:rPr>
        <w:t>PCC</w:t>
      </w:r>
      <w:r w:rsidRPr="00C87A63">
        <w:rPr>
          <w:sz w:val="22"/>
          <w:szCs w:val="22"/>
        </w:rPr>
        <w:t xml:space="preserve">. </w:t>
      </w:r>
    </w:p>
    <w:p w:rsidR="00DC0EAC" w:rsidRPr="00C87A63" w:rsidRDefault="00DC0EAC" w:rsidP="00DC0EAC">
      <w:pPr>
        <w:tabs>
          <w:tab w:val="left" w:pos="0"/>
        </w:tabs>
        <w:rPr>
          <w:rFonts w:cs="Arial"/>
          <w:sz w:val="22"/>
          <w:szCs w:val="22"/>
        </w:rPr>
      </w:pPr>
      <w:r w:rsidRPr="00C87A63">
        <w:rPr>
          <w:rFonts w:cs="Arial"/>
          <w:sz w:val="22"/>
          <w:szCs w:val="22"/>
        </w:rPr>
        <w:t xml:space="preserve">We have shown that our PCs have </w:t>
      </w:r>
      <w:r w:rsidR="007B78CC">
        <w:rPr>
          <w:rFonts w:cs="Arial"/>
          <w:sz w:val="22"/>
          <w:szCs w:val="22"/>
        </w:rPr>
        <w:t>stretching</w:t>
      </w:r>
      <w:r w:rsidR="00152CFB" w:rsidRPr="00C87A63">
        <w:rPr>
          <w:rFonts w:cs="Arial"/>
          <w:sz w:val="22"/>
          <w:szCs w:val="22"/>
        </w:rPr>
        <w:t xml:space="preserve"> </w:t>
      </w:r>
      <w:r w:rsidRPr="00C87A63">
        <w:rPr>
          <w:rFonts w:cs="Arial"/>
          <w:sz w:val="22"/>
          <w:szCs w:val="22"/>
        </w:rPr>
        <w:t xml:space="preserve">targets using a range of approaches including benchmarking, historic trends, cost benefit analysis and expert challenge.  Customer testing </w:t>
      </w:r>
      <w:r w:rsidR="001932BC" w:rsidRPr="00C87A63">
        <w:rPr>
          <w:rFonts w:cs="Arial"/>
          <w:sz w:val="22"/>
          <w:szCs w:val="22"/>
        </w:rPr>
        <w:t xml:space="preserve">has </w:t>
      </w:r>
      <w:r w:rsidRPr="00C87A63">
        <w:rPr>
          <w:rFonts w:cs="Arial"/>
          <w:sz w:val="22"/>
          <w:szCs w:val="22"/>
        </w:rPr>
        <w:t xml:space="preserve">supported </w:t>
      </w:r>
      <w:r w:rsidR="001932BC" w:rsidRPr="00C87A63">
        <w:rPr>
          <w:rFonts w:cs="Arial"/>
          <w:sz w:val="22"/>
          <w:szCs w:val="22"/>
        </w:rPr>
        <w:t xml:space="preserve">our </w:t>
      </w:r>
      <w:r w:rsidRPr="00C87A63">
        <w:rPr>
          <w:rFonts w:cs="Arial"/>
          <w:sz w:val="22"/>
          <w:szCs w:val="22"/>
        </w:rPr>
        <w:t xml:space="preserve">final package of ambitious targets and related rewards </w:t>
      </w:r>
      <w:r w:rsidR="001932BC" w:rsidRPr="00C87A63">
        <w:rPr>
          <w:rFonts w:cs="Arial"/>
          <w:sz w:val="22"/>
          <w:szCs w:val="22"/>
        </w:rPr>
        <w:t xml:space="preserve">and </w:t>
      </w:r>
      <w:r w:rsidRPr="00C87A63">
        <w:rPr>
          <w:rFonts w:cs="Arial"/>
          <w:sz w:val="22"/>
          <w:szCs w:val="22"/>
        </w:rPr>
        <w:t xml:space="preserve">penalties. </w:t>
      </w:r>
    </w:p>
    <w:p w:rsidR="00DC0EAC" w:rsidRPr="00C87A63" w:rsidRDefault="00DC0EAC" w:rsidP="00DC0EAC">
      <w:pPr>
        <w:tabs>
          <w:tab w:val="left" w:pos="0"/>
        </w:tabs>
        <w:rPr>
          <w:rFonts w:cs="Arial"/>
          <w:sz w:val="22"/>
          <w:szCs w:val="22"/>
        </w:rPr>
      </w:pPr>
      <w:r w:rsidRPr="00C87A63">
        <w:rPr>
          <w:rFonts w:cs="Arial"/>
          <w:sz w:val="22"/>
          <w:szCs w:val="22"/>
        </w:rPr>
        <w:t>Given our current</w:t>
      </w:r>
      <w:r w:rsidR="00C0433D" w:rsidRPr="00C87A63">
        <w:rPr>
          <w:rFonts w:cs="Arial"/>
          <w:sz w:val="22"/>
          <w:szCs w:val="22"/>
        </w:rPr>
        <w:t xml:space="preserve">ly strong </w:t>
      </w:r>
      <w:r w:rsidRPr="00C87A63">
        <w:rPr>
          <w:rFonts w:cs="Arial"/>
          <w:sz w:val="22"/>
          <w:szCs w:val="22"/>
        </w:rPr>
        <w:t xml:space="preserve">comparative performance levels and low bills, our customers generally did not support high levels of rewards.  Accordingly our basket of rewards and penalties is skewed to the downside with 5 penalty only ODIs.  Enhanced PCs with frontier performance have been included for 4 common measures - </w:t>
      </w:r>
      <w:r w:rsidR="009258ED" w:rsidRPr="00C87A63">
        <w:rPr>
          <w:rFonts w:cs="Arial"/>
          <w:sz w:val="22"/>
          <w:szCs w:val="22"/>
        </w:rPr>
        <w:t>PCC</w:t>
      </w:r>
      <w:r w:rsidRPr="00C87A63">
        <w:rPr>
          <w:rFonts w:cs="Arial"/>
          <w:sz w:val="22"/>
          <w:szCs w:val="22"/>
        </w:rPr>
        <w:t>, l</w:t>
      </w:r>
      <w:r w:rsidR="007B78CC">
        <w:rPr>
          <w:rFonts w:cs="Arial"/>
          <w:sz w:val="22"/>
          <w:szCs w:val="22"/>
        </w:rPr>
        <w:t>eakage, interruptions and mains repairs</w:t>
      </w:r>
      <w:r w:rsidRPr="00C87A63">
        <w:rPr>
          <w:rFonts w:cs="Arial"/>
          <w:sz w:val="22"/>
          <w:szCs w:val="22"/>
        </w:rPr>
        <w:t>.  These show significant ambition and will require innovati</w:t>
      </w:r>
      <w:r w:rsidR="00C0433D" w:rsidRPr="00C87A63">
        <w:rPr>
          <w:rFonts w:cs="Arial"/>
          <w:sz w:val="22"/>
          <w:szCs w:val="22"/>
        </w:rPr>
        <w:t>ve solutions</w:t>
      </w:r>
      <w:r w:rsidRPr="00C87A63">
        <w:rPr>
          <w:rFonts w:cs="Arial"/>
          <w:sz w:val="22"/>
          <w:szCs w:val="22"/>
        </w:rPr>
        <w:t xml:space="preserve"> to deliver.</w:t>
      </w:r>
    </w:p>
    <w:p w:rsidR="00A61600" w:rsidRPr="00C87A63" w:rsidRDefault="00A61600" w:rsidP="00A61600">
      <w:pPr>
        <w:tabs>
          <w:tab w:val="left" w:pos="0"/>
        </w:tabs>
        <w:rPr>
          <w:rFonts w:cs="Arial"/>
          <w:b/>
          <w:color w:val="2E74B5" w:themeColor="accent1" w:themeShade="BF"/>
          <w:sz w:val="22"/>
          <w:szCs w:val="22"/>
        </w:rPr>
      </w:pPr>
      <w:r w:rsidRPr="00C87A63">
        <w:rPr>
          <w:rFonts w:cs="Arial"/>
          <w:b/>
          <w:color w:val="2E74B5" w:themeColor="accent1" w:themeShade="BF"/>
          <w:sz w:val="22"/>
          <w:szCs w:val="22"/>
        </w:rPr>
        <w:t>Meeting Ofwat’s Themes and Expectations - The 4 Pillars</w:t>
      </w:r>
    </w:p>
    <w:tbl>
      <w:tblPr>
        <w:tblStyle w:val="TableGrid36"/>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4961"/>
        <w:gridCol w:w="4820"/>
      </w:tblGrid>
      <w:tr w:rsidR="00A61600" w:rsidRPr="00CD58D3" w:rsidTr="00A61600">
        <w:tc>
          <w:tcPr>
            <w:tcW w:w="4961" w:type="dxa"/>
          </w:tcPr>
          <w:p w:rsidR="00A61600" w:rsidRPr="005738FA" w:rsidRDefault="00A61600" w:rsidP="00A61600">
            <w:pPr>
              <w:tabs>
                <w:tab w:val="clear" w:pos="851"/>
                <w:tab w:val="left" w:pos="0"/>
              </w:tabs>
              <w:spacing w:after="0"/>
              <w:ind w:left="0"/>
              <w:contextualSpacing/>
              <w:jc w:val="left"/>
              <w:rPr>
                <w:rFonts w:cs="Arial"/>
                <w:color w:val="0070C0"/>
                <w:sz w:val="20"/>
                <w:szCs w:val="20"/>
              </w:rPr>
            </w:pPr>
            <w:r>
              <w:rPr>
                <w:rFonts w:cs="Arial"/>
                <w:noProof/>
                <w:color w:val="0070C0"/>
                <w:sz w:val="20"/>
                <w:szCs w:val="20"/>
              </w:rPr>
              <w:drawing>
                <wp:inline distT="0" distB="0" distL="0" distR="0" wp14:anchorId="145FBABA" wp14:editId="378B3D19">
                  <wp:extent cx="783509" cy="12103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eatcustomerservi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7010" cy="1215719"/>
                          </a:xfrm>
                          <a:prstGeom prst="rect">
                            <a:avLst/>
                          </a:prstGeom>
                        </pic:spPr>
                      </pic:pic>
                    </a:graphicData>
                  </a:graphic>
                </wp:inline>
              </w:drawing>
            </w:r>
          </w:p>
          <w:p w:rsidR="00A61600" w:rsidRPr="00AC1F11" w:rsidRDefault="00A61600" w:rsidP="00A61600">
            <w:pPr>
              <w:pStyle w:val="Bullets"/>
              <w:tabs>
                <w:tab w:val="clear" w:pos="851"/>
                <w:tab w:val="left" w:pos="318"/>
              </w:tabs>
              <w:ind w:left="318" w:hanging="318"/>
              <w:rPr>
                <w:sz w:val="20"/>
                <w:szCs w:val="20"/>
              </w:rPr>
            </w:pPr>
            <w:r w:rsidRPr="00AC1F11">
              <w:rPr>
                <w:sz w:val="20"/>
                <w:szCs w:val="20"/>
              </w:rPr>
              <w:t>High levels of customer satisfaction and industry leading SIM position</w:t>
            </w:r>
          </w:p>
          <w:p w:rsidR="00A61600" w:rsidRPr="00AC1F11" w:rsidRDefault="00A61600" w:rsidP="00A61600">
            <w:pPr>
              <w:pStyle w:val="Bullets"/>
              <w:tabs>
                <w:tab w:val="clear" w:pos="851"/>
                <w:tab w:val="left" w:pos="318"/>
              </w:tabs>
              <w:ind w:left="318" w:hanging="318"/>
              <w:rPr>
                <w:sz w:val="20"/>
                <w:szCs w:val="20"/>
              </w:rPr>
            </w:pPr>
            <w:r w:rsidRPr="00AC1F11">
              <w:rPr>
                <w:sz w:val="20"/>
                <w:szCs w:val="20"/>
              </w:rPr>
              <w:t>Stretching package of ODIs supported by customers</w:t>
            </w:r>
          </w:p>
          <w:p w:rsidR="00A61600" w:rsidRPr="00AC1F11" w:rsidRDefault="00A61600" w:rsidP="00A61600">
            <w:pPr>
              <w:pStyle w:val="Bullets"/>
              <w:tabs>
                <w:tab w:val="clear" w:pos="851"/>
                <w:tab w:val="left" w:pos="318"/>
              </w:tabs>
              <w:ind w:left="318" w:hanging="318"/>
              <w:rPr>
                <w:sz w:val="20"/>
                <w:szCs w:val="20"/>
              </w:rPr>
            </w:pPr>
            <w:r w:rsidRPr="00AC1F11">
              <w:rPr>
                <w:sz w:val="20"/>
                <w:szCs w:val="20"/>
              </w:rPr>
              <w:t>Taking care of the vulnerable in collaboration with other stakeholders &amp; groups</w:t>
            </w:r>
          </w:p>
          <w:p w:rsidR="00A61600" w:rsidRPr="00AC1F11" w:rsidRDefault="00A61600" w:rsidP="00A61600">
            <w:pPr>
              <w:pStyle w:val="Bullets"/>
              <w:tabs>
                <w:tab w:val="clear" w:pos="851"/>
                <w:tab w:val="left" w:pos="318"/>
              </w:tabs>
              <w:ind w:left="318" w:hanging="318"/>
              <w:rPr>
                <w:sz w:val="20"/>
                <w:szCs w:val="20"/>
              </w:rPr>
            </w:pPr>
            <w:r w:rsidRPr="00AC1F11">
              <w:rPr>
                <w:sz w:val="20"/>
                <w:szCs w:val="20"/>
              </w:rPr>
              <w:t>Changing how we do business to support what customers value</w:t>
            </w:r>
          </w:p>
          <w:p w:rsidR="00A61600" w:rsidRPr="00AC1F11" w:rsidRDefault="00A61600" w:rsidP="00A61600">
            <w:pPr>
              <w:pStyle w:val="Bullets"/>
              <w:tabs>
                <w:tab w:val="clear" w:pos="851"/>
                <w:tab w:val="left" w:pos="318"/>
              </w:tabs>
              <w:ind w:left="318" w:hanging="318"/>
              <w:rPr>
                <w:sz w:val="20"/>
                <w:szCs w:val="20"/>
              </w:rPr>
            </w:pPr>
            <w:r w:rsidRPr="00AC1F11">
              <w:rPr>
                <w:sz w:val="20"/>
                <w:szCs w:val="20"/>
              </w:rPr>
              <w:t>Long term vision for customer service levels</w:t>
            </w:r>
          </w:p>
          <w:p w:rsidR="00A61600" w:rsidRPr="00F91C8C" w:rsidRDefault="00A61600" w:rsidP="00A61600">
            <w:pPr>
              <w:pStyle w:val="Bullets"/>
              <w:tabs>
                <w:tab w:val="clear" w:pos="851"/>
                <w:tab w:val="left" w:pos="318"/>
              </w:tabs>
              <w:ind w:left="318" w:hanging="318"/>
              <w:rPr>
                <w:sz w:val="20"/>
                <w:szCs w:val="20"/>
              </w:rPr>
            </w:pPr>
            <w:r w:rsidRPr="00F91C8C">
              <w:rPr>
                <w:sz w:val="20"/>
                <w:szCs w:val="20"/>
              </w:rPr>
              <w:t>Holder of prestigious institute of Customer Service “ServiceMark” and top water company</w:t>
            </w:r>
            <w:r w:rsidR="000C3499">
              <w:rPr>
                <w:sz w:val="20"/>
                <w:szCs w:val="20"/>
              </w:rPr>
              <w:t xml:space="preserve"> in survey</w:t>
            </w:r>
          </w:p>
        </w:tc>
        <w:tc>
          <w:tcPr>
            <w:tcW w:w="4820" w:type="dxa"/>
          </w:tcPr>
          <w:p w:rsidR="00A61600" w:rsidRPr="00F91C8C" w:rsidRDefault="00A61600" w:rsidP="00A61600">
            <w:pPr>
              <w:tabs>
                <w:tab w:val="clear" w:pos="851"/>
                <w:tab w:val="left" w:pos="0"/>
              </w:tabs>
              <w:spacing w:after="0"/>
              <w:ind w:left="0"/>
              <w:contextualSpacing/>
              <w:rPr>
                <w:rFonts w:cs="Arial"/>
                <w:sz w:val="20"/>
                <w:szCs w:val="20"/>
              </w:rPr>
            </w:pPr>
            <w:r>
              <w:rPr>
                <w:rFonts w:cs="Arial"/>
                <w:noProof/>
                <w:sz w:val="20"/>
                <w:szCs w:val="20"/>
              </w:rPr>
              <w:drawing>
                <wp:inline distT="0" distB="0" distL="0" distR="0" wp14:anchorId="73B3C584" wp14:editId="52AD4633">
                  <wp:extent cx="781050" cy="121037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fordablebil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2692" cy="1243916"/>
                          </a:xfrm>
                          <a:prstGeom prst="rect">
                            <a:avLst/>
                          </a:prstGeom>
                        </pic:spPr>
                      </pic:pic>
                    </a:graphicData>
                  </a:graphic>
                </wp:inline>
              </w:drawing>
            </w:r>
          </w:p>
          <w:p w:rsidR="00A61600" w:rsidRPr="00F91C8C" w:rsidRDefault="00A61600" w:rsidP="00A61600">
            <w:pPr>
              <w:pStyle w:val="Bullets"/>
              <w:tabs>
                <w:tab w:val="clear" w:pos="851"/>
                <w:tab w:val="left" w:pos="322"/>
              </w:tabs>
              <w:ind w:left="322" w:hanging="283"/>
              <w:rPr>
                <w:sz w:val="20"/>
                <w:szCs w:val="20"/>
              </w:rPr>
            </w:pPr>
            <w:r w:rsidRPr="00F91C8C">
              <w:rPr>
                <w:sz w:val="20"/>
                <w:szCs w:val="20"/>
              </w:rPr>
              <w:t>Average bills of £</w:t>
            </w:r>
            <w:r>
              <w:rPr>
                <w:sz w:val="20"/>
                <w:szCs w:val="20"/>
              </w:rPr>
              <w:t>97</w:t>
            </w:r>
          </w:p>
          <w:p w:rsidR="00A61600" w:rsidRPr="00F91C8C" w:rsidRDefault="00A61600" w:rsidP="00A61600">
            <w:pPr>
              <w:pStyle w:val="Bullets"/>
              <w:tabs>
                <w:tab w:val="clear" w:pos="851"/>
                <w:tab w:val="left" w:pos="322"/>
              </w:tabs>
              <w:ind w:left="322" w:hanging="283"/>
              <w:rPr>
                <w:sz w:val="20"/>
                <w:szCs w:val="20"/>
              </w:rPr>
            </w:pPr>
            <w:r w:rsidRPr="00F91C8C">
              <w:rPr>
                <w:sz w:val="20"/>
                <w:szCs w:val="20"/>
              </w:rPr>
              <w:t>Trend of bill reduction in real terms</w:t>
            </w:r>
          </w:p>
          <w:p w:rsidR="00A61600" w:rsidRPr="00F91C8C" w:rsidRDefault="00A61600" w:rsidP="00A61600">
            <w:pPr>
              <w:pStyle w:val="Bullets"/>
              <w:tabs>
                <w:tab w:val="clear" w:pos="851"/>
                <w:tab w:val="left" w:pos="322"/>
              </w:tabs>
              <w:ind w:left="322" w:hanging="283"/>
              <w:rPr>
                <w:sz w:val="20"/>
                <w:szCs w:val="20"/>
              </w:rPr>
            </w:pPr>
            <w:r w:rsidRPr="00F91C8C">
              <w:rPr>
                <w:sz w:val="20"/>
                <w:szCs w:val="20"/>
              </w:rPr>
              <w:t>Social tariff £</w:t>
            </w:r>
            <w:r>
              <w:rPr>
                <w:sz w:val="20"/>
                <w:szCs w:val="20"/>
              </w:rPr>
              <w:t>75</w:t>
            </w:r>
          </w:p>
          <w:p w:rsidR="00A61600" w:rsidRPr="00F91C8C" w:rsidRDefault="00A61600" w:rsidP="00A61600">
            <w:pPr>
              <w:pStyle w:val="Bullets"/>
              <w:tabs>
                <w:tab w:val="clear" w:pos="851"/>
                <w:tab w:val="left" w:pos="322"/>
              </w:tabs>
              <w:ind w:left="322" w:hanging="283"/>
              <w:rPr>
                <w:sz w:val="20"/>
                <w:szCs w:val="20"/>
              </w:rPr>
            </w:pPr>
            <w:r w:rsidRPr="00F91C8C">
              <w:rPr>
                <w:sz w:val="20"/>
                <w:szCs w:val="20"/>
              </w:rPr>
              <w:t>Bills less than 0.5% of average household income</w:t>
            </w:r>
          </w:p>
          <w:p w:rsidR="00A61600" w:rsidRPr="00F91C8C" w:rsidRDefault="00A61600" w:rsidP="00A61600">
            <w:pPr>
              <w:pStyle w:val="Bullets"/>
              <w:tabs>
                <w:tab w:val="clear" w:pos="851"/>
                <w:tab w:val="left" w:pos="322"/>
              </w:tabs>
              <w:ind w:left="322" w:hanging="283"/>
              <w:rPr>
                <w:sz w:val="20"/>
                <w:szCs w:val="20"/>
              </w:rPr>
            </w:pPr>
            <w:r w:rsidRPr="00F91C8C">
              <w:rPr>
                <w:sz w:val="20"/>
                <w:szCs w:val="20"/>
              </w:rPr>
              <w:t>Social tariff less than 0.5% of Government’s low income threshold</w:t>
            </w:r>
          </w:p>
          <w:p w:rsidR="00A61600" w:rsidRPr="00F91C8C" w:rsidRDefault="00A61600" w:rsidP="00A61600">
            <w:pPr>
              <w:pStyle w:val="Bullets"/>
              <w:tabs>
                <w:tab w:val="clear" w:pos="851"/>
                <w:tab w:val="left" w:pos="322"/>
              </w:tabs>
              <w:ind w:left="322" w:hanging="283"/>
              <w:rPr>
                <w:sz w:val="20"/>
                <w:szCs w:val="20"/>
              </w:rPr>
            </w:pPr>
            <w:r w:rsidRPr="00F91C8C">
              <w:rPr>
                <w:sz w:val="20"/>
                <w:szCs w:val="20"/>
              </w:rPr>
              <w:t>Customer support for social tariff</w:t>
            </w:r>
          </w:p>
          <w:p w:rsidR="00A61600" w:rsidRPr="00F91C8C" w:rsidRDefault="00A61600" w:rsidP="00A61600">
            <w:pPr>
              <w:pStyle w:val="Bullets"/>
              <w:tabs>
                <w:tab w:val="clear" w:pos="851"/>
                <w:tab w:val="left" w:pos="322"/>
              </w:tabs>
              <w:ind w:left="322" w:hanging="283"/>
              <w:rPr>
                <w:sz w:val="20"/>
                <w:szCs w:val="20"/>
              </w:rPr>
            </w:pPr>
            <w:r w:rsidRPr="00F91C8C">
              <w:rPr>
                <w:sz w:val="20"/>
                <w:szCs w:val="20"/>
              </w:rPr>
              <w:t>Strong levels of service and high efficiency support low bill</w:t>
            </w:r>
          </w:p>
          <w:p w:rsidR="00A61600" w:rsidRPr="00F91C8C" w:rsidRDefault="00A61600" w:rsidP="00A61600">
            <w:pPr>
              <w:pStyle w:val="Bullets"/>
              <w:tabs>
                <w:tab w:val="clear" w:pos="851"/>
                <w:tab w:val="left" w:pos="322"/>
              </w:tabs>
              <w:ind w:left="322" w:hanging="283"/>
              <w:rPr>
                <w:sz w:val="20"/>
                <w:szCs w:val="20"/>
              </w:rPr>
            </w:pPr>
            <w:r w:rsidRPr="00F91C8C">
              <w:rPr>
                <w:sz w:val="20"/>
                <w:szCs w:val="20"/>
              </w:rPr>
              <w:t xml:space="preserve">Customer support for Company </w:t>
            </w:r>
            <w:r>
              <w:rPr>
                <w:sz w:val="20"/>
                <w:szCs w:val="20"/>
              </w:rPr>
              <w:t>S</w:t>
            </w:r>
            <w:r w:rsidRPr="00F91C8C">
              <w:rPr>
                <w:sz w:val="20"/>
                <w:szCs w:val="20"/>
              </w:rPr>
              <w:t xml:space="preserve">pecific </w:t>
            </w:r>
            <w:r>
              <w:rPr>
                <w:sz w:val="20"/>
                <w:szCs w:val="20"/>
              </w:rPr>
              <w:t>P</w:t>
            </w:r>
            <w:r w:rsidRPr="00F91C8C">
              <w:rPr>
                <w:sz w:val="20"/>
                <w:szCs w:val="20"/>
              </w:rPr>
              <w:t>remium and use of PAYG levers</w:t>
            </w:r>
          </w:p>
        </w:tc>
      </w:tr>
      <w:tr w:rsidR="00A61600" w:rsidRPr="00CD58D3" w:rsidTr="00A61600">
        <w:tc>
          <w:tcPr>
            <w:tcW w:w="4961" w:type="dxa"/>
          </w:tcPr>
          <w:p w:rsidR="00A61600" w:rsidRPr="005738FA" w:rsidRDefault="00A61600" w:rsidP="00A61600">
            <w:pPr>
              <w:tabs>
                <w:tab w:val="clear" w:pos="851"/>
                <w:tab w:val="left" w:pos="0"/>
              </w:tabs>
              <w:spacing w:after="0"/>
              <w:ind w:left="0"/>
              <w:contextualSpacing/>
              <w:jc w:val="left"/>
              <w:rPr>
                <w:rFonts w:cs="Arial"/>
                <w:color w:val="0070C0"/>
                <w:sz w:val="20"/>
                <w:szCs w:val="20"/>
              </w:rPr>
            </w:pPr>
            <w:r>
              <w:rPr>
                <w:rFonts w:cs="Arial"/>
                <w:noProof/>
                <w:color w:val="0070C0"/>
                <w:sz w:val="20"/>
                <w:szCs w:val="20"/>
              </w:rPr>
              <w:drawing>
                <wp:inline distT="0" distB="0" distL="0" distR="0" wp14:anchorId="5C6AE612" wp14:editId="0C092EB0">
                  <wp:extent cx="830999" cy="1287780"/>
                  <wp:effectExtent l="0" t="0" r="7620" b="762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lien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7641" cy="1313570"/>
                          </a:xfrm>
                          <a:prstGeom prst="rect">
                            <a:avLst/>
                          </a:prstGeom>
                        </pic:spPr>
                      </pic:pic>
                    </a:graphicData>
                  </a:graphic>
                </wp:inline>
              </w:drawing>
            </w:r>
          </w:p>
          <w:p w:rsidR="00A61600" w:rsidRPr="002D7CEC" w:rsidRDefault="00A61600" w:rsidP="00A61600">
            <w:pPr>
              <w:pStyle w:val="Bullets"/>
              <w:ind w:left="460" w:hanging="460"/>
              <w:rPr>
                <w:sz w:val="20"/>
                <w:szCs w:val="20"/>
              </w:rPr>
            </w:pPr>
            <w:r w:rsidRPr="002D7CEC">
              <w:rPr>
                <w:sz w:val="20"/>
                <w:szCs w:val="20"/>
              </w:rPr>
              <w:t>Historic investment and stewardship gives a resilient foundation</w:t>
            </w:r>
          </w:p>
          <w:p w:rsidR="00A61600" w:rsidRPr="002D7CEC" w:rsidRDefault="00A61600" w:rsidP="00A61600">
            <w:pPr>
              <w:pStyle w:val="Bullets"/>
              <w:ind w:left="460" w:hanging="460"/>
              <w:rPr>
                <w:sz w:val="20"/>
                <w:szCs w:val="20"/>
              </w:rPr>
            </w:pPr>
            <w:r w:rsidRPr="002D7CEC">
              <w:rPr>
                <w:sz w:val="20"/>
                <w:szCs w:val="20"/>
              </w:rPr>
              <w:t>Strong water resources position supporting regional resilience through water trading</w:t>
            </w:r>
          </w:p>
          <w:p w:rsidR="00A61600" w:rsidRPr="002D7CEC" w:rsidRDefault="00A61600" w:rsidP="00A61600">
            <w:pPr>
              <w:pStyle w:val="Bullets"/>
              <w:ind w:left="460" w:hanging="460"/>
              <w:rPr>
                <w:sz w:val="20"/>
                <w:szCs w:val="20"/>
              </w:rPr>
            </w:pPr>
            <w:r w:rsidRPr="002D7CEC">
              <w:rPr>
                <w:sz w:val="20"/>
                <w:szCs w:val="20"/>
              </w:rPr>
              <w:t>Sound performance in asset health measures</w:t>
            </w:r>
          </w:p>
          <w:p w:rsidR="00A61600" w:rsidRPr="002D7CEC" w:rsidRDefault="00A61600" w:rsidP="00A61600">
            <w:pPr>
              <w:pStyle w:val="Bullets"/>
              <w:ind w:left="460" w:hanging="460"/>
              <w:rPr>
                <w:sz w:val="20"/>
                <w:szCs w:val="20"/>
              </w:rPr>
            </w:pPr>
            <w:r w:rsidRPr="002D7CEC">
              <w:rPr>
                <w:sz w:val="20"/>
                <w:szCs w:val="20"/>
              </w:rPr>
              <w:t xml:space="preserve">Schemes and enhancements providing resilience at best value &amp; aligned to customer preference </w:t>
            </w:r>
          </w:p>
          <w:p w:rsidR="00A61600" w:rsidRPr="005738FA" w:rsidRDefault="00A61600" w:rsidP="00A61600">
            <w:pPr>
              <w:pStyle w:val="Bullets"/>
              <w:ind w:left="460" w:hanging="460"/>
            </w:pPr>
            <w:r w:rsidRPr="002D7CEC">
              <w:rPr>
                <w:sz w:val="20"/>
                <w:szCs w:val="20"/>
              </w:rPr>
              <w:t>Effective risk management, response &amp; recovery</w:t>
            </w:r>
          </w:p>
        </w:tc>
        <w:tc>
          <w:tcPr>
            <w:tcW w:w="4820" w:type="dxa"/>
          </w:tcPr>
          <w:p w:rsidR="00A61600" w:rsidRPr="005738FA" w:rsidRDefault="00A61600" w:rsidP="00A61600">
            <w:pPr>
              <w:tabs>
                <w:tab w:val="clear" w:pos="851"/>
                <w:tab w:val="left" w:pos="0"/>
              </w:tabs>
              <w:spacing w:after="0"/>
              <w:ind w:left="0"/>
              <w:contextualSpacing/>
              <w:rPr>
                <w:rFonts w:cs="Arial"/>
                <w:color w:val="0070C0"/>
                <w:sz w:val="20"/>
                <w:szCs w:val="20"/>
              </w:rPr>
            </w:pPr>
            <w:r>
              <w:rPr>
                <w:rFonts w:cs="Arial"/>
                <w:noProof/>
                <w:color w:val="0070C0"/>
                <w:sz w:val="20"/>
                <w:szCs w:val="20"/>
              </w:rPr>
              <w:drawing>
                <wp:inline distT="0" distB="0" distL="0" distR="0" wp14:anchorId="5750C9DD" wp14:editId="515CF867">
                  <wp:extent cx="789265" cy="1219200"/>
                  <wp:effectExtent l="0" t="0" r="0"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nov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0686" cy="1252290"/>
                          </a:xfrm>
                          <a:prstGeom prst="rect">
                            <a:avLst/>
                          </a:prstGeom>
                        </pic:spPr>
                      </pic:pic>
                    </a:graphicData>
                  </a:graphic>
                </wp:inline>
              </w:drawing>
            </w:r>
          </w:p>
          <w:p w:rsidR="00A61600" w:rsidRPr="002D7CEC" w:rsidRDefault="00A61600" w:rsidP="00A61600">
            <w:pPr>
              <w:pStyle w:val="Bullets"/>
              <w:ind w:left="464"/>
              <w:rPr>
                <w:sz w:val="20"/>
                <w:szCs w:val="20"/>
              </w:rPr>
            </w:pPr>
            <w:r w:rsidRPr="002D7CEC">
              <w:rPr>
                <w:sz w:val="20"/>
                <w:szCs w:val="20"/>
              </w:rPr>
              <w:t>Culture which supports and encourages innovation</w:t>
            </w:r>
          </w:p>
          <w:p w:rsidR="00A61600" w:rsidRPr="002D7CEC" w:rsidRDefault="00A61600" w:rsidP="00A61600">
            <w:pPr>
              <w:pStyle w:val="Bullets"/>
              <w:ind w:left="464"/>
              <w:rPr>
                <w:sz w:val="20"/>
                <w:szCs w:val="20"/>
              </w:rPr>
            </w:pPr>
            <w:r w:rsidRPr="002D7CEC">
              <w:rPr>
                <w:sz w:val="20"/>
                <w:szCs w:val="20"/>
              </w:rPr>
              <w:t xml:space="preserve">Track record across a range of innovative approaches </w:t>
            </w:r>
          </w:p>
          <w:p w:rsidR="00A61600" w:rsidRPr="002D7CEC" w:rsidRDefault="00A61600" w:rsidP="00A61600">
            <w:pPr>
              <w:pStyle w:val="Bullets"/>
              <w:ind w:left="464"/>
              <w:rPr>
                <w:sz w:val="20"/>
                <w:szCs w:val="20"/>
              </w:rPr>
            </w:pPr>
            <w:r w:rsidRPr="002D7CEC">
              <w:rPr>
                <w:sz w:val="20"/>
                <w:szCs w:val="20"/>
              </w:rPr>
              <w:t>Innovative approach to developing HTWSR to enable bulk supply</w:t>
            </w:r>
          </w:p>
          <w:p w:rsidR="00A61600" w:rsidRPr="002D7CEC" w:rsidRDefault="00A61600" w:rsidP="00A61600">
            <w:pPr>
              <w:pStyle w:val="Bullets"/>
              <w:ind w:left="464"/>
              <w:rPr>
                <w:sz w:val="20"/>
                <w:szCs w:val="20"/>
              </w:rPr>
            </w:pPr>
            <w:r w:rsidRPr="002D7CEC">
              <w:rPr>
                <w:sz w:val="20"/>
                <w:szCs w:val="20"/>
              </w:rPr>
              <w:t xml:space="preserve">Move towards long term vision of fully automated </w:t>
            </w:r>
            <w:r w:rsidR="007B78CC">
              <w:rPr>
                <w:sz w:val="20"/>
                <w:szCs w:val="20"/>
              </w:rPr>
              <w:t xml:space="preserve">SMART </w:t>
            </w:r>
            <w:r w:rsidRPr="002D7CEC">
              <w:rPr>
                <w:sz w:val="20"/>
                <w:szCs w:val="20"/>
              </w:rPr>
              <w:t>network</w:t>
            </w:r>
          </w:p>
          <w:p w:rsidR="00A61600" w:rsidRPr="002D7CEC" w:rsidRDefault="00A61600" w:rsidP="00A61600">
            <w:pPr>
              <w:pStyle w:val="Bullets"/>
              <w:ind w:left="464"/>
              <w:rPr>
                <w:sz w:val="20"/>
                <w:szCs w:val="20"/>
              </w:rPr>
            </w:pPr>
            <w:r w:rsidRPr="002D7CEC">
              <w:rPr>
                <w:sz w:val="20"/>
                <w:szCs w:val="20"/>
              </w:rPr>
              <w:t>Innovative approach to leakage and metering</w:t>
            </w:r>
          </w:p>
          <w:p w:rsidR="00A61600" w:rsidRPr="002D7CEC" w:rsidRDefault="00A61600" w:rsidP="00A61600">
            <w:pPr>
              <w:pStyle w:val="Bullets"/>
              <w:ind w:left="464"/>
              <w:rPr>
                <w:sz w:val="20"/>
                <w:szCs w:val="20"/>
              </w:rPr>
            </w:pPr>
            <w:r w:rsidRPr="002D7CEC">
              <w:rPr>
                <w:sz w:val="20"/>
                <w:szCs w:val="20"/>
              </w:rPr>
              <w:t>Embedded systems and processes to support innovation</w:t>
            </w:r>
          </w:p>
        </w:tc>
      </w:tr>
    </w:tbl>
    <w:p w:rsidR="00A61600" w:rsidRDefault="00A61600" w:rsidP="007769AE">
      <w:pPr>
        <w:tabs>
          <w:tab w:val="left" w:pos="0"/>
        </w:tabs>
        <w:spacing w:after="0"/>
        <w:rPr>
          <w:rFonts w:cs="Arial"/>
          <w:b/>
          <w:color w:val="2E74B5" w:themeColor="accent1" w:themeShade="BF"/>
          <w:sz w:val="22"/>
          <w:szCs w:val="22"/>
        </w:rPr>
      </w:pPr>
    </w:p>
    <w:p w:rsidR="00DC0EAC" w:rsidRPr="00C87A63" w:rsidRDefault="00DC0EAC" w:rsidP="00DC0EAC">
      <w:pPr>
        <w:tabs>
          <w:tab w:val="left" w:pos="0"/>
        </w:tabs>
        <w:rPr>
          <w:rFonts w:cs="Arial"/>
          <w:b/>
          <w:color w:val="2E74B5" w:themeColor="accent1" w:themeShade="BF"/>
          <w:sz w:val="22"/>
          <w:szCs w:val="22"/>
        </w:rPr>
      </w:pPr>
      <w:r w:rsidRPr="00C87A63">
        <w:rPr>
          <w:rFonts w:cs="Arial"/>
          <w:b/>
          <w:color w:val="2E74B5" w:themeColor="accent1" w:themeShade="BF"/>
          <w:sz w:val="22"/>
          <w:szCs w:val="22"/>
        </w:rPr>
        <w:t>Resilience in the round</w:t>
      </w:r>
    </w:p>
    <w:p w:rsidR="00DC0EAC" w:rsidRPr="00C87A63" w:rsidRDefault="00DC0EAC" w:rsidP="00DC0EAC">
      <w:pPr>
        <w:tabs>
          <w:tab w:val="left" w:pos="0"/>
        </w:tabs>
        <w:rPr>
          <w:rFonts w:cs="Arial"/>
          <w:sz w:val="22"/>
          <w:szCs w:val="22"/>
        </w:rPr>
      </w:pPr>
      <w:r w:rsidRPr="00C87A63">
        <w:rPr>
          <w:rFonts w:cs="Arial"/>
          <w:sz w:val="22"/>
          <w:szCs w:val="22"/>
        </w:rPr>
        <w:t>Historic levels of investment and asset stewardship h</w:t>
      </w:r>
      <w:r w:rsidR="00EA7148" w:rsidRPr="00C87A63">
        <w:rPr>
          <w:rFonts w:cs="Arial"/>
          <w:sz w:val="22"/>
          <w:szCs w:val="22"/>
        </w:rPr>
        <w:t>ave</w:t>
      </w:r>
      <w:r w:rsidRPr="00C87A63">
        <w:rPr>
          <w:rFonts w:cs="Arial"/>
          <w:sz w:val="22"/>
          <w:szCs w:val="22"/>
        </w:rPr>
        <w:t xml:space="preserve"> resulted in a sound foundation of resilience, including a strong water resources position.  We have developed a plan of maintenance and capital works that will both preserve high levels of asset serviceability and enhance the network to address resilience risks.  The network </w:t>
      </w:r>
      <w:r w:rsidR="00AD57D8" w:rsidRPr="00C87A63">
        <w:rPr>
          <w:rFonts w:cs="Arial"/>
          <w:sz w:val="22"/>
          <w:szCs w:val="22"/>
        </w:rPr>
        <w:t>interconnectivity</w:t>
      </w:r>
      <w:r w:rsidRPr="00C87A63">
        <w:rPr>
          <w:rFonts w:cs="Arial"/>
          <w:sz w:val="22"/>
          <w:szCs w:val="22"/>
        </w:rPr>
        <w:t xml:space="preserve"> means that on an average day, no customer is at risk from the loss of supply from the failure of one treatment works as water can be transferred effectively across the area of supply.  Expenditure in the Business Plan will improve this resilience to peak day demand.</w:t>
      </w:r>
    </w:p>
    <w:p w:rsidR="00DC0EAC" w:rsidRPr="00C87A63" w:rsidRDefault="00DC0EAC" w:rsidP="00DC0EAC">
      <w:pPr>
        <w:tabs>
          <w:tab w:val="left" w:pos="0"/>
        </w:tabs>
        <w:rPr>
          <w:rFonts w:cs="Arial"/>
          <w:sz w:val="22"/>
          <w:szCs w:val="22"/>
        </w:rPr>
      </w:pPr>
      <w:r w:rsidRPr="00C87A63">
        <w:rPr>
          <w:rFonts w:cs="Arial"/>
          <w:sz w:val="22"/>
          <w:szCs w:val="22"/>
        </w:rPr>
        <w:t xml:space="preserve">Our industry leading </w:t>
      </w:r>
      <w:r w:rsidR="00EC2F8C" w:rsidRPr="00C87A63">
        <w:rPr>
          <w:rFonts w:cs="Arial"/>
          <w:sz w:val="22"/>
          <w:szCs w:val="22"/>
        </w:rPr>
        <w:t>C</w:t>
      </w:r>
      <w:r w:rsidRPr="00C87A63">
        <w:rPr>
          <w:rFonts w:cs="Arial"/>
          <w:sz w:val="22"/>
          <w:szCs w:val="22"/>
        </w:rPr>
        <w:t xml:space="preserve">atchment </w:t>
      </w:r>
      <w:r w:rsidR="00EC2F8C" w:rsidRPr="00C87A63">
        <w:rPr>
          <w:rFonts w:cs="Arial"/>
          <w:sz w:val="22"/>
          <w:szCs w:val="22"/>
        </w:rPr>
        <w:t>M</w:t>
      </w:r>
      <w:r w:rsidRPr="00C87A63">
        <w:rPr>
          <w:rFonts w:cs="Arial"/>
          <w:sz w:val="22"/>
          <w:szCs w:val="22"/>
        </w:rPr>
        <w:t xml:space="preserve">anagement </w:t>
      </w:r>
      <w:r w:rsidR="00EC2F8C" w:rsidRPr="00C87A63">
        <w:rPr>
          <w:rFonts w:cs="Arial"/>
          <w:sz w:val="22"/>
          <w:szCs w:val="22"/>
        </w:rPr>
        <w:t>P</w:t>
      </w:r>
      <w:r w:rsidRPr="00C87A63">
        <w:rPr>
          <w:rFonts w:cs="Arial"/>
          <w:sz w:val="22"/>
          <w:szCs w:val="22"/>
        </w:rPr>
        <w:t>rogramme will address the risk of rising nitrate water quality trends</w:t>
      </w:r>
      <w:r w:rsidR="00C0433D" w:rsidRPr="00C87A63">
        <w:rPr>
          <w:rFonts w:cs="Arial"/>
          <w:sz w:val="22"/>
          <w:szCs w:val="22"/>
        </w:rPr>
        <w:t>,</w:t>
      </w:r>
      <w:r w:rsidRPr="00C87A63">
        <w:rPr>
          <w:rFonts w:cs="Arial"/>
          <w:sz w:val="22"/>
          <w:szCs w:val="22"/>
        </w:rPr>
        <w:t xml:space="preserve"> enhance ecosystems </w:t>
      </w:r>
      <w:r w:rsidR="00C0433D" w:rsidRPr="00C87A63">
        <w:rPr>
          <w:rFonts w:cs="Arial"/>
          <w:sz w:val="22"/>
          <w:szCs w:val="22"/>
        </w:rPr>
        <w:t xml:space="preserve">and improve </w:t>
      </w:r>
      <w:r w:rsidRPr="00C87A63">
        <w:rPr>
          <w:rFonts w:cs="Arial"/>
          <w:sz w:val="22"/>
          <w:szCs w:val="22"/>
        </w:rPr>
        <w:t>biodiversity.</w:t>
      </w:r>
    </w:p>
    <w:p w:rsidR="00DC0EAC" w:rsidRPr="00C87A63" w:rsidRDefault="00DC0EAC" w:rsidP="00DC0EAC">
      <w:pPr>
        <w:tabs>
          <w:tab w:val="left" w:pos="0"/>
        </w:tabs>
        <w:rPr>
          <w:rFonts w:cs="Arial"/>
          <w:sz w:val="22"/>
          <w:szCs w:val="22"/>
        </w:rPr>
      </w:pPr>
      <w:r w:rsidRPr="00C87A63">
        <w:rPr>
          <w:rFonts w:cs="Arial"/>
          <w:sz w:val="22"/>
          <w:szCs w:val="22"/>
        </w:rPr>
        <w:t xml:space="preserve">Financial resilience has been assessed </w:t>
      </w:r>
      <w:r w:rsidR="00B2601B" w:rsidRPr="00C87A63">
        <w:rPr>
          <w:rFonts w:cs="Arial"/>
          <w:sz w:val="22"/>
          <w:szCs w:val="22"/>
        </w:rPr>
        <w:t>through a robust process</w:t>
      </w:r>
      <w:r w:rsidRPr="00C87A63">
        <w:rPr>
          <w:rFonts w:cs="Arial"/>
          <w:sz w:val="22"/>
          <w:szCs w:val="22"/>
        </w:rPr>
        <w:t xml:space="preserve"> involving review of key financial metrics and assessment of </w:t>
      </w:r>
      <w:r w:rsidR="00B2601B" w:rsidRPr="00C87A63">
        <w:rPr>
          <w:rFonts w:cs="Arial"/>
          <w:sz w:val="22"/>
          <w:szCs w:val="22"/>
        </w:rPr>
        <w:t>downside</w:t>
      </w:r>
      <w:r w:rsidRPr="00C87A63">
        <w:rPr>
          <w:rFonts w:cs="Arial"/>
          <w:sz w:val="22"/>
          <w:szCs w:val="22"/>
        </w:rPr>
        <w:t xml:space="preserve"> risk scenarios together with </w:t>
      </w:r>
      <w:r w:rsidR="00C0433D" w:rsidRPr="00C87A63">
        <w:rPr>
          <w:rFonts w:cs="Arial"/>
          <w:sz w:val="22"/>
          <w:szCs w:val="22"/>
        </w:rPr>
        <w:t xml:space="preserve">the </w:t>
      </w:r>
      <w:r w:rsidRPr="00C87A63">
        <w:rPr>
          <w:rFonts w:cs="Arial"/>
          <w:sz w:val="22"/>
          <w:szCs w:val="22"/>
        </w:rPr>
        <w:t>likely mitigati</w:t>
      </w:r>
      <w:r w:rsidR="00C0433D" w:rsidRPr="00C87A63">
        <w:rPr>
          <w:rFonts w:cs="Arial"/>
          <w:sz w:val="22"/>
          <w:szCs w:val="22"/>
        </w:rPr>
        <w:t>on of</w:t>
      </w:r>
      <w:r w:rsidRPr="00C87A63">
        <w:rPr>
          <w:rFonts w:cs="Arial"/>
          <w:sz w:val="22"/>
          <w:szCs w:val="22"/>
        </w:rPr>
        <w:t xml:space="preserve"> management actions. </w:t>
      </w:r>
    </w:p>
    <w:p w:rsidR="00DC0EAC" w:rsidRPr="00C87A63" w:rsidRDefault="00DC0EAC" w:rsidP="00DC0EAC">
      <w:pPr>
        <w:tabs>
          <w:tab w:val="left" w:pos="0"/>
        </w:tabs>
        <w:rPr>
          <w:rFonts w:cs="Arial"/>
          <w:sz w:val="22"/>
          <w:szCs w:val="22"/>
        </w:rPr>
      </w:pPr>
      <w:r w:rsidRPr="00C87A63">
        <w:rPr>
          <w:rFonts w:cs="Arial"/>
          <w:sz w:val="22"/>
          <w:szCs w:val="22"/>
        </w:rPr>
        <w:t>Portsmouth Water also has in place effective systems of governance and risk management.</w:t>
      </w:r>
      <w:r w:rsidR="00C0433D" w:rsidRPr="00C87A63">
        <w:rPr>
          <w:rFonts w:cs="Arial"/>
          <w:sz w:val="22"/>
          <w:szCs w:val="22"/>
        </w:rPr>
        <w:t xml:space="preserve">  This, combined with the </w:t>
      </w:r>
      <w:r w:rsidRPr="00C87A63">
        <w:rPr>
          <w:rFonts w:cs="Arial"/>
          <w:sz w:val="22"/>
          <w:szCs w:val="22"/>
        </w:rPr>
        <w:t>robust capabilit</w:t>
      </w:r>
      <w:r w:rsidR="00C0433D" w:rsidRPr="00C87A63">
        <w:rPr>
          <w:rFonts w:cs="Arial"/>
          <w:sz w:val="22"/>
          <w:szCs w:val="22"/>
        </w:rPr>
        <w:t xml:space="preserve">y </w:t>
      </w:r>
      <w:r w:rsidRPr="00C87A63">
        <w:rPr>
          <w:rFonts w:cs="Arial"/>
          <w:sz w:val="22"/>
          <w:szCs w:val="22"/>
        </w:rPr>
        <w:t xml:space="preserve">to respond to and recover </w:t>
      </w:r>
      <w:r w:rsidR="00AD57D8" w:rsidRPr="00C87A63">
        <w:rPr>
          <w:rFonts w:cs="Arial"/>
          <w:sz w:val="22"/>
          <w:szCs w:val="22"/>
        </w:rPr>
        <w:t>from operational incidents</w:t>
      </w:r>
      <w:r w:rsidR="00C0433D" w:rsidRPr="00C87A63">
        <w:rPr>
          <w:rFonts w:cs="Arial"/>
          <w:sz w:val="22"/>
          <w:szCs w:val="22"/>
        </w:rPr>
        <w:t>,</w:t>
      </w:r>
      <w:r w:rsidR="00AD57D8" w:rsidRPr="00C87A63">
        <w:rPr>
          <w:rFonts w:cs="Arial"/>
          <w:sz w:val="22"/>
          <w:szCs w:val="22"/>
        </w:rPr>
        <w:t xml:space="preserve"> </w:t>
      </w:r>
      <w:r w:rsidRPr="00C87A63">
        <w:rPr>
          <w:rFonts w:cs="Arial"/>
          <w:sz w:val="22"/>
          <w:szCs w:val="22"/>
        </w:rPr>
        <w:t>underpin</w:t>
      </w:r>
      <w:r w:rsidR="00C0433D" w:rsidRPr="00C87A63">
        <w:rPr>
          <w:rFonts w:cs="Arial"/>
          <w:sz w:val="22"/>
          <w:szCs w:val="22"/>
        </w:rPr>
        <w:t>s</w:t>
      </w:r>
      <w:r w:rsidRPr="00C87A63">
        <w:rPr>
          <w:rFonts w:cs="Arial"/>
          <w:sz w:val="22"/>
          <w:szCs w:val="22"/>
        </w:rPr>
        <w:t xml:space="preserve"> resilience in the round.</w:t>
      </w:r>
    </w:p>
    <w:p w:rsidR="00DC0EAC" w:rsidRPr="00C87A63" w:rsidRDefault="00DC0EAC" w:rsidP="00DC0EAC">
      <w:pPr>
        <w:tabs>
          <w:tab w:val="left" w:pos="0"/>
        </w:tabs>
        <w:rPr>
          <w:rFonts w:cs="Arial"/>
          <w:b/>
          <w:color w:val="2E74B5" w:themeColor="accent1" w:themeShade="BF"/>
          <w:sz w:val="22"/>
          <w:szCs w:val="22"/>
        </w:rPr>
      </w:pPr>
      <w:r w:rsidRPr="00C87A63">
        <w:rPr>
          <w:rFonts w:cs="Arial"/>
          <w:b/>
          <w:color w:val="2E74B5" w:themeColor="accent1" w:themeShade="BF"/>
          <w:sz w:val="22"/>
          <w:szCs w:val="22"/>
        </w:rPr>
        <w:t>Aligning risk and return</w:t>
      </w:r>
    </w:p>
    <w:p w:rsidR="00DC0EAC" w:rsidRPr="00C87A63" w:rsidRDefault="00DC0EAC" w:rsidP="00DC0EAC">
      <w:pPr>
        <w:tabs>
          <w:tab w:val="left" w:pos="0"/>
        </w:tabs>
        <w:rPr>
          <w:rFonts w:cs="Arial"/>
          <w:sz w:val="22"/>
          <w:szCs w:val="22"/>
        </w:rPr>
      </w:pPr>
      <w:r w:rsidRPr="00C87A63">
        <w:rPr>
          <w:rFonts w:cs="Arial"/>
          <w:sz w:val="22"/>
          <w:szCs w:val="22"/>
        </w:rPr>
        <w:t>The Board and the Company has developed a thorough understanding of the deli</w:t>
      </w:r>
      <w:r w:rsidR="005A73F6" w:rsidRPr="00C87A63">
        <w:rPr>
          <w:rFonts w:cs="Arial"/>
          <w:sz w:val="22"/>
          <w:szCs w:val="22"/>
        </w:rPr>
        <w:t xml:space="preserve">very risks of the </w:t>
      </w:r>
      <w:r w:rsidR="00C12F28" w:rsidRPr="00C87A63">
        <w:rPr>
          <w:rFonts w:cs="Arial"/>
          <w:sz w:val="22"/>
          <w:szCs w:val="22"/>
        </w:rPr>
        <w:t>B</w:t>
      </w:r>
      <w:r w:rsidR="005A73F6" w:rsidRPr="00C87A63">
        <w:rPr>
          <w:rFonts w:cs="Arial"/>
          <w:sz w:val="22"/>
          <w:szCs w:val="22"/>
        </w:rPr>
        <w:t xml:space="preserve">usiness </w:t>
      </w:r>
      <w:r w:rsidR="00C12F28" w:rsidRPr="00C87A63">
        <w:rPr>
          <w:rFonts w:cs="Arial"/>
          <w:sz w:val="22"/>
          <w:szCs w:val="22"/>
        </w:rPr>
        <w:t>P</w:t>
      </w:r>
      <w:r w:rsidR="005A73F6" w:rsidRPr="00C87A63">
        <w:rPr>
          <w:rFonts w:cs="Arial"/>
          <w:sz w:val="22"/>
          <w:szCs w:val="22"/>
        </w:rPr>
        <w:t>lan -</w:t>
      </w:r>
      <w:r w:rsidRPr="00C87A63">
        <w:rPr>
          <w:rFonts w:cs="Arial"/>
          <w:sz w:val="22"/>
          <w:szCs w:val="22"/>
        </w:rPr>
        <w:t xml:space="preserve"> both operational and financial.  This has been used to drive RoRE analysis in order to thoroughly understand, and manage, the balance of risk and return. </w:t>
      </w:r>
    </w:p>
    <w:p w:rsidR="00DC0EAC" w:rsidRPr="00C87A63" w:rsidRDefault="00DC0EAC" w:rsidP="00DC0EAC">
      <w:pPr>
        <w:tabs>
          <w:tab w:val="left" w:pos="0"/>
        </w:tabs>
        <w:rPr>
          <w:rFonts w:cs="Arial"/>
          <w:b/>
          <w:color w:val="2E74B5" w:themeColor="accent1" w:themeShade="BF"/>
          <w:sz w:val="22"/>
          <w:szCs w:val="22"/>
        </w:rPr>
      </w:pPr>
      <w:r w:rsidRPr="00C87A63">
        <w:rPr>
          <w:rFonts w:cs="Arial"/>
          <w:b/>
          <w:color w:val="2E74B5" w:themeColor="accent1" w:themeShade="BF"/>
          <w:sz w:val="22"/>
          <w:szCs w:val="22"/>
        </w:rPr>
        <w:t>Financeability</w:t>
      </w:r>
    </w:p>
    <w:p w:rsidR="00DC0EAC" w:rsidRPr="00C87A63" w:rsidRDefault="00DC0EAC" w:rsidP="00DC0EAC">
      <w:pPr>
        <w:tabs>
          <w:tab w:val="left" w:pos="0"/>
        </w:tabs>
        <w:rPr>
          <w:rFonts w:cs="Arial"/>
          <w:sz w:val="22"/>
          <w:szCs w:val="22"/>
        </w:rPr>
      </w:pPr>
      <w:r w:rsidRPr="00C87A63">
        <w:rPr>
          <w:rFonts w:cs="Arial"/>
          <w:sz w:val="22"/>
          <w:szCs w:val="22"/>
        </w:rPr>
        <w:t>The Board has concluded that the Business Plan is financeable on a notional and an actual capital structure.  The Company has some exposure, under the actual capital structure, due to the transition to CPI</w:t>
      </w:r>
      <w:r w:rsidR="000E138C" w:rsidRPr="00C87A63">
        <w:rPr>
          <w:rFonts w:cs="Arial"/>
          <w:sz w:val="22"/>
          <w:szCs w:val="22"/>
        </w:rPr>
        <w:t>H</w:t>
      </w:r>
      <w:r w:rsidRPr="00C87A63">
        <w:rPr>
          <w:rFonts w:cs="Arial"/>
          <w:sz w:val="22"/>
          <w:szCs w:val="22"/>
        </w:rPr>
        <w:t xml:space="preserve"> and the lower allowed cost of debt relative to the Company’s embedded cost of efficiently raised debt.  </w:t>
      </w:r>
      <w:r w:rsidR="00EA7148" w:rsidRPr="00C87A63">
        <w:rPr>
          <w:rFonts w:cs="Arial"/>
          <w:sz w:val="22"/>
          <w:szCs w:val="22"/>
        </w:rPr>
        <w:t>Financeability</w:t>
      </w:r>
      <w:r w:rsidRPr="00C87A63">
        <w:rPr>
          <w:rFonts w:cs="Arial"/>
          <w:sz w:val="22"/>
          <w:szCs w:val="22"/>
        </w:rPr>
        <w:t xml:space="preserve"> will be addressed, in part, through the injection of </w:t>
      </w:r>
      <w:r w:rsidR="00C0433D" w:rsidRPr="00C87A63">
        <w:rPr>
          <w:rFonts w:cs="Arial"/>
          <w:sz w:val="22"/>
          <w:szCs w:val="22"/>
        </w:rPr>
        <w:t xml:space="preserve">an </w:t>
      </w:r>
      <w:r w:rsidRPr="00C87A63">
        <w:rPr>
          <w:rFonts w:cs="Arial"/>
          <w:sz w:val="22"/>
          <w:szCs w:val="22"/>
        </w:rPr>
        <w:t xml:space="preserve">additional </w:t>
      </w:r>
      <w:r w:rsidR="008F4A1A" w:rsidRPr="00C87A63">
        <w:rPr>
          <w:rFonts w:cs="Arial"/>
          <w:sz w:val="22"/>
          <w:szCs w:val="22"/>
        </w:rPr>
        <w:t xml:space="preserve">£61m of </w:t>
      </w:r>
      <w:r w:rsidR="00AB6F74">
        <w:rPr>
          <w:rFonts w:cs="Arial"/>
          <w:sz w:val="22"/>
          <w:szCs w:val="22"/>
        </w:rPr>
        <w:t xml:space="preserve">new </w:t>
      </w:r>
      <w:r w:rsidR="005115F9" w:rsidRPr="00C87A63">
        <w:rPr>
          <w:rFonts w:cs="Arial"/>
          <w:sz w:val="22"/>
          <w:szCs w:val="22"/>
        </w:rPr>
        <w:t>capital</w:t>
      </w:r>
      <w:r w:rsidR="00EA7148" w:rsidRPr="00C87A63">
        <w:rPr>
          <w:rFonts w:cs="Arial"/>
          <w:sz w:val="22"/>
          <w:szCs w:val="22"/>
        </w:rPr>
        <w:t xml:space="preserve"> from our investors to</w:t>
      </w:r>
      <w:r w:rsidRPr="00C87A63">
        <w:rPr>
          <w:rFonts w:cs="Arial"/>
          <w:sz w:val="22"/>
          <w:szCs w:val="22"/>
        </w:rPr>
        <w:t xml:space="preserve"> support the delivery of Havant Thicket.  The Company has calculated the WACC based on Ofwat’s initial</w:t>
      </w:r>
      <w:r w:rsidR="008F4A1A" w:rsidRPr="00C87A63">
        <w:rPr>
          <w:rFonts w:cs="Arial"/>
          <w:sz w:val="22"/>
          <w:szCs w:val="22"/>
        </w:rPr>
        <w:t xml:space="preserve"> view on cost of capital. </w:t>
      </w:r>
      <w:r w:rsidR="00152CFB" w:rsidRPr="00C87A63">
        <w:rPr>
          <w:rFonts w:cs="Arial"/>
          <w:sz w:val="22"/>
          <w:szCs w:val="22"/>
        </w:rPr>
        <w:t xml:space="preserve">Given significant levels of investment, we </w:t>
      </w:r>
      <w:r w:rsidR="008F4A1A" w:rsidRPr="00C87A63">
        <w:rPr>
          <w:rFonts w:cs="Arial"/>
          <w:sz w:val="22"/>
          <w:szCs w:val="22"/>
        </w:rPr>
        <w:t>have</w:t>
      </w:r>
      <w:r w:rsidRPr="00C87A63">
        <w:rPr>
          <w:rFonts w:cs="Arial"/>
          <w:sz w:val="22"/>
          <w:szCs w:val="22"/>
        </w:rPr>
        <w:t xml:space="preserve"> </w:t>
      </w:r>
      <w:r w:rsidR="00EA7148" w:rsidRPr="00C87A63">
        <w:rPr>
          <w:rFonts w:cs="Arial"/>
          <w:sz w:val="22"/>
          <w:szCs w:val="22"/>
        </w:rPr>
        <w:t xml:space="preserve">included </w:t>
      </w:r>
      <w:r w:rsidR="008F4A1A" w:rsidRPr="00C87A63">
        <w:rPr>
          <w:rFonts w:cs="Arial"/>
          <w:sz w:val="22"/>
          <w:szCs w:val="22"/>
        </w:rPr>
        <w:t xml:space="preserve">a small adjustment to PAYG rates to manage financeability </w:t>
      </w:r>
      <w:r w:rsidR="00EA7148" w:rsidRPr="00C87A63">
        <w:rPr>
          <w:rFonts w:cs="Arial"/>
          <w:sz w:val="22"/>
          <w:szCs w:val="22"/>
        </w:rPr>
        <w:t xml:space="preserve">constraints </w:t>
      </w:r>
      <w:r w:rsidR="008F4A1A" w:rsidRPr="00C87A63">
        <w:rPr>
          <w:rFonts w:cs="Arial"/>
          <w:sz w:val="22"/>
          <w:szCs w:val="22"/>
        </w:rPr>
        <w:t>in the notional structure –</w:t>
      </w:r>
      <w:r w:rsidR="00152CFB" w:rsidRPr="00C87A63">
        <w:rPr>
          <w:rFonts w:cs="Arial"/>
          <w:sz w:val="22"/>
          <w:szCs w:val="22"/>
        </w:rPr>
        <w:t xml:space="preserve"> </w:t>
      </w:r>
      <w:r w:rsidR="008F4A1A" w:rsidRPr="00C87A63">
        <w:rPr>
          <w:rFonts w:cs="Arial"/>
          <w:sz w:val="22"/>
          <w:szCs w:val="22"/>
        </w:rPr>
        <w:t>this</w:t>
      </w:r>
      <w:r w:rsidR="00152CFB" w:rsidRPr="00C87A63">
        <w:rPr>
          <w:rFonts w:cs="Arial"/>
          <w:sz w:val="22"/>
          <w:szCs w:val="22"/>
        </w:rPr>
        <w:t xml:space="preserve"> is supported by our customers</w:t>
      </w:r>
      <w:r w:rsidR="008F4A1A" w:rsidRPr="00C87A63">
        <w:rPr>
          <w:rFonts w:cs="Arial"/>
          <w:sz w:val="22"/>
          <w:szCs w:val="22"/>
        </w:rPr>
        <w:t xml:space="preserve">.  We have also given </w:t>
      </w:r>
      <w:r w:rsidRPr="00C87A63">
        <w:rPr>
          <w:rFonts w:cs="Arial"/>
          <w:sz w:val="22"/>
          <w:szCs w:val="22"/>
        </w:rPr>
        <w:t>persuasive evidence and customer support for a Company Specific Premium of 30 basis points.</w:t>
      </w:r>
    </w:p>
    <w:p w:rsidR="00DC0EAC" w:rsidRPr="00C87A63" w:rsidRDefault="00DC0EAC" w:rsidP="00DC0EAC">
      <w:pPr>
        <w:tabs>
          <w:tab w:val="left" w:pos="0"/>
        </w:tabs>
        <w:rPr>
          <w:rFonts w:cs="Arial"/>
          <w:b/>
          <w:color w:val="2E74B5" w:themeColor="accent1" w:themeShade="BF"/>
          <w:sz w:val="22"/>
          <w:szCs w:val="22"/>
        </w:rPr>
      </w:pPr>
      <w:r w:rsidRPr="00C87A63">
        <w:rPr>
          <w:rFonts w:cs="Arial"/>
          <w:b/>
          <w:color w:val="2E74B5" w:themeColor="accent1" w:themeShade="BF"/>
          <w:sz w:val="22"/>
          <w:szCs w:val="22"/>
        </w:rPr>
        <w:t>Bill drivers</w:t>
      </w:r>
    </w:p>
    <w:p w:rsidR="00152CFB" w:rsidRPr="00C87A63" w:rsidRDefault="00DC0EAC" w:rsidP="00DC0EAC">
      <w:pPr>
        <w:tabs>
          <w:tab w:val="left" w:pos="0"/>
        </w:tabs>
        <w:rPr>
          <w:rFonts w:cs="Arial"/>
          <w:sz w:val="22"/>
          <w:szCs w:val="22"/>
        </w:rPr>
      </w:pPr>
      <w:r w:rsidRPr="00C87A63">
        <w:rPr>
          <w:rFonts w:cs="Arial"/>
          <w:sz w:val="22"/>
          <w:szCs w:val="22"/>
        </w:rPr>
        <w:t xml:space="preserve">We will deliver these ambitious service levels and </w:t>
      </w:r>
      <w:r w:rsidR="00964B14">
        <w:rPr>
          <w:rFonts w:cs="Arial"/>
          <w:sz w:val="22"/>
          <w:szCs w:val="22"/>
        </w:rPr>
        <w:t>Performance Commitments</w:t>
      </w:r>
      <w:r w:rsidRPr="00C87A63">
        <w:rPr>
          <w:rFonts w:cs="Arial"/>
          <w:sz w:val="22"/>
          <w:szCs w:val="22"/>
        </w:rPr>
        <w:t xml:space="preserve"> with a reduced bill (before inflation) of £97 and a </w:t>
      </w:r>
      <w:r w:rsidR="00C12F28" w:rsidRPr="00C87A63">
        <w:rPr>
          <w:rFonts w:cs="Arial"/>
          <w:sz w:val="22"/>
          <w:szCs w:val="22"/>
        </w:rPr>
        <w:t>S</w:t>
      </w:r>
      <w:r w:rsidRPr="00C87A63">
        <w:rPr>
          <w:rFonts w:cs="Arial"/>
          <w:sz w:val="22"/>
          <w:szCs w:val="22"/>
        </w:rPr>
        <w:t xml:space="preserve">ocial </w:t>
      </w:r>
      <w:r w:rsidR="00C12F28" w:rsidRPr="00C87A63">
        <w:rPr>
          <w:rFonts w:cs="Arial"/>
          <w:sz w:val="22"/>
          <w:szCs w:val="22"/>
        </w:rPr>
        <w:t>T</w:t>
      </w:r>
      <w:r w:rsidRPr="00C87A63">
        <w:rPr>
          <w:rFonts w:cs="Arial"/>
          <w:sz w:val="22"/>
          <w:szCs w:val="22"/>
        </w:rPr>
        <w:t>ariff of £</w:t>
      </w:r>
      <w:r w:rsidR="00AD57D8" w:rsidRPr="00C87A63">
        <w:rPr>
          <w:rFonts w:cs="Arial"/>
          <w:sz w:val="22"/>
          <w:szCs w:val="22"/>
        </w:rPr>
        <w:t>75</w:t>
      </w:r>
      <w:r w:rsidRPr="00C87A63">
        <w:rPr>
          <w:rFonts w:cs="Arial"/>
          <w:sz w:val="22"/>
          <w:szCs w:val="22"/>
        </w:rPr>
        <w:t xml:space="preserve">.  Since </w:t>
      </w:r>
      <w:r w:rsidR="005A73F6" w:rsidRPr="00C87A63">
        <w:rPr>
          <w:rFonts w:cs="Arial"/>
          <w:sz w:val="22"/>
          <w:szCs w:val="22"/>
        </w:rPr>
        <w:t>2001,</w:t>
      </w:r>
      <w:r w:rsidRPr="00C87A63">
        <w:rPr>
          <w:rFonts w:cs="Arial"/>
          <w:sz w:val="22"/>
          <w:szCs w:val="22"/>
        </w:rPr>
        <w:t xml:space="preserve"> our bill has fallen in real terms, relative to the industry average and to other household costs such as council tax.</w:t>
      </w:r>
    </w:p>
    <w:p w:rsidR="00DC0EAC" w:rsidRPr="00C87A63" w:rsidRDefault="00DC0EAC" w:rsidP="00DC0EAC">
      <w:pPr>
        <w:tabs>
          <w:tab w:val="left" w:pos="0"/>
        </w:tabs>
        <w:rPr>
          <w:rFonts w:cs="Arial"/>
          <w:sz w:val="22"/>
          <w:szCs w:val="22"/>
        </w:rPr>
      </w:pPr>
      <w:r w:rsidRPr="00C87A63">
        <w:rPr>
          <w:rFonts w:cs="Arial"/>
          <w:sz w:val="22"/>
          <w:szCs w:val="22"/>
        </w:rPr>
        <w:t xml:space="preserve">When combined with the proposed </w:t>
      </w:r>
      <w:r w:rsidR="008F4A1A" w:rsidRPr="00C87A63">
        <w:rPr>
          <w:rFonts w:cs="Arial"/>
          <w:sz w:val="22"/>
          <w:szCs w:val="22"/>
        </w:rPr>
        <w:t xml:space="preserve">sewerage </w:t>
      </w:r>
      <w:r w:rsidRPr="00C87A63">
        <w:rPr>
          <w:rFonts w:cs="Arial"/>
          <w:sz w:val="22"/>
          <w:szCs w:val="22"/>
        </w:rPr>
        <w:t xml:space="preserve">bill </w:t>
      </w:r>
      <w:r w:rsidR="008F4A1A" w:rsidRPr="00C87A63">
        <w:rPr>
          <w:rFonts w:cs="Arial"/>
          <w:sz w:val="22"/>
          <w:szCs w:val="22"/>
        </w:rPr>
        <w:t>average charges will be under</w:t>
      </w:r>
      <w:r w:rsidRPr="00C87A63">
        <w:rPr>
          <w:rFonts w:cs="Arial"/>
          <w:sz w:val="22"/>
          <w:szCs w:val="22"/>
        </w:rPr>
        <w:t xml:space="preserve"> than </w:t>
      </w:r>
      <w:r w:rsidR="00183241" w:rsidRPr="00C87A63">
        <w:rPr>
          <w:rFonts w:cs="Arial"/>
          <w:sz w:val="22"/>
          <w:szCs w:val="22"/>
        </w:rPr>
        <w:t>1.5%</w:t>
      </w:r>
      <w:r w:rsidR="008F4A1A" w:rsidRPr="00C87A63">
        <w:rPr>
          <w:rFonts w:cs="Arial"/>
          <w:sz w:val="22"/>
          <w:szCs w:val="22"/>
        </w:rPr>
        <w:t xml:space="preserve"> of average household</w:t>
      </w:r>
      <w:r w:rsidRPr="00C87A63">
        <w:rPr>
          <w:rFonts w:cs="Arial"/>
          <w:sz w:val="22"/>
          <w:szCs w:val="22"/>
        </w:rPr>
        <w:t xml:space="preserve"> income</w:t>
      </w:r>
      <w:r w:rsidR="000E138C" w:rsidRPr="00C87A63">
        <w:rPr>
          <w:rFonts w:cs="Arial"/>
          <w:sz w:val="22"/>
          <w:szCs w:val="22"/>
        </w:rPr>
        <w:t>, and therefore affordable on a combined basis</w:t>
      </w:r>
      <w:r w:rsidRPr="00C87A63">
        <w:rPr>
          <w:rFonts w:cs="Arial"/>
          <w:sz w:val="22"/>
          <w:szCs w:val="22"/>
        </w:rPr>
        <w:t xml:space="preserve">. </w:t>
      </w:r>
      <w:r w:rsidR="008F4A1A" w:rsidRPr="00C87A63">
        <w:rPr>
          <w:rFonts w:cs="Arial"/>
          <w:sz w:val="22"/>
          <w:szCs w:val="22"/>
        </w:rPr>
        <w:t xml:space="preserve"> In the longer-term, we expect to retain bills at the average £97 in real terms.  Customers are highly supportive of this position with over 80% acceptance for both bill levels a</w:t>
      </w:r>
      <w:r w:rsidR="000640F8" w:rsidRPr="00C87A63">
        <w:rPr>
          <w:rFonts w:cs="Arial"/>
          <w:sz w:val="22"/>
          <w:szCs w:val="22"/>
        </w:rPr>
        <w:t>nd longer-term bill projections</w:t>
      </w:r>
      <w:r w:rsidR="007B78CC">
        <w:rPr>
          <w:rFonts w:cs="Arial"/>
          <w:sz w:val="22"/>
          <w:szCs w:val="22"/>
        </w:rPr>
        <w:t>. They</w:t>
      </w:r>
      <w:r w:rsidR="000640F8" w:rsidRPr="00C87A63">
        <w:rPr>
          <w:rFonts w:cs="Arial"/>
          <w:sz w:val="22"/>
          <w:szCs w:val="22"/>
        </w:rPr>
        <w:t xml:space="preserve"> have supported a Company Specific P</w:t>
      </w:r>
      <w:r w:rsidRPr="00C87A63">
        <w:rPr>
          <w:rFonts w:cs="Arial"/>
          <w:sz w:val="22"/>
          <w:szCs w:val="22"/>
        </w:rPr>
        <w:t>remium of 30</w:t>
      </w:r>
      <w:r w:rsidR="00183241" w:rsidRPr="00C87A63">
        <w:rPr>
          <w:rFonts w:cs="Arial"/>
          <w:sz w:val="22"/>
          <w:szCs w:val="22"/>
        </w:rPr>
        <w:t xml:space="preserve"> </w:t>
      </w:r>
      <w:r w:rsidRPr="00C87A63">
        <w:rPr>
          <w:rFonts w:cs="Arial"/>
          <w:sz w:val="22"/>
          <w:szCs w:val="22"/>
        </w:rPr>
        <w:t>basis points together with the use of PAYG levers to manage</w:t>
      </w:r>
      <w:r w:rsidR="00AD57D8" w:rsidRPr="00C87A63">
        <w:rPr>
          <w:rFonts w:cs="Arial"/>
          <w:sz w:val="22"/>
          <w:szCs w:val="22"/>
        </w:rPr>
        <w:t xml:space="preserve"> financial constraints due to</w:t>
      </w:r>
      <w:r w:rsidRPr="00C87A63">
        <w:rPr>
          <w:rFonts w:cs="Arial"/>
          <w:sz w:val="22"/>
          <w:szCs w:val="22"/>
        </w:rPr>
        <w:t xml:space="preserve"> growth in the capital programme.</w:t>
      </w:r>
    </w:p>
    <w:p w:rsidR="000640F8" w:rsidRPr="00C87A63" w:rsidRDefault="000640F8" w:rsidP="00432633">
      <w:pPr>
        <w:rPr>
          <w:sz w:val="22"/>
          <w:szCs w:val="22"/>
        </w:rPr>
      </w:pPr>
      <w:r w:rsidRPr="00C87A63">
        <w:rPr>
          <w:sz w:val="22"/>
          <w:szCs w:val="22"/>
        </w:rPr>
        <w:t>Modest increases in bills have been driven by further enhancements to the network and a small increase in RCV run off rates. These have been offset by a large reduction in PAYG rate together with the fall in WACC, net ODI penalties and higher customer numbers.</w:t>
      </w:r>
      <w:r w:rsidR="00A61600">
        <w:rPr>
          <w:sz w:val="22"/>
          <w:szCs w:val="22"/>
        </w:rPr>
        <w:t xml:space="preserve">  This set out further in the bill waterfall diagram included in Appendix 11.1.</w:t>
      </w:r>
    </w:p>
    <w:p w:rsidR="005738FA" w:rsidRDefault="005738FA" w:rsidP="00EC2F8C">
      <w:pPr>
        <w:tabs>
          <w:tab w:val="left" w:pos="0"/>
        </w:tabs>
        <w:rPr>
          <w:b/>
        </w:rPr>
      </w:pPr>
      <w:r>
        <w:rPr>
          <w:b/>
        </w:rPr>
        <w:br w:type="page"/>
      </w:r>
    </w:p>
    <w:p w:rsidR="001C50CC" w:rsidRPr="00E56F8B" w:rsidRDefault="001C50CC" w:rsidP="00DE0E1B">
      <w:pPr>
        <w:pStyle w:val="Heading2"/>
      </w:pPr>
      <w:bookmarkStart w:id="5" w:name="_Toc522199964"/>
      <w:bookmarkStart w:id="6" w:name="_Toc522200061"/>
      <w:bookmarkStart w:id="7" w:name="_Toc523651230"/>
      <w:r w:rsidRPr="00E56F8B">
        <w:t xml:space="preserve">Our </w:t>
      </w:r>
      <w:r w:rsidR="001E0DCD">
        <w:t xml:space="preserve">Long Term </w:t>
      </w:r>
      <w:r w:rsidRPr="00E56F8B">
        <w:t>Vision</w:t>
      </w:r>
      <w:bookmarkEnd w:id="5"/>
      <w:bookmarkEnd w:id="6"/>
      <w:bookmarkEnd w:id="7"/>
    </w:p>
    <w:p w:rsidR="0019042F" w:rsidRDefault="00EA2906" w:rsidP="00E56F8B">
      <w:pPr>
        <w:rPr>
          <w:b/>
        </w:rPr>
      </w:pPr>
      <w:r>
        <w:rPr>
          <w:b/>
          <w:noProof/>
        </w:rPr>
        <w:drawing>
          <wp:inline distT="0" distB="0" distL="0" distR="0">
            <wp:extent cx="5581934" cy="3947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ping ston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9457" cy="3952868"/>
                    </a:xfrm>
                    <a:prstGeom prst="rect">
                      <a:avLst/>
                    </a:prstGeom>
                  </pic:spPr>
                </pic:pic>
              </a:graphicData>
            </a:graphic>
          </wp:inline>
        </w:drawing>
      </w:r>
    </w:p>
    <w:p w:rsidR="00E56F8B" w:rsidRPr="00E56F8B" w:rsidRDefault="00E56F8B" w:rsidP="00E56F8B">
      <w:pPr>
        <w:rPr>
          <w:b/>
        </w:rPr>
      </w:pPr>
      <w:r w:rsidRPr="00E56F8B">
        <w:rPr>
          <w:b/>
        </w:rPr>
        <w:t>Portsmouth Water’s Vision</w:t>
      </w:r>
    </w:p>
    <w:p w:rsidR="00E56F8B" w:rsidRPr="007766C1" w:rsidRDefault="00E56F8B" w:rsidP="00E56F8B">
      <w:pPr>
        <w:rPr>
          <w:i/>
        </w:rPr>
      </w:pPr>
      <w:r w:rsidRPr="007766C1">
        <w:rPr>
          <w:i/>
        </w:rPr>
        <w:t>“</w:t>
      </w:r>
      <w:r w:rsidR="00336BA7" w:rsidRPr="00336BA7">
        <w:rPr>
          <w:i/>
        </w:rPr>
        <w:t>Delivering excellence for our customers,</w:t>
      </w:r>
      <w:r w:rsidR="00336BA7">
        <w:rPr>
          <w:i/>
        </w:rPr>
        <w:t xml:space="preserve"> our people and our environment</w:t>
      </w:r>
      <w:r w:rsidRPr="007766C1">
        <w:rPr>
          <w:i/>
        </w:rPr>
        <w:t xml:space="preserve">” </w:t>
      </w:r>
    </w:p>
    <w:p w:rsidR="00E56F8B" w:rsidRPr="007766C1" w:rsidRDefault="00E56F8B" w:rsidP="00E56F8B">
      <w:r w:rsidRPr="007766C1">
        <w:t>Portsmouth Water has developed a long-term vision to ensure we</w:t>
      </w:r>
      <w:r>
        <w:t xml:space="preserve"> continue to</w:t>
      </w:r>
      <w:r w:rsidRPr="007766C1">
        <w:t xml:space="preserve"> do the right thing for our customers, the environment and the region –</w:t>
      </w:r>
      <w:r>
        <w:t xml:space="preserve"> today, tomorrow and for future generations.</w:t>
      </w:r>
    </w:p>
    <w:p w:rsidR="00E56F8B" w:rsidRPr="007766C1" w:rsidRDefault="00E56F8B" w:rsidP="00E56F8B">
      <w:pPr>
        <w:rPr>
          <w:u w:val="single"/>
        </w:rPr>
      </w:pPr>
      <w:r w:rsidRPr="007766C1">
        <w:t xml:space="preserve">This vision articulates </w:t>
      </w:r>
      <w:r>
        <w:t>how we</w:t>
      </w:r>
      <w:r w:rsidR="003258A6">
        <w:t xml:space="preserve"> will s</w:t>
      </w:r>
      <w:r w:rsidRPr="007766C1">
        <w:t xml:space="preserve">ecure </w:t>
      </w:r>
      <w:r>
        <w:t xml:space="preserve">best-value </w:t>
      </w:r>
      <w:r w:rsidRPr="007766C1">
        <w:t>resilient</w:t>
      </w:r>
      <w:r>
        <w:t xml:space="preserve"> </w:t>
      </w:r>
      <w:r w:rsidRPr="007766C1">
        <w:t>water supplies</w:t>
      </w:r>
      <w:r>
        <w:t xml:space="preserve"> for our customers and the wider South East to meet </w:t>
      </w:r>
      <w:r w:rsidRPr="007766C1">
        <w:t xml:space="preserve">the significant challenges the </w:t>
      </w:r>
      <w:r>
        <w:t>region</w:t>
      </w:r>
      <w:r w:rsidRPr="007766C1">
        <w:t xml:space="preserve"> faces </w:t>
      </w:r>
      <w:r>
        <w:t>– at the same time as enhancing</w:t>
      </w:r>
      <w:r w:rsidRPr="007766C1">
        <w:t xml:space="preserve"> </w:t>
      </w:r>
      <w:r>
        <w:t>the</w:t>
      </w:r>
      <w:r w:rsidRPr="007766C1">
        <w:t xml:space="preserve"> </w:t>
      </w:r>
      <w:r>
        <w:t xml:space="preserve">natural </w:t>
      </w:r>
      <w:r w:rsidRPr="007766C1">
        <w:t>environment.</w:t>
      </w:r>
    </w:p>
    <w:p w:rsidR="00E56F8B" w:rsidRPr="00E56F8B" w:rsidRDefault="00E56F8B" w:rsidP="00E56F8B">
      <w:pPr>
        <w:rPr>
          <w:b/>
        </w:rPr>
      </w:pPr>
      <w:r w:rsidRPr="00E56F8B">
        <w:rPr>
          <w:b/>
        </w:rPr>
        <w:t>Our vision for customer service</w:t>
      </w:r>
    </w:p>
    <w:p w:rsidR="00E56F8B" w:rsidRDefault="003258A6" w:rsidP="00E56F8B">
      <w:r>
        <w:t xml:space="preserve">We will </w:t>
      </w:r>
      <w:r w:rsidR="00E56F8B" w:rsidRPr="007766C1">
        <w:t>deliver a service that delights our customers</w:t>
      </w:r>
      <w:r w:rsidR="00E56F8B">
        <w:t xml:space="preserve"> –</w:t>
      </w:r>
      <w:r w:rsidR="00E56F8B" w:rsidRPr="007766C1">
        <w:t xml:space="preserve"> in their water supply</w:t>
      </w:r>
      <w:r w:rsidR="00E56F8B">
        <w:t>, their bill</w:t>
      </w:r>
      <w:r w:rsidR="00E56F8B" w:rsidRPr="007766C1">
        <w:t xml:space="preserve"> and their contact with us.</w:t>
      </w:r>
    </w:p>
    <w:p w:rsidR="00E56F8B" w:rsidRDefault="00E56F8B" w:rsidP="00E56F8B">
      <w:r w:rsidRPr="007766C1">
        <w:t xml:space="preserve">When </w:t>
      </w:r>
      <w:r>
        <w:t>our customers</w:t>
      </w:r>
      <w:r w:rsidRPr="007766C1">
        <w:t xml:space="preserve"> interact with us, we want them to feel valued, understood, respected, heard and looked after. They are part of our communi</w:t>
      </w:r>
      <w:r>
        <w:t xml:space="preserve">ty and we are part of theirs. </w:t>
      </w:r>
      <w:r w:rsidRPr="007766C1">
        <w:t>Our vision is to provide a customer-first culture where our customers trust us</w:t>
      </w:r>
      <w:r>
        <w:t xml:space="preserve"> to do what is right for them.</w:t>
      </w:r>
    </w:p>
    <w:p w:rsidR="00E56F8B" w:rsidRDefault="00E56F8B" w:rsidP="00E56F8B">
      <w:r>
        <w:t>We</w:t>
      </w:r>
      <w:r w:rsidR="003258A6">
        <w:t xml:space="preserve"> will </w:t>
      </w:r>
      <w:r>
        <w:t>do this through:</w:t>
      </w:r>
    </w:p>
    <w:p w:rsidR="00E56F8B" w:rsidRPr="006D4981" w:rsidRDefault="00E56F8B" w:rsidP="006D4981">
      <w:pPr>
        <w:pStyle w:val="Bullets"/>
      </w:pPr>
      <w:r w:rsidRPr="006D4981">
        <w:t>Innovative services that reflect the use of technology and changing customer preferences</w:t>
      </w:r>
    </w:p>
    <w:p w:rsidR="00E56F8B" w:rsidRPr="006D4981" w:rsidRDefault="00E56F8B" w:rsidP="006D4981">
      <w:pPr>
        <w:pStyle w:val="Bullets"/>
      </w:pPr>
      <w:r w:rsidRPr="006D4981">
        <w:t>Collaboration with partners to identify and support all our customers in vulnerable circumstances</w:t>
      </w:r>
    </w:p>
    <w:p w:rsidR="00E56F8B" w:rsidRPr="006D4981" w:rsidRDefault="003258A6" w:rsidP="006D4981">
      <w:pPr>
        <w:pStyle w:val="Bullets"/>
      </w:pPr>
      <w:r w:rsidRPr="006D4981">
        <w:t>Achieving a level of “distinction” with the Institute of Customer Service by 2025</w:t>
      </w:r>
    </w:p>
    <w:p w:rsidR="00E56F8B" w:rsidRPr="006D4981" w:rsidRDefault="00E56F8B" w:rsidP="006D4981">
      <w:pPr>
        <w:pStyle w:val="Bullets"/>
      </w:pPr>
      <w:r w:rsidRPr="006D4981">
        <w:t xml:space="preserve">Keeping bills affordable for everyone, with </w:t>
      </w:r>
      <w:r w:rsidR="009B1B25" w:rsidRPr="006D4981">
        <w:t>bills staying flat in real terms over the longer term</w:t>
      </w:r>
    </w:p>
    <w:p w:rsidR="00E56F8B" w:rsidRPr="006D4981" w:rsidRDefault="00E56F8B" w:rsidP="006D4981">
      <w:pPr>
        <w:pStyle w:val="Bullets"/>
      </w:pPr>
      <w:r w:rsidRPr="006D4981">
        <w:t>Embedding a philosophy of customer advocacy.</w:t>
      </w:r>
      <w:r w:rsidR="00E87CB8" w:rsidRPr="006D4981">
        <w:t xml:space="preserve"> </w:t>
      </w:r>
    </w:p>
    <w:p w:rsidR="00B73C0A" w:rsidRPr="00E56F8B" w:rsidRDefault="00B73C0A" w:rsidP="00B73C0A">
      <w:pPr>
        <w:pStyle w:val="Bullets"/>
        <w:numPr>
          <w:ilvl w:val="0"/>
          <w:numId w:val="0"/>
        </w:numPr>
        <w:ind w:left="1848"/>
      </w:pPr>
    </w:p>
    <w:p w:rsidR="00E56F8B" w:rsidRPr="006D4981" w:rsidRDefault="00E56F8B" w:rsidP="006D4981">
      <w:pPr>
        <w:rPr>
          <w:b/>
        </w:rPr>
      </w:pPr>
      <w:r w:rsidRPr="006D4981">
        <w:rPr>
          <w:b/>
        </w:rPr>
        <w:t>Our vision for regional water resilience</w:t>
      </w:r>
    </w:p>
    <w:p w:rsidR="00E56F8B" w:rsidRPr="007766C1" w:rsidRDefault="00E56F8B" w:rsidP="006D4981">
      <w:r w:rsidRPr="007766C1">
        <w:t>We will lead on</w:t>
      </w:r>
      <w:r>
        <w:t xml:space="preserve"> collaboration to </w:t>
      </w:r>
      <w:r w:rsidR="009B1B25">
        <w:t xml:space="preserve">develop new </w:t>
      </w:r>
      <w:r>
        <w:t>water resources and</w:t>
      </w:r>
      <w:r w:rsidRPr="007766C1">
        <w:t xml:space="preserve"> </w:t>
      </w:r>
      <w:r>
        <w:t xml:space="preserve">trading </w:t>
      </w:r>
      <w:r w:rsidRPr="007766C1">
        <w:t>in the South East, as part of the wider Water Resources in the South East</w:t>
      </w:r>
      <w:r>
        <w:t xml:space="preserve"> group</w:t>
      </w:r>
      <w:r w:rsidR="00B2601B">
        <w:t>.  A</w:t>
      </w:r>
      <w:r w:rsidRPr="007766C1">
        <w:t xml:space="preserve">t the heart of this is our development of the first new strategic water resource in the South East for decades – Havant Thicket </w:t>
      </w:r>
      <w:r w:rsidR="009B1B25">
        <w:t xml:space="preserve">Winter Storage </w:t>
      </w:r>
      <w:r w:rsidR="0005234B">
        <w:t>R</w:t>
      </w:r>
      <w:r w:rsidRPr="007766C1">
        <w:t xml:space="preserve">eservoir – an enabler for water transfers and increased </w:t>
      </w:r>
      <w:r w:rsidR="009B1B25">
        <w:t xml:space="preserve">regional </w:t>
      </w:r>
      <w:r w:rsidRPr="007766C1">
        <w:t xml:space="preserve">resilience </w:t>
      </w:r>
      <w:r w:rsidR="009B1B25">
        <w:t>to drought</w:t>
      </w:r>
      <w:r w:rsidRPr="007766C1">
        <w:t>.</w:t>
      </w:r>
    </w:p>
    <w:p w:rsidR="00E56F8B" w:rsidRPr="007766C1" w:rsidRDefault="00E56F8B" w:rsidP="00E56F8B">
      <w:r w:rsidRPr="007766C1">
        <w:t>We will set</w:t>
      </w:r>
      <w:r>
        <w:t xml:space="preserve"> an innovative precedent for this collaborative approach to</w:t>
      </w:r>
      <w:r w:rsidRPr="007766C1">
        <w:t xml:space="preserve"> develop infrastructure,</w:t>
      </w:r>
      <w:r>
        <w:t xml:space="preserve"> wider</w:t>
      </w:r>
      <w:r w:rsidRPr="007766C1">
        <w:t xml:space="preserve"> resilience benefits</w:t>
      </w:r>
      <w:r>
        <w:t xml:space="preserve"> and water trading nationally.</w:t>
      </w:r>
    </w:p>
    <w:p w:rsidR="00E56F8B" w:rsidRDefault="00E56F8B" w:rsidP="00E56F8B">
      <w:r>
        <w:t xml:space="preserve">At the same time, we are committing to </w:t>
      </w:r>
      <w:r w:rsidRPr="007766C1">
        <w:t>ambitious targets to reduce leakage</w:t>
      </w:r>
      <w:r>
        <w:t xml:space="preserve"> by 30% by 2040</w:t>
      </w:r>
      <w:r w:rsidR="009B1B25">
        <w:t xml:space="preserve"> and </w:t>
      </w:r>
      <w:r w:rsidR="005A73F6">
        <w:t>aspire</w:t>
      </w:r>
      <w:r w:rsidR="009B1B25">
        <w:t xml:space="preserve"> to reach a 50% reduction by 2050.  We are also targeting a reducing trend in </w:t>
      </w:r>
      <w:r>
        <w:t xml:space="preserve">personal water use </w:t>
      </w:r>
      <w:r w:rsidR="009B1B25">
        <w:t>(</w:t>
      </w:r>
      <w:r w:rsidR="009258ED">
        <w:t>PCC</w:t>
      </w:r>
      <w:r w:rsidR="009B1B25">
        <w:t xml:space="preserve">) </w:t>
      </w:r>
      <w:r>
        <w:t xml:space="preserve">to 100 litres </w:t>
      </w:r>
      <w:r w:rsidR="00336BA7">
        <w:t xml:space="preserve">per day </w:t>
      </w:r>
      <w:r>
        <w:t>by 2050.</w:t>
      </w:r>
    </w:p>
    <w:p w:rsidR="00E56F8B" w:rsidRPr="007766C1" w:rsidRDefault="00E56F8B" w:rsidP="00E56F8B">
      <w:r>
        <w:t>This twin-track approach is key to delivering on</w:t>
      </w:r>
      <w:r w:rsidRPr="007766C1">
        <w:t xml:space="preserve"> the Government’s 25-year </w:t>
      </w:r>
      <w:r>
        <w:t xml:space="preserve">Environment </w:t>
      </w:r>
      <w:r w:rsidRPr="007766C1">
        <w:t xml:space="preserve">Plan and </w:t>
      </w:r>
      <w:r>
        <w:t xml:space="preserve">the </w:t>
      </w:r>
      <w:r w:rsidRPr="007766C1">
        <w:t>National Infrastructure Commission’s</w:t>
      </w:r>
      <w:r>
        <w:t xml:space="preserve"> recommendations for long-term resilience.</w:t>
      </w:r>
    </w:p>
    <w:p w:rsidR="00E56F8B" w:rsidRPr="007766C1" w:rsidRDefault="00E56F8B" w:rsidP="00E56F8B">
      <w:r w:rsidRPr="007766C1">
        <w:t>Despite operating in a</w:t>
      </w:r>
      <w:r>
        <w:t>n area of</w:t>
      </w:r>
      <w:r w:rsidRPr="007766C1">
        <w:t xml:space="preserve"> medium </w:t>
      </w:r>
      <w:r>
        <w:t>water stress, we</w:t>
      </w:r>
      <w:r w:rsidR="009B1B25">
        <w:t xml:space="preserve"> wi</w:t>
      </w:r>
      <w:r>
        <w:t>ll</w:t>
      </w:r>
      <w:r w:rsidRPr="007766C1">
        <w:t xml:space="preserve"> lobby </w:t>
      </w:r>
      <w:r>
        <w:t>to be able</w:t>
      </w:r>
      <w:r w:rsidRPr="007766C1">
        <w:t xml:space="preserve"> to provide meters for </w:t>
      </w:r>
      <w:r w:rsidR="00E87CB8">
        <w:t xml:space="preserve">the majority of our customers, </w:t>
      </w:r>
      <w:r w:rsidRPr="007766C1">
        <w:t>making the most</w:t>
      </w:r>
      <w:r>
        <w:t xml:space="preserve"> of</w:t>
      </w:r>
      <w:r w:rsidRPr="007766C1">
        <w:t xml:space="preserve"> resources and empowering </w:t>
      </w:r>
      <w:r>
        <w:t xml:space="preserve">our </w:t>
      </w:r>
      <w:r w:rsidRPr="007766C1">
        <w:t>customers with the</w:t>
      </w:r>
      <w:r>
        <w:t xml:space="preserve"> latest</w:t>
      </w:r>
      <w:r w:rsidRPr="007766C1">
        <w:t xml:space="preserve"> technology to take control of their water use and bills.</w:t>
      </w:r>
    </w:p>
    <w:p w:rsidR="00E56F8B" w:rsidRPr="007766C1" w:rsidRDefault="00E56F8B" w:rsidP="00E56F8B">
      <w:r w:rsidRPr="007766C1">
        <w:t>Our vision is to be the first water company</w:t>
      </w:r>
      <w:r>
        <w:t xml:space="preserve"> to</w:t>
      </w:r>
      <w:r w:rsidRPr="007766C1">
        <w:t xml:space="preserve"> harness innovative technology </w:t>
      </w:r>
      <w:r>
        <w:t>for</w:t>
      </w:r>
      <w:r w:rsidRPr="007766C1">
        <w:t xml:space="preserve"> sensors, big data and artificial intelligence to build a </w:t>
      </w:r>
      <w:r w:rsidR="0005234B">
        <w:t>SMART</w:t>
      </w:r>
      <w:r w:rsidRPr="007766C1">
        <w:t xml:space="preserve">, </w:t>
      </w:r>
      <w:r w:rsidR="00B2601B" w:rsidRPr="007766C1">
        <w:t>remotely operated</w:t>
      </w:r>
      <w:r w:rsidRPr="007766C1">
        <w:t xml:space="preserve"> water network.</w:t>
      </w:r>
      <w:r w:rsidR="009B1B25">
        <w:t xml:space="preserve">  This will also drive a step change in network efficiency. </w:t>
      </w:r>
      <w:r w:rsidRPr="007766C1">
        <w:t xml:space="preserve"> Our long-term aim is to develop and trial innovative tariffs with our customers to work collaboratively with them towards long-term behaviour change.</w:t>
      </w:r>
    </w:p>
    <w:p w:rsidR="00E56F8B" w:rsidRPr="00E56F8B" w:rsidRDefault="00E56F8B" w:rsidP="00E56F8B">
      <w:pPr>
        <w:rPr>
          <w:b/>
        </w:rPr>
      </w:pPr>
      <w:r w:rsidRPr="00E56F8B">
        <w:rPr>
          <w:b/>
        </w:rPr>
        <w:t>Our vision for the environment</w:t>
      </w:r>
    </w:p>
    <w:p w:rsidR="00E56F8B" w:rsidRPr="007766C1" w:rsidRDefault="00E56F8B" w:rsidP="00E56F8B">
      <w:r w:rsidRPr="007766C1">
        <w:t>Our vision is to</w:t>
      </w:r>
      <w:r>
        <w:t xml:space="preserve"> achieve this great customer service and secure reliable, high-quality water resources, while improving</w:t>
      </w:r>
      <w:r w:rsidRPr="007766C1">
        <w:t xml:space="preserve"> habitats and ecosystems through responsible stewardship.</w:t>
      </w:r>
    </w:p>
    <w:p w:rsidR="001E0DCD" w:rsidRDefault="00E56F8B" w:rsidP="001E0DCD">
      <w:r w:rsidRPr="007766C1">
        <w:t xml:space="preserve">We operate in a region with unique chalk stream habitats and through our innovative catchment management programme, </w:t>
      </w:r>
      <w:r>
        <w:t xml:space="preserve">which includes </w:t>
      </w:r>
      <w:r w:rsidRPr="007766C1">
        <w:t xml:space="preserve">payments </w:t>
      </w:r>
      <w:r>
        <w:t>for ecosystem services</w:t>
      </w:r>
      <w:r w:rsidR="009B1B25">
        <w:t xml:space="preserve"> and a biodiversity grant scheme</w:t>
      </w:r>
      <w:r>
        <w:t>, we</w:t>
      </w:r>
      <w:r w:rsidR="009B1B25">
        <w:t xml:space="preserve"> wi</w:t>
      </w:r>
      <w:r>
        <w:t xml:space="preserve">ll </w:t>
      </w:r>
      <w:r w:rsidRPr="007766C1">
        <w:t xml:space="preserve">mitigate a rising nitrate trend and enhance </w:t>
      </w:r>
      <w:r w:rsidR="009B1B25">
        <w:t xml:space="preserve">ecosystems </w:t>
      </w:r>
      <w:r w:rsidRPr="007766C1">
        <w:t>biodiversity.</w:t>
      </w:r>
      <w:r w:rsidR="001E0DCD">
        <w:br w:type="page"/>
      </w:r>
    </w:p>
    <w:p w:rsidR="00A73A0F" w:rsidRDefault="00A73A0F" w:rsidP="00E73674">
      <w:pPr>
        <w:pStyle w:val="Heading1"/>
      </w:pPr>
      <w:bookmarkStart w:id="8" w:name="_Toc522199965"/>
      <w:bookmarkStart w:id="9" w:name="_Toc522200062"/>
      <w:bookmarkStart w:id="10" w:name="_Toc523651231"/>
      <w:r>
        <w:t xml:space="preserve">Customer </w:t>
      </w:r>
      <w:r w:rsidR="00791BF9">
        <w:t>E</w:t>
      </w:r>
      <w:r>
        <w:t xml:space="preserve">ngagement </w:t>
      </w:r>
      <w:r w:rsidR="00791BF9">
        <w:t>O</w:t>
      </w:r>
      <w:r>
        <w:t>verview</w:t>
      </w:r>
      <w:bookmarkEnd w:id="8"/>
      <w:bookmarkEnd w:id="9"/>
      <w:bookmarkEnd w:id="10"/>
    </w:p>
    <w:p w:rsidR="000558DE" w:rsidRPr="00EE4A9F" w:rsidRDefault="000558DE" w:rsidP="000558DE">
      <w:pPr>
        <w:rPr>
          <w:rFonts w:cs="Arial"/>
          <w:b/>
        </w:rPr>
      </w:pPr>
      <w:r w:rsidRPr="00F912F8">
        <w:rPr>
          <w:rFonts w:cs="Arial"/>
          <w:b/>
          <w:u w:val="single"/>
        </w:rPr>
        <w:t>Introduction</w:t>
      </w:r>
    </w:p>
    <w:p w:rsidR="000558DE" w:rsidRPr="00EE4A9F" w:rsidRDefault="000558DE" w:rsidP="000558DE">
      <w:pPr>
        <w:rPr>
          <w:rFonts w:cs="Arial"/>
        </w:rPr>
      </w:pPr>
      <w:r>
        <w:rPr>
          <w:rFonts w:cs="Arial"/>
        </w:rPr>
        <w:t>Understanding customer</w:t>
      </w:r>
      <w:r w:rsidRPr="00EE4A9F">
        <w:rPr>
          <w:rFonts w:cs="Arial"/>
        </w:rPr>
        <w:t>s</w:t>
      </w:r>
      <w:r>
        <w:rPr>
          <w:rFonts w:cs="Arial"/>
        </w:rPr>
        <w:t>’</w:t>
      </w:r>
      <w:r w:rsidRPr="00EE4A9F">
        <w:rPr>
          <w:rFonts w:cs="Arial"/>
        </w:rPr>
        <w:t xml:space="preserve"> priorities and </w:t>
      </w:r>
      <w:r>
        <w:rPr>
          <w:rFonts w:cs="Arial"/>
        </w:rPr>
        <w:t xml:space="preserve">continuously improving how we work </w:t>
      </w:r>
      <w:r w:rsidRPr="00EE4A9F">
        <w:rPr>
          <w:rFonts w:cs="Arial"/>
        </w:rPr>
        <w:t>to meet changing customer expectations is part of</w:t>
      </w:r>
      <w:r>
        <w:rPr>
          <w:rFonts w:cs="Arial"/>
        </w:rPr>
        <w:t xml:space="preserve"> our</w:t>
      </w:r>
      <w:r w:rsidRPr="00EE4A9F">
        <w:rPr>
          <w:rFonts w:cs="Arial"/>
        </w:rPr>
        <w:t xml:space="preserve"> </w:t>
      </w:r>
      <w:r>
        <w:rPr>
          <w:rFonts w:cs="Arial"/>
        </w:rPr>
        <w:t>‘</w:t>
      </w:r>
      <w:r w:rsidRPr="00EE4A9F">
        <w:rPr>
          <w:rFonts w:cs="Arial"/>
        </w:rPr>
        <w:t>business as usual</w:t>
      </w:r>
      <w:r>
        <w:rPr>
          <w:rFonts w:cs="Arial"/>
        </w:rPr>
        <w:t>’</w:t>
      </w:r>
      <w:r w:rsidRPr="00EE4A9F">
        <w:rPr>
          <w:rFonts w:cs="Arial"/>
        </w:rPr>
        <w:t>.</w:t>
      </w:r>
    </w:p>
    <w:p w:rsidR="000558DE" w:rsidRPr="00EE4A9F" w:rsidRDefault="000558DE" w:rsidP="000558DE">
      <w:pPr>
        <w:rPr>
          <w:rFonts w:cs="Arial"/>
        </w:rPr>
      </w:pPr>
      <w:r w:rsidRPr="00EE4A9F">
        <w:rPr>
          <w:rFonts w:cs="Arial"/>
        </w:rPr>
        <w:t xml:space="preserve">Our annual Institute of Customer Service customer and staff survey, annual Developer Survey, Quarterly SIM survey and ongoing analysis of contacts and complaints </w:t>
      </w:r>
      <w:r>
        <w:rPr>
          <w:rFonts w:cs="Arial"/>
        </w:rPr>
        <w:t xml:space="preserve">and compliments, (including </w:t>
      </w:r>
      <w:r w:rsidR="00C12F28">
        <w:rPr>
          <w:rFonts w:cs="Arial"/>
        </w:rPr>
        <w:t>s</w:t>
      </w:r>
      <w:r>
        <w:rPr>
          <w:rFonts w:cs="Arial"/>
        </w:rPr>
        <w:t xml:space="preserve">ocial </w:t>
      </w:r>
      <w:r w:rsidR="00C12F28">
        <w:rPr>
          <w:rFonts w:cs="Arial"/>
        </w:rPr>
        <w:t>m</w:t>
      </w:r>
      <w:r>
        <w:rPr>
          <w:rFonts w:cs="Arial"/>
        </w:rPr>
        <w:t xml:space="preserve">edia), </w:t>
      </w:r>
      <w:r w:rsidRPr="00EE4A9F">
        <w:rPr>
          <w:rFonts w:cs="Arial"/>
        </w:rPr>
        <w:t xml:space="preserve">are the principal means by which we seek to understand what matters to customers and revise our </w:t>
      </w:r>
      <w:r>
        <w:rPr>
          <w:rFonts w:cs="Arial"/>
        </w:rPr>
        <w:t>service offering to meet</w:t>
      </w:r>
      <w:r w:rsidRPr="00EE4A9F">
        <w:rPr>
          <w:rFonts w:cs="Arial"/>
        </w:rPr>
        <w:t xml:space="preserve"> changing priorities.</w:t>
      </w:r>
    </w:p>
    <w:p w:rsidR="000558DE" w:rsidRDefault="000558DE" w:rsidP="000558DE">
      <w:pPr>
        <w:rPr>
          <w:rFonts w:cs="Arial"/>
        </w:rPr>
      </w:pPr>
      <w:r>
        <w:rPr>
          <w:rFonts w:cs="Arial"/>
        </w:rPr>
        <w:t>W</w:t>
      </w:r>
      <w:r w:rsidRPr="00EE4A9F">
        <w:rPr>
          <w:rFonts w:cs="Arial"/>
        </w:rPr>
        <w:t xml:space="preserve">hilst ongoing </w:t>
      </w:r>
      <w:r>
        <w:rPr>
          <w:rFonts w:cs="Arial"/>
        </w:rPr>
        <w:t xml:space="preserve">customer </w:t>
      </w:r>
      <w:r w:rsidRPr="00EE4A9F">
        <w:rPr>
          <w:rFonts w:cs="Arial"/>
        </w:rPr>
        <w:t>engagement shapes the way that we operate, significant additional research and engagement is required for our long term planning.  It is in preparation for the Business Plan, Water Resources Management Plan and</w:t>
      </w:r>
      <w:r>
        <w:rPr>
          <w:rFonts w:cs="Arial"/>
        </w:rPr>
        <w:t xml:space="preserve"> </w:t>
      </w:r>
      <w:r w:rsidRPr="00EE4A9F">
        <w:rPr>
          <w:rFonts w:cs="Arial"/>
        </w:rPr>
        <w:t>Drought Plan</w:t>
      </w:r>
      <w:r w:rsidR="00D931CA">
        <w:rPr>
          <w:rFonts w:cs="Arial"/>
        </w:rPr>
        <w:t xml:space="preserve"> that</w:t>
      </w:r>
      <w:r w:rsidRPr="00EE4A9F" w:rsidDel="000F7478">
        <w:rPr>
          <w:rFonts w:cs="Arial"/>
        </w:rPr>
        <w:t xml:space="preserve"> </w:t>
      </w:r>
      <w:r>
        <w:rPr>
          <w:rFonts w:cs="Arial"/>
        </w:rPr>
        <w:t>there is a step change</w:t>
      </w:r>
      <w:r w:rsidRPr="00EE4A9F">
        <w:rPr>
          <w:rFonts w:cs="Arial"/>
        </w:rPr>
        <w:t xml:space="preserve"> </w:t>
      </w:r>
      <w:r w:rsidR="00D931CA">
        <w:rPr>
          <w:rFonts w:cs="Arial"/>
        </w:rPr>
        <w:t xml:space="preserve">in </w:t>
      </w:r>
      <w:r w:rsidRPr="00EE4A9F">
        <w:rPr>
          <w:rFonts w:cs="Arial"/>
        </w:rPr>
        <w:t>our engagement</w:t>
      </w:r>
      <w:r w:rsidR="00DD322F">
        <w:rPr>
          <w:rFonts w:cs="Arial"/>
        </w:rPr>
        <w:t xml:space="preserve">, with insight sought from over 10% of our customers.  </w:t>
      </w:r>
      <w:r>
        <w:rPr>
          <w:rFonts w:cs="Arial"/>
        </w:rPr>
        <w:t xml:space="preserve">This </w:t>
      </w:r>
      <w:r w:rsidRPr="00EE4A9F">
        <w:rPr>
          <w:rFonts w:cs="Arial"/>
        </w:rPr>
        <w:t>enable</w:t>
      </w:r>
      <w:r>
        <w:rPr>
          <w:rFonts w:cs="Arial"/>
        </w:rPr>
        <w:t>s</w:t>
      </w:r>
      <w:r w:rsidRPr="00EE4A9F">
        <w:rPr>
          <w:rFonts w:cs="Arial"/>
        </w:rPr>
        <w:t xml:space="preserve"> us to create </w:t>
      </w:r>
      <w:r>
        <w:rPr>
          <w:rFonts w:cs="Arial"/>
        </w:rPr>
        <w:t>ambitious</w:t>
      </w:r>
      <w:r w:rsidRPr="00EE4A9F">
        <w:rPr>
          <w:rFonts w:cs="Arial"/>
        </w:rPr>
        <w:t xml:space="preserve"> plans that are</w:t>
      </w:r>
      <w:r>
        <w:rPr>
          <w:rFonts w:cs="Arial"/>
        </w:rPr>
        <w:t xml:space="preserve"> truly</w:t>
      </w:r>
      <w:r w:rsidRPr="00EE4A9F">
        <w:rPr>
          <w:rFonts w:cs="Arial"/>
        </w:rPr>
        <w:t xml:space="preserve"> shaped by customers and stakeholders.  Research enables us to produce plans that deliver </w:t>
      </w:r>
      <w:r>
        <w:rPr>
          <w:rFonts w:cs="Arial"/>
        </w:rPr>
        <w:t>the outcomes that customers’ value</w:t>
      </w:r>
      <w:r w:rsidRPr="00EE4A9F">
        <w:rPr>
          <w:rFonts w:cs="Arial"/>
        </w:rPr>
        <w:t xml:space="preserve"> at a</w:t>
      </w:r>
      <w:r>
        <w:rPr>
          <w:rFonts w:cs="Arial"/>
        </w:rPr>
        <w:t>n affordable</w:t>
      </w:r>
      <w:r w:rsidRPr="00EE4A9F">
        <w:rPr>
          <w:rFonts w:cs="Arial"/>
        </w:rPr>
        <w:t xml:space="preserve"> price that they consider represents good value for money.</w:t>
      </w:r>
    </w:p>
    <w:p w:rsidR="00A563F8" w:rsidRDefault="00A563F8" w:rsidP="000558DE">
      <w:pPr>
        <w:rPr>
          <w:rFonts w:cs="Arial"/>
        </w:rPr>
      </w:pPr>
      <w:r>
        <w:rPr>
          <w:rFonts w:cs="Arial"/>
        </w:rPr>
        <w:t>We have embraced ‘Tapped In’ with our approach facilitating active customer participation.</w:t>
      </w:r>
    </w:p>
    <w:p w:rsidR="000558DE" w:rsidRPr="00EE4A9F" w:rsidRDefault="000558DE" w:rsidP="000558DE">
      <w:pPr>
        <w:rPr>
          <w:rFonts w:cs="Arial"/>
          <w:b/>
        </w:rPr>
      </w:pPr>
      <w:r w:rsidRPr="00F912F8">
        <w:rPr>
          <w:rFonts w:cs="Arial"/>
          <w:b/>
          <w:u w:val="single"/>
        </w:rPr>
        <w:t>The Planning Cycle</w:t>
      </w:r>
    </w:p>
    <w:p w:rsidR="000558DE" w:rsidRPr="00EE4A9F" w:rsidRDefault="000558DE" w:rsidP="000558DE">
      <w:pPr>
        <w:rPr>
          <w:rFonts w:cs="Arial"/>
        </w:rPr>
      </w:pPr>
      <w:r w:rsidRPr="00EE4A9F">
        <w:rPr>
          <w:rFonts w:cs="Arial"/>
        </w:rPr>
        <w:t xml:space="preserve">In preparing this Business Plan we have undertaken </w:t>
      </w:r>
      <w:r>
        <w:rPr>
          <w:rFonts w:cs="Arial"/>
        </w:rPr>
        <w:t xml:space="preserve">significantly </w:t>
      </w:r>
      <w:r w:rsidRPr="00EE4A9F">
        <w:rPr>
          <w:rFonts w:cs="Arial"/>
        </w:rPr>
        <w:t>more eng</w:t>
      </w:r>
      <w:r>
        <w:rPr>
          <w:rFonts w:cs="Arial"/>
        </w:rPr>
        <w:t>agement, and in different forms, than any previous plan.</w:t>
      </w:r>
    </w:p>
    <w:p w:rsidR="000558DE" w:rsidRDefault="000558DE" w:rsidP="000558DE">
      <w:pPr>
        <w:rPr>
          <w:rFonts w:cs="Arial"/>
        </w:rPr>
      </w:pPr>
      <w:r w:rsidRPr="00EE4A9F">
        <w:rPr>
          <w:rFonts w:cs="Arial"/>
        </w:rPr>
        <w:t>Illustrated below is the planning cycle that we</w:t>
      </w:r>
      <w:r>
        <w:rPr>
          <w:rFonts w:cs="Arial"/>
        </w:rPr>
        <w:t xml:space="preserve"> use.  For many </w:t>
      </w:r>
      <w:r w:rsidR="005A73F6">
        <w:rPr>
          <w:rFonts w:cs="Arial"/>
        </w:rPr>
        <w:t>topics,</w:t>
      </w:r>
      <w:r>
        <w:rPr>
          <w:rFonts w:cs="Arial"/>
        </w:rPr>
        <w:t xml:space="preserve"> we have frequently cycled through these engagement stages for several iterations as we probed and explored customers’ views.  </w:t>
      </w:r>
    </w:p>
    <w:p w:rsidR="005738FA" w:rsidRDefault="000558DE" w:rsidP="001E0DCD">
      <w:pPr>
        <w:jc w:val="center"/>
        <w:rPr>
          <w:rFonts w:cs="Arial"/>
        </w:rPr>
      </w:pPr>
      <w:r w:rsidRPr="00EE4A9F">
        <w:rPr>
          <w:rFonts w:cs="Arial"/>
          <w:noProof/>
        </w:rPr>
        <w:drawing>
          <wp:inline distT="0" distB="0" distL="0" distR="0" wp14:anchorId="1EA1A1DC" wp14:editId="39CB2973">
            <wp:extent cx="4561882" cy="3108960"/>
            <wp:effectExtent l="0" t="0" r="0" b="0"/>
            <wp:docPr id="3816" name="Picture 3816" descr="C:\Users\PAB\AppData\Local\Microsoft\Windows\INetCache\Content.Outlook\XVPHO9BO\INFINITY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AppData\Local\Microsoft\Windows\INetCache\Content.Outlook\XVPHO9BO\INFINITY GRAPHI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2009" cy="3143122"/>
                    </a:xfrm>
                    <a:prstGeom prst="rect">
                      <a:avLst/>
                    </a:prstGeom>
                    <a:noFill/>
                    <a:ln>
                      <a:noFill/>
                    </a:ln>
                  </pic:spPr>
                </pic:pic>
              </a:graphicData>
            </a:graphic>
          </wp:inline>
        </w:drawing>
      </w:r>
      <w:r w:rsidR="005738FA">
        <w:rPr>
          <w:rFonts w:cs="Arial"/>
        </w:rPr>
        <w:br w:type="page"/>
      </w:r>
    </w:p>
    <w:p w:rsidR="000558DE" w:rsidRPr="00F912F8" w:rsidRDefault="000558DE" w:rsidP="000558DE">
      <w:pPr>
        <w:rPr>
          <w:rFonts w:cs="Arial"/>
        </w:rPr>
      </w:pPr>
      <w:r w:rsidRPr="00F912F8">
        <w:rPr>
          <w:rFonts w:cs="Arial"/>
        </w:rPr>
        <w:t>We have</w:t>
      </w:r>
      <w:r>
        <w:rPr>
          <w:rFonts w:cs="Arial"/>
        </w:rPr>
        <w:t xml:space="preserve"> drawn out some of the important elements of this process</w:t>
      </w:r>
      <w:r w:rsidR="00C12F28">
        <w:rPr>
          <w:rFonts w:cs="Arial"/>
        </w:rPr>
        <w:t xml:space="preserve"> below.</w:t>
      </w:r>
    </w:p>
    <w:p w:rsidR="000558DE" w:rsidRPr="005F24CD" w:rsidRDefault="000558DE" w:rsidP="000558DE">
      <w:pPr>
        <w:rPr>
          <w:rFonts w:cs="Arial"/>
          <w:b/>
        </w:rPr>
      </w:pPr>
      <w:r>
        <w:rPr>
          <w:rFonts w:cs="Arial"/>
          <w:b/>
        </w:rPr>
        <w:t>‘</w:t>
      </w:r>
      <w:r w:rsidRPr="005F24CD">
        <w:rPr>
          <w:rFonts w:cs="Arial"/>
          <w:b/>
        </w:rPr>
        <w:t xml:space="preserve">Learn </w:t>
      </w:r>
      <w:r>
        <w:rPr>
          <w:rFonts w:cs="Arial"/>
          <w:b/>
        </w:rPr>
        <w:t>&amp;</w:t>
      </w:r>
      <w:r w:rsidRPr="005F24CD">
        <w:rPr>
          <w:rFonts w:cs="Arial"/>
          <w:b/>
        </w:rPr>
        <w:t xml:space="preserve"> Understand</w:t>
      </w:r>
      <w:r>
        <w:rPr>
          <w:rFonts w:cs="Arial"/>
          <w:b/>
        </w:rPr>
        <w:t>’</w:t>
      </w:r>
    </w:p>
    <w:p w:rsidR="000558DE" w:rsidRPr="00EE4A9F" w:rsidRDefault="000558DE" w:rsidP="000558DE">
      <w:pPr>
        <w:rPr>
          <w:rFonts w:cs="Arial"/>
        </w:rPr>
      </w:pPr>
      <w:r w:rsidRPr="00EE4A9F">
        <w:rPr>
          <w:rFonts w:cs="Arial"/>
          <w:b/>
        </w:rPr>
        <w:t xml:space="preserve">Objectives </w:t>
      </w:r>
      <w:r w:rsidRPr="00EE4A9F">
        <w:rPr>
          <w:rFonts w:cs="Arial"/>
        </w:rPr>
        <w:t xml:space="preserve">– Objectives were set at the start of the business plan process and for each individual piece of </w:t>
      </w:r>
      <w:r w:rsidR="00B2601B" w:rsidRPr="00EE4A9F">
        <w:rPr>
          <w:rFonts w:cs="Arial"/>
        </w:rPr>
        <w:t>work</w:t>
      </w:r>
      <w:r w:rsidR="00B2601B">
        <w:rPr>
          <w:rFonts w:cs="Arial"/>
        </w:rPr>
        <w:t>, which</w:t>
      </w:r>
      <w:r>
        <w:rPr>
          <w:rFonts w:cs="Arial"/>
        </w:rPr>
        <w:t xml:space="preserve"> was critical to ensuring the appropriate focus</w:t>
      </w:r>
      <w:r w:rsidRPr="00EE4A9F">
        <w:rPr>
          <w:rFonts w:cs="Arial"/>
        </w:rPr>
        <w:t xml:space="preserve">. </w:t>
      </w:r>
    </w:p>
    <w:p w:rsidR="000558DE" w:rsidRPr="00EE4A9F" w:rsidRDefault="000558DE" w:rsidP="000558DE">
      <w:pPr>
        <w:rPr>
          <w:rFonts w:cs="Arial"/>
        </w:rPr>
      </w:pPr>
      <w:r w:rsidRPr="00EE4A9F">
        <w:rPr>
          <w:rFonts w:cs="Arial"/>
          <w:b/>
        </w:rPr>
        <w:t>Plan</w:t>
      </w:r>
      <w:r w:rsidRPr="00EE4A9F">
        <w:rPr>
          <w:rFonts w:cs="Arial"/>
        </w:rPr>
        <w:t xml:space="preserve"> – Gaining genuine insight requires </w:t>
      </w:r>
      <w:r>
        <w:rPr>
          <w:rFonts w:cs="Arial"/>
        </w:rPr>
        <w:t xml:space="preserve">careful </w:t>
      </w:r>
      <w:r w:rsidRPr="00EE4A9F">
        <w:rPr>
          <w:rFonts w:cs="Arial"/>
        </w:rPr>
        <w:t>p</w:t>
      </w:r>
      <w:r>
        <w:rPr>
          <w:rFonts w:cs="Arial"/>
        </w:rPr>
        <w:t>lanning. Research is not a one size fits all activity.  Different techniques need to be utilised to get to the heart of matters and to cater for different customer types.</w:t>
      </w:r>
    </w:p>
    <w:p w:rsidR="000558DE" w:rsidRPr="00EE4A9F" w:rsidRDefault="000558DE" w:rsidP="000558DE">
      <w:pPr>
        <w:rPr>
          <w:rFonts w:cs="Arial"/>
        </w:rPr>
      </w:pPr>
      <w:r w:rsidRPr="00EE4A9F">
        <w:rPr>
          <w:rFonts w:cs="Arial"/>
          <w:b/>
        </w:rPr>
        <w:t>What? , When? , How?</w:t>
      </w:r>
      <w:r w:rsidRPr="00EE4A9F">
        <w:rPr>
          <w:rFonts w:cs="Arial"/>
        </w:rPr>
        <w:t xml:space="preserve"> – It is </w:t>
      </w:r>
      <w:r w:rsidR="005A73F6" w:rsidRPr="00EE4A9F">
        <w:rPr>
          <w:rFonts w:cs="Arial"/>
        </w:rPr>
        <w:t>essential</w:t>
      </w:r>
      <w:r w:rsidRPr="00EE4A9F">
        <w:rPr>
          <w:rFonts w:cs="Arial"/>
        </w:rPr>
        <w:t xml:space="preserve"> that customer priorities are understood.  This can only be done by engaging with the right customers in the right way.  We worked with </w:t>
      </w:r>
      <w:r w:rsidR="00C12F28">
        <w:rPr>
          <w:rFonts w:cs="Arial"/>
        </w:rPr>
        <w:t xml:space="preserve">our </w:t>
      </w:r>
      <w:r w:rsidRPr="00EE4A9F">
        <w:rPr>
          <w:rFonts w:cs="Arial"/>
        </w:rPr>
        <w:t xml:space="preserve">CCG, to review research </w:t>
      </w:r>
      <w:r>
        <w:rPr>
          <w:rFonts w:cs="Arial"/>
        </w:rPr>
        <w:t xml:space="preserve">approaches </w:t>
      </w:r>
      <w:r w:rsidRPr="00EE4A9F">
        <w:rPr>
          <w:rFonts w:cs="Arial"/>
        </w:rPr>
        <w:t>and objectives to ensure that we achieved representative feedback on a wide variety of topics that matter to customers.</w:t>
      </w:r>
    </w:p>
    <w:p w:rsidR="000558DE" w:rsidRPr="00EE4A9F" w:rsidRDefault="000558DE" w:rsidP="000558DE">
      <w:pPr>
        <w:rPr>
          <w:rFonts w:cs="Arial"/>
        </w:rPr>
      </w:pPr>
      <w:r>
        <w:rPr>
          <w:rFonts w:cs="Arial"/>
        </w:rPr>
        <w:t>B</w:t>
      </w:r>
      <w:r w:rsidRPr="00EE4A9F">
        <w:rPr>
          <w:rFonts w:cs="Arial"/>
        </w:rPr>
        <w:t xml:space="preserve">elow is the range of topics, customer groups and methods used to gain the insight that we </w:t>
      </w:r>
      <w:r w:rsidR="00B34754">
        <w:rPr>
          <w:rFonts w:cs="Arial"/>
        </w:rPr>
        <w:t>used</w:t>
      </w:r>
      <w:r w:rsidRPr="00EE4A9F">
        <w:rPr>
          <w:rFonts w:cs="Arial"/>
        </w:rPr>
        <w:t xml:space="preserve"> to develop our</w:t>
      </w:r>
      <w:r>
        <w:rPr>
          <w:rFonts w:cs="Arial"/>
        </w:rPr>
        <w:t xml:space="preserve"> Business P</w:t>
      </w:r>
      <w:r w:rsidR="00294E3E">
        <w:rPr>
          <w:rFonts w:cs="Arial"/>
        </w:rPr>
        <w:t xml:space="preserve">lan.  Never before have </w:t>
      </w:r>
      <w:r w:rsidRPr="00EE4A9F">
        <w:rPr>
          <w:rFonts w:cs="Arial"/>
        </w:rPr>
        <w:t>we engaged so widely, innovatively, or in as much depth, as we have for this planning process.</w:t>
      </w:r>
    </w:p>
    <w:p w:rsidR="005738FA" w:rsidRDefault="00590833" w:rsidP="001E0DCD">
      <w:pPr>
        <w:jc w:val="center"/>
        <w:rPr>
          <w:rFonts w:cs="Arial"/>
          <w:b/>
        </w:rPr>
      </w:pPr>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382.5pt">
            <v:imagedata r:id="rId20" o:title="BUSINESS PLAN VENN DIAGRAM"/>
          </v:shape>
        </w:pict>
      </w:r>
      <w:r w:rsidR="005738FA">
        <w:rPr>
          <w:rFonts w:cs="Arial"/>
          <w:b/>
        </w:rPr>
        <w:br w:type="page"/>
      </w:r>
    </w:p>
    <w:p w:rsidR="000558DE" w:rsidRDefault="000558DE" w:rsidP="000558DE">
      <w:pPr>
        <w:rPr>
          <w:rFonts w:cs="Arial"/>
          <w:b/>
        </w:rPr>
      </w:pPr>
      <w:r>
        <w:rPr>
          <w:rFonts w:cs="Arial"/>
          <w:b/>
        </w:rPr>
        <w:t>‘</w:t>
      </w:r>
      <w:r w:rsidRPr="005F24CD">
        <w:rPr>
          <w:rFonts w:cs="Arial"/>
          <w:b/>
        </w:rPr>
        <w:t xml:space="preserve">Analyse </w:t>
      </w:r>
      <w:r>
        <w:rPr>
          <w:rFonts w:cs="Arial"/>
          <w:b/>
        </w:rPr>
        <w:t>&amp;</w:t>
      </w:r>
      <w:r w:rsidRPr="005F24CD">
        <w:rPr>
          <w:rFonts w:cs="Arial"/>
          <w:b/>
        </w:rPr>
        <w:t xml:space="preserve"> Discover</w:t>
      </w:r>
      <w:r>
        <w:rPr>
          <w:rFonts w:cs="Arial"/>
          <w:b/>
        </w:rPr>
        <w:t>’</w:t>
      </w:r>
    </w:p>
    <w:p w:rsidR="000558DE" w:rsidRPr="00EE4A9F" w:rsidRDefault="000558DE" w:rsidP="000558DE">
      <w:pPr>
        <w:rPr>
          <w:rFonts w:cs="Arial"/>
        </w:rPr>
      </w:pPr>
      <w:r w:rsidRPr="00EE4A9F">
        <w:rPr>
          <w:rFonts w:cs="Arial"/>
          <w:b/>
        </w:rPr>
        <w:t>Insight</w:t>
      </w:r>
      <w:r w:rsidRPr="00EE4A9F">
        <w:rPr>
          <w:rFonts w:cs="Arial"/>
        </w:rPr>
        <w:t xml:space="preserve"> – Each engagement activity produced insight.  Whilst, the thing that matter</w:t>
      </w:r>
      <w:r>
        <w:rPr>
          <w:rFonts w:cs="Arial"/>
        </w:rPr>
        <w:t>s</w:t>
      </w:r>
      <w:r w:rsidRPr="00EE4A9F">
        <w:rPr>
          <w:rFonts w:cs="Arial"/>
        </w:rPr>
        <w:t xml:space="preserve"> most to </w:t>
      </w:r>
      <w:r>
        <w:rPr>
          <w:rFonts w:cs="Arial"/>
        </w:rPr>
        <w:t xml:space="preserve">our </w:t>
      </w:r>
      <w:r w:rsidRPr="00EE4A9F">
        <w:rPr>
          <w:rFonts w:cs="Arial"/>
        </w:rPr>
        <w:t>customers, a safe, secure and reliable water supply, has not changed</w:t>
      </w:r>
      <w:r>
        <w:rPr>
          <w:rFonts w:cs="Arial"/>
        </w:rPr>
        <w:t>,</w:t>
      </w:r>
      <w:r w:rsidRPr="00EE4A9F">
        <w:rPr>
          <w:rFonts w:cs="Arial"/>
        </w:rPr>
        <w:t xml:space="preserve"> the views of different customer groups does vary.  It is only by listening to a wide cross section of customers, and/or th</w:t>
      </w:r>
      <w:r>
        <w:rPr>
          <w:rFonts w:cs="Arial"/>
        </w:rPr>
        <w:t>eir representatives that we could</w:t>
      </w:r>
      <w:r w:rsidRPr="00EE4A9F">
        <w:rPr>
          <w:rFonts w:cs="Arial"/>
        </w:rPr>
        <w:t xml:space="preserve"> produce a rounded plan. </w:t>
      </w:r>
    </w:p>
    <w:p w:rsidR="000558DE" w:rsidRDefault="000558DE" w:rsidP="000558DE">
      <w:pPr>
        <w:rPr>
          <w:rFonts w:cs="Arial"/>
        </w:rPr>
      </w:pPr>
      <w:r w:rsidRPr="00EE4A9F">
        <w:rPr>
          <w:rFonts w:cs="Arial"/>
          <w:b/>
        </w:rPr>
        <w:t>Triangulate</w:t>
      </w:r>
      <w:r w:rsidRPr="00EE4A9F">
        <w:rPr>
          <w:rFonts w:cs="Arial"/>
        </w:rPr>
        <w:t>- Triangulating different sources of data has allowed us to better understand customer’s priorities.  Where triangulation suggests that one source of data may not be truly representative we have undertaken further work to better understand customer priorities.</w:t>
      </w:r>
      <w:r>
        <w:rPr>
          <w:rFonts w:cs="Arial"/>
        </w:rPr>
        <w:t xml:space="preserve">  We used a range of internal and external data sources to triangulate.</w:t>
      </w:r>
      <w:r w:rsidRPr="00EE4A9F">
        <w:rPr>
          <w:rFonts w:cs="Arial"/>
        </w:rPr>
        <w:t xml:space="preserve">  </w:t>
      </w:r>
      <w:r w:rsidR="00C12F28">
        <w:rPr>
          <w:rFonts w:cs="Arial"/>
        </w:rPr>
        <w:t>Appendix 2.1 summarises our research and triangulation.</w:t>
      </w:r>
    </w:p>
    <w:p w:rsidR="000558DE" w:rsidRPr="00EE4A9F" w:rsidRDefault="000558DE" w:rsidP="000558DE">
      <w:pPr>
        <w:rPr>
          <w:rFonts w:cs="Arial"/>
        </w:rPr>
      </w:pPr>
      <w:r w:rsidRPr="00243640">
        <w:rPr>
          <w:rFonts w:cs="Arial"/>
          <w:b/>
        </w:rPr>
        <w:t>Draw Conclusions</w:t>
      </w:r>
      <w:r w:rsidRPr="00EE4A9F">
        <w:rPr>
          <w:rFonts w:cs="Arial"/>
        </w:rPr>
        <w:t xml:space="preserve"> – The o</w:t>
      </w:r>
      <w:r>
        <w:rPr>
          <w:rFonts w:cs="Arial"/>
        </w:rPr>
        <w:t>utputs from customer engagement activity</w:t>
      </w:r>
      <w:r w:rsidRPr="00EE4A9F">
        <w:rPr>
          <w:rFonts w:cs="Arial"/>
        </w:rPr>
        <w:t xml:space="preserve"> </w:t>
      </w:r>
      <w:r>
        <w:rPr>
          <w:rFonts w:cs="Arial"/>
        </w:rPr>
        <w:t>(</w:t>
      </w:r>
      <w:r w:rsidRPr="00EE4A9F">
        <w:rPr>
          <w:rFonts w:cs="Arial"/>
        </w:rPr>
        <w:t xml:space="preserve">having been reviewed, triangulated and </w:t>
      </w:r>
      <w:r>
        <w:rPr>
          <w:rFonts w:cs="Arial"/>
        </w:rPr>
        <w:t xml:space="preserve">where needed, </w:t>
      </w:r>
      <w:r w:rsidRPr="00EE4A9F">
        <w:rPr>
          <w:rFonts w:cs="Arial"/>
        </w:rPr>
        <w:t>subjected to follow on work</w:t>
      </w:r>
      <w:r>
        <w:rPr>
          <w:rFonts w:cs="Arial"/>
        </w:rPr>
        <w:t>)</w:t>
      </w:r>
      <w:r w:rsidRPr="00EE4A9F">
        <w:rPr>
          <w:rFonts w:cs="Arial"/>
        </w:rPr>
        <w:t>, together allow us to draw conclusions.  In drawing conclusions</w:t>
      </w:r>
      <w:r w:rsidR="00C12F28">
        <w:rPr>
          <w:rFonts w:cs="Arial"/>
        </w:rPr>
        <w:t>,</w:t>
      </w:r>
      <w:r w:rsidRPr="00EE4A9F">
        <w:rPr>
          <w:rFonts w:cs="Arial"/>
        </w:rPr>
        <w:t xml:space="preserve"> the research method, number of respondents, whether work was q</w:t>
      </w:r>
      <w:r>
        <w:rPr>
          <w:rFonts w:cs="Arial"/>
        </w:rPr>
        <w:t>ualitative or quantitative has</w:t>
      </w:r>
      <w:r w:rsidRPr="00EE4A9F">
        <w:rPr>
          <w:rFonts w:cs="Arial"/>
        </w:rPr>
        <w:t xml:space="preserve"> all to be taken into account. </w:t>
      </w:r>
    </w:p>
    <w:p w:rsidR="000558DE" w:rsidRPr="00EE4A9F" w:rsidRDefault="000558DE" w:rsidP="000558DE">
      <w:pPr>
        <w:rPr>
          <w:rFonts w:cs="Arial"/>
        </w:rPr>
      </w:pPr>
      <w:r w:rsidRPr="00243640">
        <w:rPr>
          <w:rFonts w:cs="Arial"/>
          <w:b/>
        </w:rPr>
        <w:t>Quick Wins</w:t>
      </w:r>
      <w:r w:rsidRPr="00EE4A9F">
        <w:rPr>
          <w:rFonts w:cs="Arial"/>
        </w:rPr>
        <w:t xml:space="preserve"> – Customer engagement does not just inform long term planning, and if the outcomes desired by customers can be delivered without significant cost, or in a cost beneficial way, then they should not wait for the next AMP.  </w:t>
      </w:r>
      <w:r>
        <w:rPr>
          <w:rFonts w:cs="Arial"/>
        </w:rPr>
        <w:t>Our</w:t>
      </w:r>
      <w:r w:rsidRPr="00EE4A9F">
        <w:rPr>
          <w:rFonts w:cs="Arial"/>
        </w:rPr>
        <w:t xml:space="preserve"> research has helped develop business cases for service improvements that have </w:t>
      </w:r>
      <w:r>
        <w:rPr>
          <w:rFonts w:cs="Arial"/>
        </w:rPr>
        <w:t xml:space="preserve">already </w:t>
      </w:r>
      <w:r w:rsidRPr="00EE4A9F">
        <w:rPr>
          <w:rFonts w:cs="Arial"/>
        </w:rPr>
        <w:t>been implemented, and will continue to be implemented, on an o</w:t>
      </w:r>
      <w:r w:rsidR="00294E3E">
        <w:rPr>
          <w:rFonts w:cs="Arial"/>
        </w:rPr>
        <w:t>ngoing basis. Examples include:</w:t>
      </w:r>
    </w:p>
    <w:p w:rsidR="000558DE" w:rsidRPr="00EE4A9F" w:rsidRDefault="000558DE" w:rsidP="00B73C0A">
      <w:pPr>
        <w:pStyle w:val="Bullets"/>
      </w:pPr>
      <w:r w:rsidRPr="00EE4A9F">
        <w:t>Introduction of PayPoint.  Our customers told us they want the flexibility to pay our bill at convenient</w:t>
      </w:r>
      <w:r>
        <w:t xml:space="preserve"> locations.</w:t>
      </w:r>
      <w:r w:rsidRPr="00EE4A9F">
        <w:t xml:space="preserve"> </w:t>
      </w:r>
    </w:p>
    <w:p w:rsidR="000558DE" w:rsidRPr="00EE4A9F" w:rsidRDefault="000558DE" w:rsidP="00B73C0A">
      <w:pPr>
        <w:pStyle w:val="Bullets"/>
      </w:pPr>
      <w:r w:rsidRPr="00EE4A9F">
        <w:t>Introduction of Livechat.</w:t>
      </w:r>
      <w:r>
        <w:t xml:space="preserve"> A number of engagement findings indicate</w:t>
      </w:r>
      <w:r w:rsidRPr="00EE4A9F">
        <w:t>, customers felt our on-line offering needed modernisation.  Livechat has been introduced in response to this and has the added benefit of providing resilience against the impact of a telecoms failure, as it is not dependent upon the telephone network.</w:t>
      </w:r>
    </w:p>
    <w:p w:rsidR="000558DE" w:rsidRPr="00EE4A9F" w:rsidRDefault="000558DE" w:rsidP="00B73C0A">
      <w:pPr>
        <w:pStyle w:val="Bullets"/>
      </w:pPr>
      <w:r w:rsidRPr="00EE4A9F">
        <w:t>Web-site improvements to lay out and content as a result of feedback from a survey of organisations that assist customers at times of vulnerability.  Simple changes can significantly improve the accessibility of information to customers with certain types of vulnerability.</w:t>
      </w:r>
    </w:p>
    <w:p w:rsidR="000558DE" w:rsidRDefault="000558DE" w:rsidP="00B73C0A">
      <w:pPr>
        <w:pStyle w:val="Bullets"/>
      </w:pPr>
      <w:r w:rsidRPr="00EE4A9F">
        <w:t>In</w:t>
      </w:r>
      <w:r w:rsidR="00B34754">
        <w:t>troducing</w:t>
      </w:r>
      <w:r w:rsidRPr="00EE4A9F">
        <w:t xml:space="preserve"> on-line </w:t>
      </w:r>
      <w:r w:rsidR="00B2601B" w:rsidRPr="00EE4A9F">
        <w:t>self-service</w:t>
      </w:r>
      <w:r w:rsidRPr="00EE4A9F">
        <w:t xml:space="preserve"> capability to meet the requirements of those</w:t>
      </w:r>
      <w:r w:rsidR="00B34754">
        <w:t xml:space="preserve"> customers that wish to interact in this way in April 2019.</w:t>
      </w:r>
    </w:p>
    <w:p w:rsidR="00B34754" w:rsidRDefault="00B34754" w:rsidP="00B73C0A">
      <w:pPr>
        <w:pStyle w:val="Bullets"/>
      </w:pPr>
      <w:r>
        <w:t>Improving communication regarding mains renewals.</w:t>
      </w:r>
    </w:p>
    <w:p w:rsidR="00B73C0A" w:rsidRPr="00EE4A9F" w:rsidRDefault="00B73C0A" w:rsidP="00B73C0A">
      <w:pPr>
        <w:pStyle w:val="Bullets"/>
        <w:numPr>
          <w:ilvl w:val="0"/>
          <w:numId w:val="0"/>
        </w:numPr>
        <w:ind w:left="1848"/>
      </w:pPr>
    </w:p>
    <w:p w:rsidR="000558DE" w:rsidRPr="00EE4A9F" w:rsidRDefault="000558DE" w:rsidP="000558DE">
      <w:pPr>
        <w:rPr>
          <w:rFonts w:cs="Arial"/>
        </w:rPr>
      </w:pPr>
      <w:r w:rsidRPr="00EE4A9F">
        <w:rPr>
          <w:rFonts w:cs="Arial"/>
          <w:b/>
        </w:rPr>
        <w:t>CCG Challenge</w:t>
      </w:r>
      <w:r w:rsidRPr="00EE4A9F">
        <w:rPr>
          <w:rFonts w:cs="Arial"/>
        </w:rPr>
        <w:t xml:space="preserve"> – Throughout the </w:t>
      </w:r>
      <w:r w:rsidR="00294E3E" w:rsidRPr="00EE4A9F">
        <w:rPr>
          <w:rFonts w:cs="Arial"/>
        </w:rPr>
        <w:t>process,</w:t>
      </w:r>
      <w:r w:rsidRPr="00EE4A9F">
        <w:rPr>
          <w:rFonts w:cs="Arial"/>
        </w:rPr>
        <w:t xml:space="preserve"> the CCG has challenged our plan and engagement to satisfy itself that the plan is built on </w:t>
      </w:r>
      <w:r>
        <w:rPr>
          <w:rFonts w:cs="Arial"/>
        </w:rPr>
        <w:t xml:space="preserve">sound </w:t>
      </w:r>
      <w:r w:rsidRPr="00EE4A9F">
        <w:rPr>
          <w:rFonts w:cs="Arial"/>
        </w:rPr>
        <w:t xml:space="preserve">customer engagement.  </w:t>
      </w:r>
      <w:r w:rsidR="00294E3E">
        <w:rPr>
          <w:rFonts w:cs="Arial"/>
        </w:rPr>
        <w:t>Examples of challenges include:</w:t>
      </w:r>
    </w:p>
    <w:p w:rsidR="000558DE" w:rsidRPr="00EE4A9F" w:rsidRDefault="000558DE" w:rsidP="00B73C0A">
      <w:pPr>
        <w:pStyle w:val="Bullets"/>
      </w:pPr>
      <w:r w:rsidRPr="00EE4A9F">
        <w:t xml:space="preserve">Showing customer support for </w:t>
      </w:r>
      <w:r w:rsidR="0005234B">
        <w:t>two</w:t>
      </w:r>
      <w:r w:rsidRPr="00EE4A9F">
        <w:t xml:space="preserve"> </w:t>
      </w:r>
      <w:r w:rsidR="00A11EF3">
        <w:t>a</w:t>
      </w:r>
      <w:r w:rsidRPr="00EE4A9F">
        <w:t xml:space="preserve">sset </w:t>
      </w:r>
      <w:r w:rsidR="00A11EF3">
        <w:t>h</w:t>
      </w:r>
      <w:r w:rsidRPr="00EE4A9F">
        <w:t xml:space="preserve">ealth </w:t>
      </w:r>
      <w:r w:rsidR="00964B14">
        <w:t>Performance Commitments</w:t>
      </w:r>
      <w:r w:rsidRPr="00EE4A9F">
        <w:t xml:space="preserve"> and the bespoke </w:t>
      </w:r>
      <w:r w:rsidR="00A11EF3">
        <w:t>b</w:t>
      </w:r>
      <w:r w:rsidRPr="00EE4A9F">
        <w:t>iodiversity commitment.</w:t>
      </w:r>
    </w:p>
    <w:p w:rsidR="000558DE" w:rsidRDefault="00B34754" w:rsidP="00B73C0A">
      <w:pPr>
        <w:pStyle w:val="Bullets"/>
      </w:pPr>
      <w:r>
        <w:t>Challenge on metering strategy</w:t>
      </w:r>
    </w:p>
    <w:p w:rsidR="00934560" w:rsidRDefault="00934560" w:rsidP="00B73C0A">
      <w:pPr>
        <w:pStyle w:val="Bullets"/>
      </w:pPr>
      <w:r>
        <w:t>Challenge on use of technology and innovation in leakage strategy</w:t>
      </w:r>
    </w:p>
    <w:p w:rsidR="00C12F28" w:rsidRDefault="00C12F28" w:rsidP="00B73C0A">
      <w:pPr>
        <w:pStyle w:val="Bullets"/>
      </w:pPr>
      <w:r>
        <w:t>The CCG challenge log-in included within this report</w:t>
      </w:r>
    </w:p>
    <w:p w:rsidR="00B73C0A" w:rsidRPr="00EE4A9F" w:rsidRDefault="00B73C0A" w:rsidP="00B73C0A">
      <w:pPr>
        <w:pStyle w:val="Bullets"/>
        <w:numPr>
          <w:ilvl w:val="0"/>
          <w:numId w:val="0"/>
        </w:numPr>
        <w:ind w:left="1848"/>
      </w:pPr>
    </w:p>
    <w:p w:rsidR="000558DE" w:rsidRDefault="000558DE" w:rsidP="000558DE">
      <w:pPr>
        <w:rPr>
          <w:rFonts w:cs="Arial"/>
          <w:b/>
        </w:rPr>
      </w:pPr>
      <w:r w:rsidRPr="00243640">
        <w:rPr>
          <w:rFonts w:cs="Arial"/>
          <w:b/>
        </w:rPr>
        <w:t xml:space="preserve">Optimise </w:t>
      </w:r>
      <w:r>
        <w:rPr>
          <w:rFonts w:cs="Arial"/>
          <w:b/>
        </w:rPr>
        <w:t>&amp;</w:t>
      </w:r>
      <w:r w:rsidR="00B34754">
        <w:rPr>
          <w:rFonts w:cs="Arial"/>
          <w:b/>
        </w:rPr>
        <w:t xml:space="preserve"> </w:t>
      </w:r>
      <w:r w:rsidRPr="00243640">
        <w:rPr>
          <w:rFonts w:cs="Arial"/>
          <w:b/>
        </w:rPr>
        <w:t>App</w:t>
      </w:r>
      <w:r>
        <w:rPr>
          <w:rFonts w:cs="Arial"/>
          <w:b/>
        </w:rPr>
        <w:t>rove</w:t>
      </w:r>
    </w:p>
    <w:p w:rsidR="000558DE" w:rsidRPr="001A6007" w:rsidRDefault="000558DE" w:rsidP="000558DE">
      <w:pPr>
        <w:rPr>
          <w:rFonts w:cs="Arial"/>
        </w:rPr>
      </w:pPr>
      <w:r>
        <w:rPr>
          <w:rFonts w:cs="Arial"/>
          <w:b/>
        </w:rPr>
        <w:t xml:space="preserve">Optimise </w:t>
      </w:r>
      <w:r>
        <w:rPr>
          <w:rFonts w:cs="Arial"/>
        </w:rPr>
        <w:t xml:space="preserve">- Optimisation applies both to individual elements of the plan and the plan overall.  Modelling and expert opinion were used to build an overall plan that best delivers what matters to customers.  </w:t>
      </w:r>
    </w:p>
    <w:p w:rsidR="000558DE" w:rsidRPr="003323B0" w:rsidRDefault="000558DE" w:rsidP="000558DE">
      <w:pPr>
        <w:rPr>
          <w:rFonts w:cs="Arial"/>
          <w:i/>
        </w:rPr>
      </w:pPr>
      <w:r>
        <w:rPr>
          <w:rFonts w:cs="Arial"/>
          <w:b/>
        </w:rPr>
        <w:t xml:space="preserve">Governance </w:t>
      </w:r>
      <w:r>
        <w:rPr>
          <w:rFonts w:cs="Arial"/>
        </w:rPr>
        <w:t xml:space="preserve">– </w:t>
      </w:r>
      <w:r w:rsidR="00294E3E">
        <w:rPr>
          <w:rFonts w:cs="Arial"/>
        </w:rPr>
        <w:t>T</w:t>
      </w:r>
      <w:r w:rsidR="00A11EF3">
        <w:rPr>
          <w:rFonts w:cs="Arial"/>
        </w:rPr>
        <w:t>he Board and CCG have provided g</w:t>
      </w:r>
      <w:r w:rsidR="00294E3E">
        <w:rPr>
          <w:rFonts w:cs="Arial"/>
        </w:rPr>
        <w:t>overnance within the planning cycle</w:t>
      </w:r>
      <w:r>
        <w:rPr>
          <w:rFonts w:cs="Arial"/>
        </w:rPr>
        <w:t>. PR19 has been a standing Board item since</w:t>
      </w:r>
      <w:r w:rsidR="00934560">
        <w:rPr>
          <w:rFonts w:cs="Arial"/>
        </w:rPr>
        <w:t xml:space="preserve"> July 2017</w:t>
      </w:r>
      <w:r>
        <w:rPr>
          <w:rFonts w:cs="Arial"/>
        </w:rPr>
        <w:t xml:space="preserve">, with progress, RAG ratings, engagement update and topic specific papers being considered every month.  </w:t>
      </w:r>
      <w:r w:rsidR="00D931CA">
        <w:rPr>
          <w:rFonts w:cs="Arial"/>
        </w:rPr>
        <w:t xml:space="preserve">The Board have challenged management throughout this process.  </w:t>
      </w:r>
      <w:r>
        <w:rPr>
          <w:rFonts w:cs="Arial"/>
        </w:rPr>
        <w:t>A non-executive director also attends CCG meetings as part of the governance process.</w:t>
      </w:r>
    </w:p>
    <w:p w:rsidR="000558DE" w:rsidRPr="002E6F44" w:rsidRDefault="000558DE" w:rsidP="000558DE">
      <w:pPr>
        <w:rPr>
          <w:rFonts w:cs="Arial"/>
        </w:rPr>
      </w:pPr>
      <w:r>
        <w:rPr>
          <w:rFonts w:cs="Arial"/>
          <w:b/>
        </w:rPr>
        <w:t xml:space="preserve">Assurance </w:t>
      </w:r>
      <w:r w:rsidR="00B34754">
        <w:rPr>
          <w:rFonts w:cs="Arial"/>
        </w:rPr>
        <w:t>– Both Board assuranc</w:t>
      </w:r>
      <w:r w:rsidR="00B506B3">
        <w:rPr>
          <w:rFonts w:cs="Arial"/>
        </w:rPr>
        <w:t>e and independent experts.</w:t>
      </w:r>
    </w:p>
    <w:p w:rsidR="000558DE" w:rsidRPr="001940F4" w:rsidRDefault="000558DE" w:rsidP="000558DE">
      <w:pPr>
        <w:rPr>
          <w:rFonts w:cs="Arial"/>
        </w:rPr>
      </w:pPr>
      <w:r>
        <w:rPr>
          <w:rFonts w:cs="Arial"/>
          <w:b/>
        </w:rPr>
        <w:t xml:space="preserve">Business Plan </w:t>
      </w:r>
      <w:r>
        <w:rPr>
          <w:rFonts w:cs="Arial"/>
        </w:rPr>
        <w:t>–</w:t>
      </w:r>
      <w:r w:rsidRPr="001940F4">
        <w:rPr>
          <w:rFonts w:cs="Arial"/>
        </w:rPr>
        <w:t xml:space="preserve"> </w:t>
      </w:r>
      <w:r>
        <w:rPr>
          <w:rFonts w:cs="Arial"/>
        </w:rPr>
        <w:t xml:space="preserve">summarising and articulating what customers want, translated into a package of actions that will deliver great outcomes. </w:t>
      </w:r>
    </w:p>
    <w:p w:rsidR="000558DE" w:rsidRPr="000A2CFB" w:rsidRDefault="000558DE" w:rsidP="000558DE">
      <w:pPr>
        <w:rPr>
          <w:rFonts w:cs="Arial"/>
        </w:rPr>
      </w:pPr>
      <w:r>
        <w:rPr>
          <w:rFonts w:cs="Arial"/>
          <w:b/>
        </w:rPr>
        <w:t xml:space="preserve">Customer Acceptance </w:t>
      </w:r>
      <w:r>
        <w:rPr>
          <w:rFonts w:cs="Arial"/>
        </w:rPr>
        <w:t xml:space="preserve">– </w:t>
      </w:r>
      <w:r w:rsidR="00294E3E">
        <w:rPr>
          <w:rFonts w:cs="Arial"/>
        </w:rPr>
        <w:t>having created a plan,</w:t>
      </w:r>
      <w:r>
        <w:rPr>
          <w:rFonts w:cs="Arial"/>
        </w:rPr>
        <w:t xml:space="preserve"> we needed to ensure that the overall package works for </w:t>
      </w:r>
      <w:r w:rsidR="00B2601B">
        <w:rPr>
          <w:rFonts w:cs="Arial"/>
        </w:rPr>
        <w:t>customers, which</w:t>
      </w:r>
      <w:r>
        <w:rPr>
          <w:rFonts w:cs="Arial"/>
        </w:rPr>
        <w:t xml:space="preserve"> was achieved through a phase of acceptance testing.</w:t>
      </w:r>
    </w:p>
    <w:p w:rsidR="000558DE" w:rsidRDefault="000558DE" w:rsidP="000558DE">
      <w:pPr>
        <w:rPr>
          <w:rFonts w:cs="Arial"/>
          <w:b/>
        </w:rPr>
      </w:pPr>
      <w:r>
        <w:rPr>
          <w:rFonts w:cs="Arial"/>
          <w:b/>
        </w:rPr>
        <w:t>‘</w:t>
      </w:r>
      <w:r w:rsidRPr="00243640">
        <w:rPr>
          <w:rFonts w:cs="Arial"/>
          <w:b/>
        </w:rPr>
        <w:t xml:space="preserve">Execute </w:t>
      </w:r>
      <w:r>
        <w:rPr>
          <w:rFonts w:cs="Arial"/>
          <w:b/>
        </w:rPr>
        <w:t>&amp;</w:t>
      </w:r>
      <w:r w:rsidRPr="00243640">
        <w:rPr>
          <w:rFonts w:cs="Arial"/>
          <w:b/>
        </w:rPr>
        <w:t xml:space="preserve"> Del</w:t>
      </w:r>
      <w:r>
        <w:rPr>
          <w:rFonts w:cs="Arial"/>
          <w:b/>
        </w:rPr>
        <w:t>i</w:t>
      </w:r>
      <w:r w:rsidRPr="00243640">
        <w:rPr>
          <w:rFonts w:cs="Arial"/>
          <w:b/>
        </w:rPr>
        <w:t>ver</w:t>
      </w:r>
      <w:r>
        <w:rPr>
          <w:rFonts w:cs="Arial"/>
          <w:b/>
        </w:rPr>
        <w:t xml:space="preserve">’ </w:t>
      </w:r>
    </w:p>
    <w:p w:rsidR="005738FA" w:rsidRDefault="000558DE" w:rsidP="000558DE">
      <w:pPr>
        <w:rPr>
          <w:rFonts w:cs="Arial"/>
        </w:rPr>
      </w:pPr>
      <w:r>
        <w:rPr>
          <w:rFonts w:cs="Arial"/>
        </w:rPr>
        <w:t xml:space="preserve">We will </w:t>
      </w:r>
      <w:r w:rsidR="00C12F28">
        <w:rPr>
          <w:rFonts w:cs="Arial"/>
        </w:rPr>
        <w:t>i</w:t>
      </w:r>
      <w:r>
        <w:rPr>
          <w:rFonts w:cs="Arial"/>
        </w:rPr>
        <w:t>mplement our plan, delivering the things that matter most to customers, with on-going monitoring and review as part of business as usual to ensure that our agreed stretching target</w:t>
      </w:r>
      <w:r w:rsidR="00C12F28">
        <w:rPr>
          <w:rFonts w:cs="Arial"/>
        </w:rPr>
        <w:t>s</w:t>
      </w:r>
      <w:r>
        <w:rPr>
          <w:rFonts w:cs="Arial"/>
        </w:rPr>
        <w:t xml:space="preserve"> are met.</w:t>
      </w:r>
    </w:p>
    <w:p w:rsidR="005738FA" w:rsidRDefault="005738FA">
      <w:pPr>
        <w:tabs>
          <w:tab w:val="clear" w:pos="851"/>
        </w:tabs>
        <w:spacing w:after="0"/>
        <w:ind w:left="0"/>
        <w:jc w:val="left"/>
        <w:rPr>
          <w:rFonts w:cs="Arial"/>
        </w:rPr>
      </w:pPr>
      <w:r>
        <w:rPr>
          <w:rFonts w:cs="Arial"/>
        </w:rPr>
        <w:br w:type="page"/>
      </w:r>
    </w:p>
    <w:p w:rsidR="00DC47B8" w:rsidRDefault="00DC47B8" w:rsidP="00D673AC">
      <w:pPr>
        <w:pStyle w:val="Heading2"/>
      </w:pPr>
      <w:bookmarkStart w:id="11" w:name="_Toc522199966"/>
      <w:bookmarkStart w:id="12" w:name="_Toc522200063"/>
      <w:bookmarkStart w:id="13" w:name="_Toc523651232"/>
      <w:r>
        <w:t>Key Engagement Activities that Shaped our Plan</w:t>
      </w:r>
      <w:bookmarkEnd w:id="11"/>
      <w:bookmarkEnd w:id="12"/>
      <w:bookmarkEnd w:id="13"/>
    </w:p>
    <w:p w:rsidR="00E4328D" w:rsidRDefault="00AE7C3C" w:rsidP="00E4328D">
      <w:pPr>
        <w:rPr>
          <w:rFonts w:cs="Arial"/>
        </w:rPr>
      </w:pPr>
      <w:r w:rsidRPr="00AE7C3C">
        <w:rPr>
          <w:noProof/>
        </w:rPr>
        <w:drawing>
          <wp:inline distT="0" distB="0" distL="0" distR="0">
            <wp:extent cx="5638800" cy="82900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5705" cy="8300198"/>
                    </a:xfrm>
                    <a:prstGeom prst="rect">
                      <a:avLst/>
                    </a:prstGeom>
                    <a:noFill/>
                    <a:ln>
                      <a:noFill/>
                    </a:ln>
                  </pic:spPr>
                </pic:pic>
              </a:graphicData>
            </a:graphic>
          </wp:inline>
        </w:drawing>
      </w:r>
      <w:r w:rsidR="00E4328D">
        <w:rPr>
          <w:rFonts w:cs="Arial"/>
        </w:rPr>
        <w:br w:type="page"/>
      </w:r>
    </w:p>
    <w:p w:rsidR="00DE0DD9" w:rsidRDefault="00DE0DD9" w:rsidP="00DE0DD9">
      <w:pPr>
        <w:rPr>
          <w:rFonts w:cs="Arial"/>
        </w:rPr>
      </w:pPr>
      <w:r>
        <w:rPr>
          <w:rFonts w:cs="Arial"/>
        </w:rPr>
        <w:t xml:space="preserve">Engagement is part of business as usual for us, with customer insight and </w:t>
      </w:r>
      <w:r w:rsidR="00B2601B">
        <w:rPr>
          <w:rFonts w:cs="Arial"/>
        </w:rPr>
        <w:t>interactions</w:t>
      </w:r>
      <w:r>
        <w:rPr>
          <w:rFonts w:cs="Arial"/>
        </w:rPr>
        <w:t xml:space="preserve"> driving continuous improvement.</w:t>
      </w:r>
    </w:p>
    <w:p w:rsidR="00DE0DD9" w:rsidRDefault="00DE0DD9" w:rsidP="00DE0DD9">
      <w:pPr>
        <w:rPr>
          <w:rFonts w:cs="Arial"/>
        </w:rPr>
      </w:pPr>
      <w:r>
        <w:rPr>
          <w:rFonts w:cs="Arial"/>
        </w:rPr>
        <w:t xml:space="preserve">However, the business planning process has necessitated greater levels of engagement as we consider </w:t>
      </w:r>
      <w:r w:rsidR="00294E3E">
        <w:rPr>
          <w:rFonts w:cs="Arial"/>
        </w:rPr>
        <w:t>longer-term</w:t>
      </w:r>
      <w:r>
        <w:rPr>
          <w:rFonts w:cs="Arial"/>
        </w:rPr>
        <w:t xml:space="preserve"> issues in more detail.  As illustrated above, we have undertaken some key pieces of work, via focus groups and quantitative surveys, to create a plan that robustly aligns to the </w:t>
      </w:r>
      <w:r w:rsidR="0005234B">
        <w:rPr>
          <w:rFonts w:cs="Arial"/>
        </w:rPr>
        <w:t>O</w:t>
      </w:r>
      <w:r>
        <w:rPr>
          <w:rFonts w:cs="Arial"/>
        </w:rPr>
        <w:t xml:space="preserve">utcomes customers expect and determined the service </w:t>
      </w:r>
      <w:r w:rsidR="0005234B">
        <w:rPr>
          <w:rFonts w:cs="Arial"/>
        </w:rPr>
        <w:t xml:space="preserve">levels </w:t>
      </w:r>
      <w:r>
        <w:rPr>
          <w:rFonts w:cs="Arial"/>
        </w:rPr>
        <w:t>that underpin these c</w:t>
      </w:r>
      <w:r w:rsidR="00732359">
        <w:rPr>
          <w:rFonts w:cs="Arial"/>
        </w:rPr>
        <w:t>ommitments.</w:t>
      </w:r>
    </w:p>
    <w:p w:rsidR="00DE0DD9" w:rsidRDefault="00DE0DD9" w:rsidP="00DE0DD9">
      <w:pPr>
        <w:rPr>
          <w:rFonts w:cs="Arial"/>
        </w:rPr>
      </w:pPr>
      <w:r>
        <w:rPr>
          <w:rFonts w:cs="Arial"/>
        </w:rPr>
        <w:t xml:space="preserve">Alongside these major pieces of </w:t>
      </w:r>
      <w:r w:rsidR="00294E3E">
        <w:rPr>
          <w:rFonts w:cs="Arial"/>
        </w:rPr>
        <w:t>work,</w:t>
      </w:r>
      <w:r>
        <w:rPr>
          <w:rFonts w:cs="Arial"/>
        </w:rPr>
        <w:t xml:space="preserve"> we have targeted smaller pieces of research to gain insight </w:t>
      </w:r>
      <w:r w:rsidR="00294E3E">
        <w:rPr>
          <w:rFonts w:cs="Arial"/>
        </w:rPr>
        <w:t>either from</w:t>
      </w:r>
      <w:r>
        <w:rPr>
          <w:rFonts w:cs="Arial"/>
        </w:rPr>
        <w:t xml:space="preserve"> key customer groups or on key issues.  </w:t>
      </w:r>
      <w:r w:rsidR="00732359">
        <w:rPr>
          <w:rFonts w:cs="Arial"/>
        </w:rPr>
        <w:t xml:space="preserve">We have used innovative approaches to engage with hard to reach customers and future customers. </w:t>
      </w:r>
      <w:r>
        <w:rPr>
          <w:rFonts w:cs="Arial"/>
        </w:rPr>
        <w:t>Findings have then been used to inform the plan, along with wider triangulations that looks at other sources of customer insight and research undertaken by others.</w:t>
      </w:r>
    </w:p>
    <w:p w:rsidR="00DE0DD9" w:rsidRDefault="00DE0DD9" w:rsidP="00DE0DD9">
      <w:pPr>
        <w:rPr>
          <w:rFonts w:cs="Arial"/>
        </w:rPr>
      </w:pPr>
      <w:r>
        <w:rPr>
          <w:rFonts w:cs="Arial"/>
        </w:rPr>
        <w:t xml:space="preserve">In preparing this </w:t>
      </w:r>
      <w:r w:rsidR="00294E3E">
        <w:rPr>
          <w:rFonts w:cs="Arial"/>
        </w:rPr>
        <w:t>plan,</w:t>
      </w:r>
      <w:r>
        <w:rPr>
          <w:rFonts w:cs="Arial"/>
        </w:rPr>
        <w:t xml:space="preserve"> we have directly invited views from over 3</w:t>
      </w:r>
      <w:r w:rsidR="00EC2F8C">
        <w:rPr>
          <w:rFonts w:cs="Arial"/>
        </w:rPr>
        <w:t>8</w:t>
      </w:r>
      <w:r>
        <w:rPr>
          <w:rFonts w:cs="Arial"/>
        </w:rPr>
        <w:t>,000 customers</w:t>
      </w:r>
      <w:r w:rsidR="00DD322F">
        <w:rPr>
          <w:rFonts w:cs="Arial"/>
        </w:rPr>
        <w:t>, which is over 10% of our customer base,</w:t>
      </w:r>
      <w:r>
        <w:rPr>
          <w:rFonts w:cs="Arial"/>
        </w:rPr>
        <w:t xml:space="preserve"> and have received over </w:t>
      </w:r>
      <w:r w:rsidR="00934560">
        <w:rPr>
          <w:rFonts w:cs="Arial"/>
        </w:rPr>
        <w:t>5,</w:t>
      </w:r>
      <w:r w:rsidR="00F836B4">
        <w:rPr>
          <w:rFonts w:cs="Arial"/>
        </w:rPr>
        <w:t>6</w:t>
      </w:r>
      <w:r w:rsidR="00934560">
        <w:rPr>
          <w:rFonts w:cs="Arial"/>
        </w:rPr>
        <w:t>00</w:t>
      </w:r>
      <w:r>
        <w:rPr>
          <w:rFonts w:cs="Arial"/>
        </w:rPr>
        <w:t xml:space="preserve"> responses.</w:t>
      </w:r>
    </w:p>
    <w:p w:rsidR="00891CDD" w:rsidRPr="00891CDD" w:rsidRDefault="00891CDD" w:rsidP="00D673AC">
      <w:pPr>
        <w:pStyle w:val="Heading2"/>
      </w:pPr>
      <w:bookmarkStart w:id="14" w:name="_Toc522199967"/>
      <w:bookmarkStart w:id="15" w:name="_Toc522200064"/>
      <w:bookmarkStart w:id="16" w:name="_Toc523651233"/>
      <w:r w:rsidRPr="00891CDD">
        <w:t>Business Plan Research and Triangulation – Key Messages</w:t>
      </w:r>
      <w:bookmarkEnd w:id="14"/>
      <w:bookmarkEnd w:id="15"/>
      <w:bookmarkEnd w:id="16"/>
    </w:p>
    <w:p w:rsidR="00CC31F6" w:rsidRPr="00891CDD" w:rsidRDefault="00CC31F6" w:rsidP="00CC31F6">
      <w:pPr>
        <w:pStyle w:val="Bullets"/>
      </w:pPr>
      <w:r w:rsidRPr="00891CDD">
        <w:t>Top priority is safe, secure and reliable supply of drinking water</w:t>
      </w:r>
    </w:p>
    <w:p w:rsidR="00891CDD" w:rsidRPr="00891CDD" w:rsidRDefault="00891CDD" w:rsidP="00891CDD">
      <w:pPr>
        <w:pStyle w:val="Bullets"/>
      </w:pPr>
      <w:r w:rsidRPr="00891CDD">
        <w:t>Recognise strong performance and low bills</w:t>
      </w:r>
    </w:p>
    <w:p w:rsidR="00891CDD" w:rsidRPr="00891CDD" w:rsidRDefault="00891CDD" w:rsidP="00891CDD">
      <w:pPr>
        <w:pStyle w:val="Bullets"/>
      </w:pPr>
      <w:r w:rsidRPr="00891CDD">
        <w:t>High levels of satisfaction with our service</w:t>
      </w:r>
    </w:p>
    <w:p w:rsidR="00891CDD" w:rsidRPr="00891CDD" w:rsidRDefault="00891CDD" w:rsidP="00891CDD">
      <w:pPr>
        <w:pStyle w:val="Bullets"/>
      </w:pPr>
      <w:r w:rsidRPr="00891CDD">
        <w:t>High levels of trust</w:t>
      </w:r>
    </w:p>
    <w:p w:rsidR="00891CDD" w:rsidRPr="00891CDD" w:rsidRDefault="00891CDD" w:rsidP="00891CDD">
      <w:pPr>
        <w:pStyle w:val="Bullets"/>
      </w:pPr>
      <w:r w:rsidRPr="00891CDD">
        <w:t>Challenge on leakage ambition</w:t>
      </w:r>
    </w:p>
    <w:p w:rsidR="00891CDD" w:rsidRPr="00891CDD" w:rsidRDefault="00891CDD" w:rsidP="00891CDD">
      <w:pPr>
        <w:pStyle w:val="Bullets"/>
      </w:pPr>
      <w:r w:rsidRPr="00891CDD">
        <w:t>Support for water trading provided Portsmouth Water’s customers not adversely affected</w:t>
      </w:r>
    </w:p>
    <w:p w:rsidR="00891CDD" w:rsidRPr="00891CDD" w:rsidRDefault="00891CDD" w:rsidP="00891CDD">
      <w:pPr>
        <w:pStyle w:val="Bullets"/>
      </w:pPr>
      <w:r w:rsidRPr="00891CDD">
        <w:t>Value environmental enhancement that goes beyond legal responsibilities</w:t>
      </w:r>
    </w:p>
    <w:p w:rsidR="00891CDD" w:rsidRPr="00891CDD" w:rsidRDefault="00891CDD" w:rsidP="00891CDD">
      <w:pPr>
        <w:pStyle w:val="Bullets"/>
      </w:pPr>
      <w:r w:rsidRPr="00891CDD">
        <w:t>Co-create and deliver more water efficiency education</w:t>
      </w:r>
    </w:p>
    <w:p w:rsidR="00891CDD" w:rsidRPr="00891CDD" w:rsidRDefault="00891CDD" w:rsidP="00891CDD">
      <w:pPr>
        <w:pStyle w:val="Bullets"/>
      </w:pPr>
      <w:r w:rsidRPr="00891CDD">
        <w:t>A wide range of views on metering, customers prefer choice rather than compulsion</w:t>
      </w:r>
    </w:p>
    <w:p w:rsidR="00891CDD" w:rsidRPr="00891CDD" w:rsidRDefault="00891CDD" w:rsidP="00891CDD">
      <w:pPr>
        <w:pStyle w:val="Bullets"/>
      </w:pPr>
      <w:r w:rsidRPr="00891CDD">
        <w:t>Support our affordable bills and extending the numbers of customers on a Social Tariff</w:t>
      </w:r>
    </w:p>
    <w:p w:rsidR="00891CDD" w:rsidRPr="00891CDD" w:rsidRDefault="00891CDD" w:rsidP="00891CDD">
      <w:pPr>
        <w:pStyle w:val="Bullets"/>
      </w:pPr>
      <w:r w:rsidRPr="00891CDD">
        <w:t>Expected greater ambition in our vulnerability survey approval rating.</w:t>
      </w:r>
    </w:p>
    <w:p w:rsidR="00891CDD" w:rsidRPr="00891CDD" w:rsidRDefault="00891CDD" w:rsidP="00891CDD">
      <w:pPr>
        <w:pStyle w:val="Bullets"/>
      </w:pPr>
      <w:r w:rsidRPr="00891CDD">
        <w:t xml:space="preserve">See benefits in being supplied by a small local company, supporting a Company </w:t>
      </w:r>
      <w:r w:rsidR="008D2111">
        <w:t xml:space="preserve">Specific </w:t>
      </w:r>
      <w:r w:rsidRPr="00891CDD">
        <w:t>Premium</w:t>
      </w:r>
    </w:p>
    <w:p w:rsidR="00891CDD" w:rsidRPr="00891CDD" w:rsidRDefault="00891CDD" w:rsidP="00891CDD">
      <w:pPr>
        <w:pStyle w:val="Bullets"/>
      </w:pPr>
      <w:r w:rsidRPr="00891CDD">
        <w:t xml:space="preserve">Generally support penalties </w:t>
      </w:r>
      <w:r w:rsidR="00D673AC">
        <w:t>but little support for</w:t>
      </w:r>
      <w:r w:rsidRPr="00891CDD">
        <w:t xml:space="preserve"> rewards</w:t>
      </w:r>
    </w:p>
    <w:p w:rsidR="00891CDD" w:rsidRDefault="00891CDD" w:rsidP="00891CDD">
      <w:pPr>
        <w:pStyle w:val="Bullets"/>
      </w:pPr>
      <w:r w:rsidRPr="00891CDD">
        <w:t>Developers like our responsiveness and accessibility</w:t>
      </w:r>
    </w:p>
    <w:p w:rsidR="00732359" w:rsidRDefault="00732359" w:rsidP="00891CDD">
      <w:pPr>
        <w:pStyle w:val="Bullets"/>
      </w:pPr>
      <w:r>
        <w:t xml:space="preserve">High levels of overall satisfaction with our plan and associated rewards and penalties. </w:t>
      </w:r>
    </w:p>
    <w:p w:rsidR="005738FA" w:rsidRPr="00891CDD" w:rsidRDefault="005738FA" w:rsidP="005738FA">
      <w:pPr>
        <w:pStyle w:val="Bullets"/>
        <w:numPr>
          <w:ilvl w:val="0"/>
          <w:numId w:val="0"/>
        </w:numPr>
        <w:ind w:left="1848"/>
      </w:pPr>
    </w:p>
    <w:p w:rsidR="000558DE" w:rsidRPr="000558DE" w:rsidRDefault="000558DE" w:rsidP="00D673AC">
      <w:pPr>
        <w:pStyle w:val="Heading2"/>
      </w:pPr>
      <w:bookmarkStart w:id="17" w:name="_Toc522199968"/>
      <w:bookmarkStart w:id="18" w:name="_Toc522200065"/>
      <w:bookmarkStart w:id="19" w:name="_Toc523651234"/>
      <w:r w:rsidRPr="000558DE">
        <w:t xml:space="preserve">How has engagement </w:t>
      </w:r>
      <w:r w:rsidR="00B2601B" w:rsidRPr="000558DE">
        <w:t>influenced</w:t>
      </w:r>
      <w:r w:rsidRPr="000558DE">
        <w:t xml:space="preserve"> our Plan</w:t>
      </w:r>
      <w:bookmarkEnd w:id="17"/>
      <w:bookmarkEnd w:id="18"/>
      <w:r w:rsidR="00C12F28">
        <w:t>?</w:t>
      </w:r>
      <w:bookmarkEnd w:id="19"/>
    </w:p>
    <w:p w:rsidR="00ED6865" w:rsidRPr="00EA00D8" w:rsidRDefault="00ED6865" w:rsidP="00ED6865">
      <w:pPr>
        <w:rPr>
          <w:rFonts w:cs="Arial"/>
        </w:rPr>
      </w:pPr>
      <w:r w:rsidRPr="00EA00D8">
        <w:rPr>
          <w:rFonts w:cs="Arial"/>
        </w:rPr>
        <w:t>Customer engagement at PR19 has been broader and more extensive than ever before.</w:t>
      </w:r>
      <w:r w:rsidR="0005234B">
        <w:rPr>
          <w:rFonts w:cs="Arial"/>
        </w:rPr>
        <w:t xml:space="preserve">  </w:t>
      </w:r>
      <w:r w:rsidRPr="00EA00D8">
        <w:rPr>
          <w:rFonts w:cs="Arial"/>
        </w:rPr>
        <w:t>Not only have we sought the views of representative numbers of our customers through targeted research, we have overlaid this with the outcomes of our daily, business-as-usual conversations and engagement with customers.</w:t>
      </w:r>
    </w:p>
    <w:p w:rsidR="00B73C0A" w:rsidRDefault="00ED6865" w:rsidP="00ED6865">
      <w:pPr>
        <w:rPr>
          <w:rFonts w:cs="Arial"/>
        </w:rPr>
      </w:pPr>
      <w:r w:rsidRPr="00EA00D8">
        <w:rPr>
          <w:rFonts w:cs="Arial"/>
        </w:rPr>
        <w:t xml:space="preserve">Below are examples of how our customers’ preferences and priorities have shaped both our plan and services today. Where we </w:t>
      </w:r>
      <w:r w:rsidR="00294E3E" w:rsidRPr="00EA00D8">
        <w:rPr>
          <w:rFonts w:cs="Arial"/>
        </w:rPr>
        <w:t>have not</w:t>
      </w:r>
      <w:r w:rsidRPr="00EA00D8">
        <w:rPr>
          <w:rFonts w:cs="Arial"/>
        </w:rPr>
        <w:t xml:space="preserve"> needed to wait for PR19, we </w:t>
      </w:r>
      <w:r w:rsidR="00732359">
        <w:rPr>
          <w:rFonts w:cs="Arial"/>
        </w:rPr>
        <w:t>continually</w:t>
      </w:r>
      <w:r w:rsidRPr="00EA00D8">
        <w:rPr>
          <w:rFonts w:cs="Arial"/>
        </w:rPr>
        <w:t xml:space="preserve"> act on </w:t>
      </w:r>
      <w:r w:rsidR="00294E3E" w:rsidRPr="00EA00D8">
        <w:rPr>
          <w:rFonts w:cs="Arial"/>
        </w:rPr>
        <w:t>what is</w:t>
      </w:r>
      <w:r w:rsidRPr="00EA00D8">
        <w:rPr>
          <w:rFonts w:cs="Arial"/>
        </w:rPr>
        <w:t xml:space="preserve"> important to our customers.</w:t>
      </w:r>
    </w:p>
    <w:tbl>
      <w:tblPr>
        <w:tblStyle w:val="TableGrid49"/>
        <w:tblW w:w="8788" w:type="dxa"/>
        <w:tblInd w:w="846" w:type="dxa"/>
        <w:tblLook w:val="04A0" w:firstRow="1" w:lastRow="0" w:firstColumn="1" w:lastColumn="0" w:noHBand="0" w:noVBand="1"/>
      </w:tblPr>
      <w:tblGrid>
        <w:gridCol w:w="2268"/>
        <w:gridCol w:w="2977"/>
        <w:gridCol w:w="3543"/>
      </w:tblGrid>
      <w:tr w:rsidR="00ED6865" w:rsidRPr="00AA7447" w:rsidTr="00AA7447">
        <w:tc>
          <w:tcPr>
            <w:tcW w:w="2268" w:type="dxa"/>
            <w:shd w:val="clear" w:color="auto" w:fill="2E74B5" w:themeFill="accent1" w:themeFillShade="BF"/>
          </w:tcPr>
          <w:p w:rsidR="00ED6865" w:rsidRPr="00AA7447" w:rsidRDefault="00ED6865" w:rsidP="00ED6865">
            <w:pPr>
              <w:tabs>
                <w:tab w:val="clear" w:pos="851"/>
              </w:tabs>
              <w:spacing w:after="0"/>
              <w:ind w:left="0"/>
              <w:jc w:val="left"/>
              <w:rPr>
                <w:rFonts w:asciiTheme="minorHAnsi" w:hAnsiTheme="minorHAnsi"/>
                <w:b/>
                <w:color w:val="FFFFFF" w:themeColor="background1"/>
                <w:sz w:val="16"/>
                <w:szCs w:val="16"/>
              </w:rPr>
            </w:pPr>
          </w:p>
        </w:tc>
        <w:tc>
          <w:tcPr>
            <w:tcW w:w="2977" w:type="dxa"/>
            <w:shd w:val="clear" w:color="auto" w:fill="2E74B5" w:themeFill="accent1" w:themeFillShade="BF"/>
          </w:tcPr>
          <w:p w:rsidR="00ED6865" w:rsidRPr="00AA7447" w:rsidRDefault="00ED6865" w:rsidP="00ED6865">
            <w:pPr>
              <w:tabs>
                <w:tab w:val="clear" w:pos="851"/>
              </w:tabs>
              <w:spacing w:after="0"/>
              <w:ind w:left="0"/>
              <w:jc w:val="left"/>
              <w:rPr>
                <w:rFonts w:asciiTheme="minorHAnsi" w:hAnsiTheme="minorHAnsi"/>
                <w:b/>
                <w:color w:val="FFFFFF" w:themeColor="background1"/>
                <w:sz w:val="16"/>
                <w:szCs w:val="16"/>
              </w:rPr>
            </w:pPr>
            <w:r w:rsidRPr="00AA7447">
              <w:rPr>
                <w:rFonts w:asciiTheme="minorHAnsi" w:hAnsiTheme="minorHAnsi"/>
                <w:b/>
                <w:color w:val="FFFFFF" w:themeColor="background1"/>
                <w:sz w:val="16"/>
                <w:szCs w:val="16"/>
              </w:rPr>
              <w:t>They said</w:t>
            </w:r>
          </w:p>
        </w:tc>
        <w:tc>
          <w:tcPr>
            <w:tcW w:w="3543" w:type="dxa"/>
            <w:shd w:val="clear" w:color="auto" w:fill="2E74B5" w:themeFill="accent1" w:themeFillShade="BF"/>
          </w:tcPr>
          <w:p w:rsidR="00ED6865" w:rsidRPr="00AA7447" w:rsidRDefault="00ED6865" w:rsidP="00ED6865">
            <w:pPr>
              <w:tabs>
                <w:tab w:val="clear" w:pos="851"/>
              </w:tabs>
              <w:spacing w:after="0"/>
              <w:ind w:left="0"/>
              <w:jc w:val="left"/>
              <w:rPr>
                <w:rFonts w:asciiTheme="minorHAnsi" w:hAnsiTheme="minorHAnsi"/>
                <w:b/>
                <w:color w:val="FFFFFF" w:themeColor="background1"/>
                <w:sz w:val="16"/>
                <w:szCs w:val="16"/>
              </w:rPr>
            </w:pPr>
            <w:r w:rsidRPr="00AA7447">
              <w:rPr>
                <w:rFonts w:asciiTheme="minorHAnsi" w:hAnsiTheme="minorHAnsi"/>
                <w:b/>
                <w:color w:val="FFFFFF" w:themeColor="background1"/>
                <w:sz w:val="16"/>
                <w:szCs w:val="16"/>
              </w:rPr>
              <w:t>We responded</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Outcomes</w:t>
            </w:r>
          </w:p>
        </w:tc>
        <w:tc>
          <w:tcPr>
            <w:tcW w:w="2977" w:type="dxa"/>
          </w:tcPr>
          <w:p w:rsidR="00ED6865" w:rsidRPr="00ED6865" w:rsidRDefault="00294E3E"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Customers’</w:t>
            </w:r>
            <w:r w:rsidR="00ED6865" w:rsidRPr="00ED6865">
              <w:rPr>
                <w:rFonts w:asciiTheme="minorHAnsi" w:hAnsiTheme="minorHAnsi"/>
                <w:sz w:val="16"/>
                <w:szCs w:val="16"/>
              </w:rPr>
              <w:t xml:space="preserve"> views on outcomes had not changed dramatically since </w:t>
            </w:r>
            <w:r>
              <w:rPr>
                <w:rFonts w:asciiTheme="minorHAnsi" w:hAnsiTheme="minorHAnsi"/>
                <w:sz w:val="16"/>
                <w:szCs w:val="16"/>
              </w:rPr>
              <w:t>PR14.  They told us wha</w:t>
            </w:r>
            <w:r w:rsidR="00ED6865" w:rsidRPr="00ED6865">
              <w:rPr>
                <w:rFonts w:asciiTheme="minorHAnsi" w:hAnsiTheme="minorHAnsi"/>
                <w:sz w:val="16"/>
                <w:szCs w:val="16"/>
              </w:rPr>
              <w:t xml:space="preserve">t was and wasn’t important to them and the relative </w:t>
            </w:r>
            <w:r w:rsidR="00732359" w:rsidRPr="00ED6865">
              <w:rPr>
                <w:rFonts w:asciiTheme="minorHAnsi" w:hAnsiTheme="minorHAnsi"/>
                <w:sz w:val="16"/>
                <w:szCs w:val="16"/>
              </w:rPr>
              <w:t>priorities</w:t>
            </w:r>
            <w:r w:rsidR="00ED6865" w:rsidRPr="00ED6865">
              <w:rPr>
                <w:rFonts w:asciiTheme="minorHAnsi" w:hAnsiTheme="minorHAnsi"/>
                <w:sz w:val="16"/>
                <w:szCs w:val="16"/>
              </w:rPr>
              <w:t xml:space="preserve">.  </w:t>
            </w:r>
          </w:p>
        </w:tc>
        <w:tc>
          <w:tcPr>
            <w:tcW w:w="3543" w:type="dxa"/>
          </w:tcPr>
          <w:p w:rsidR="00ED6865" w:rsidRPr="00ED6865" w:rsidRDefault="00ED6865" w:rsidP="00EC2F8C">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 xml:space="preserve">We evolved our Outcomes in line with customer preferences.  This is explained further in Chapter </w:t>
            </w:r>
            <w:r w:rsidR="00F836B4">
              <w:rPr>
                <w:rFonts w:asciiTheme="minorHAnsi" w:hAnsiTheme="minorHAnsi"/>
                <w:sz w:val="16"/>
                <w:szCs w:val="16"/>
              </w:rPr>
              <w:t>3</w:t>
            </w:r>
            <w:r w:rsidRPr="00ED6865">
              <w:rPr>
                <w:rFonts w:asciiTheme="minorHAnsi" w:hAnsiTheme="minorHAnsi"/>
                <w:sz w:val="16"/>
                <w:szCs w:val="16"/>
              </w:rPr>
              <w:t xml:space="preserve">.  We split one </w:t>
            </w:r>
            <w:r w:rsidR="00EC2F8C">
              <w:rPr>
                <w:rFonts w:asciiTheme="minorHAnsi" w:hAnsiTheme="minorHAnsi"/>
                <w:sz w:val="16"/>
                <w:szCs w:val="16"/>
              </w:rPr>
              <w:t>O</w:t>
            </w:r>
            <w:r w:rsidR="00732359" w:rsidRPr="00ED6865">
              <w:rPr>
                <w:rFonts w:asciiTheme="minorHAnsi" w:hAnsiTheme="minorHAnsi"/>
                <w:sz w:val="16"/>
                <w:szCs w:val="16"/>
              </w:rPr>
              <w:t>utcome</w:t>
            </w:r>
            <w:r w:rsidRPr="00ED6865">
              <w:rPr>
                <w:rFonts w:asciiTheme="minorHAnsi" w:hAnsiTheme="minorHAnsi"/>
                <w:sz w:val="16"/>
                <w:szCs w:val="16"/>
              </w:rPr>
              <w:t xml:space="preserve"> into two more targeted </w:t>
            </w:r>
            <w:r w:rsidR="00294E3E" w:rsidRPr="00ED6865">
              <w:rPr>
                <w:rFonts w:asciiTheme="minorHAnsi" w:hAnsiTheme="minorHAnsi"/>
                <w:sz w:val="16"/>
                <w:szCs w:val="16"/>
              </w:rPr>
              <w:t>ones;</w:t>
            </w:r>
            <w:r w:rsidRPr="00ED6865">
              <w:rPr>
                <w:rFonts w:asciiTheme="minorHAnsi" w:hAnsiTheme="minorHAnsi"/>
                <w:sz w:val="16"/>
                <w:szCs w:val="16"/>
              </w:rPr>
              <w:t xml:space="preserve"> we revised some </w:t>
            </w:r>
            <w:r w:rsidR="00294E3E" w:rsidRPr="00ED6865">
              <w:rPr>
                <w:rFonts w:asciiTheme="minorHAnsi" w:hAnsiTheme="minorHAnsi"/>
                <w:sz w:val="16"/>
                <w:szCs w:val="16"/>
              </w:rPr>
              <w:t>and</w:t>
            </w:r>
            <w:r w:rsidRPr="00ED6865">
              <w:rPr>
                <w:rFonts w:asciiTheme="minorHAnsi" w:hAnsiTheme="minorHAnsi"/>
                <w:sz w:val="16"/>
                <w:szCs w:val="16"/>
              </w:rPr>
              <w:t xml:space="preserve"> removed one </w:t>
            </w:r>
            <w:r w:rsidR="00EC2F8C">
              <w:rPr>
                <w:rFonts w:asciiTheme="minorHAnsi" w:hAnsiTheme="minorHAnsi"/>
                <w:sz w:val="16"/>
                <w:szCs w:val="16"/>
              </w:rPr>
              <w:t>O</w:t>
            </w:r>
            <w:r w:rsidR="00294E3E" w:rsidRPr="00ED6865">
              <w:rPr>
                <w:rFonts w:asciiTheme="minorHAnsi" w:hAnsiTheme="minorHAnsi"/>
                <w:sz w:val="16"/>
                <w:szCs w:val="16"/>
              </w:rPr>
              <w:t>utcome, which</w:t>
            </w:r>
            <w:r w:rsidRPr="00ED6865">
              <w:rPr>
                <w:rFonts w:asciiTheme="minorHAnsi" w:hAnsiTheme="minorHAnsi"/>
                <w:sz w:val="16"/>
                <w:szCs w:val="16"/>
              </w:rPr>
              <w:t xml:space="preserve"> customers felt was not important to them.</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Service level targets</w:t>
            </w:r>
          </w:p>
        </w:tc>
        <w:tc>
          <w:tcPr>
            <w:tcW w:w="2977"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 xml:space="preserve">Customers wanted more </w:t>
            </w:r>
            <w:r w:rsidR="00732359" w:rsidRPr="00ED6865">
              <w:rPr>
                <w:rFonts w:asciiTheme="minorHAnsi" w:hAnsiTheme="minorHAnsi"/>
                <w:sz w:val="16"/>
                <w:szCs w:val="16"/>
              </w:rPr>
              <w:t>stretching</w:t>
            </w:r>
            <w:r w:rsidRPr="00ED6865">
              <w:rPr>
                <w:rFonts w:asciiTheme="minorHAnsi" w:hAnsiTheme="minorHAnsi"/>
                <w:sz w:val="16"/>
                <w:szCs w:val="16"/>
              </w:rPr>
              <w:t xml:space="preserve"> targets for vulnerability and wanted us to deliver more for the environment.  They supported other targets as being </w:t>
            </w:r>
            <w:r w:rsidR="00732359" w:rsidRPr="00ED6865">
              <w:rPr>
                <w:rFonts w:asciiTheme="minorHAnsi" w:hAnsiTheme="minorHAnsi"/>
                <w:sz w:val="16"/>
                <w:szCs w:val="16"/>
              </w:rPr>
              <w:t>stretching</w:t>
            </w:r>
            <w:r w:rsidRPr="00ED6865">
              <w:rPr>
                <w:rFonts w:asciiTheme="minorHAnsi" w:hAnsiTheme="minorHAnsi"/>
                <w:sz w:val="16"/>
                <w:szCs w:val="16"/>
              </w:rPr>
              <w:t>.</w:t>
            </w:r>
          </w:p>
        </w:tc>
        <w:tc>
          <w:tcPr>
            <w:tcW w:w="3543" w:type="dxa"/>
          </w:tcPr>
          <w:p w:rsidR="00ED6865" w:rsidRPr="00ED6865" w:rsidRDefault="00732359" w:rsidP="00ED6865">
            <w:pPr>
              <w:tabs>
                <w:tab w:val="clear" w:pos="851"/>
              </w:tabs>
              <w:spacing w:after="0"/>
              <w:ind w:left="0"/>
              <w:jc w:val="left"/>
              <w:rPr>
                <w:rFonts w:asciiTheme="minorHAnsi" w:hAnsiTheme="minorHAnsi"/>
                <w:sz w:val="16"/>
                <w:szCs w:val="16"/>
              </w:rPr>
            </w:pPr>
            <w:r>
              <w:rPr>
                <w:rFonts w:asciiTheme="minorHAnsi" w:hAnsiTheme="minorHAnsi"/>
                <w:sz w:val="16"/>
                <w:szCs w:val="16"/>
              </w:rPr>
              <w:t>We developed our service level</w:t>
            </w:r>
            <w:r w:rsidR="00ED6865" w:rsidRPr="00ED6865">
              <w:rPr>
                <w:rFonts w:asciiTheme="minorHAnsi" w:hAnsiTheme="minorHAnsi"/>
                <w:sz w:val="16"/>
                <w:szCs w:val="16"/>
              </w:rPr>
              <w:t xml:space="preserve"> targets in line with customer feedback and in particular did more on vulnerability and the </w:t>
            </w:r>
            <w:r w:rsidRPr="00ED6865">
              <w:rPr>
                <w:rFonts w:asciiTheme="minorHAnsi" w:hAnsiTheme="minorHAnsi"/>
                <w:sz w:val="16"/>
                <w:szCs w:val="16"/>
              </w:rPr>
              <w:t>environment</w:t>
            </w:r>
            <w:r w:rsidR="00ED6865" w:rsidRPr="00ED6865">
              <w:rPr>
                <w:rFonts w:asciiTheme="minorHAnsi" w:hAnsiTheme="minorHAnsi"/>
                <w:sz w:val="16"/>
                <w:szCs w:val="16"/>
              </w:rPr>
              <w:t xml:space="preserve">. </w:t>
            </w:r>
            <w:r w:rsidR="00294E3E" w:rsidRPr="00ED6865">
              <w:rPr>
                <w:rFonts w:asciiTheme="minorHAnsi" w:hAnsiTheme="minorHAnsi"/>
                <w:sz w:val="16"/>
                <w:szCs w:val="16"/>
              </w:rPr>
              <w:t>We have</w:t>
            </w:r>
            <w:r w:rsidR="00ED6865" w:rsidRPr="00ED6865">
              <w:rPr>
                <w:rFonts w:asciiTheme="minorHAnsi" w:hAnsiTheme="minorHAnsi"/>
                <w:sz w:val="16"/>
                <w:szCs w:val="16"/>
              </w:rPr>
              <w:t xml:space="preserve"> used an optimisation approach across much of our plan to take into account customer preferences, as well as cost and efficiency, when deciding what to include. </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Water meters</w:t>
            </w:r>
          </w:p>
        </w:tc>
        <w:tc>
          <w:tcPr>
            <w:tcW w:w="2977"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Customers told us they want an option to have a meter or not</w:t>
            </w:r>
            <w:r w:rsidR="00732359">
              <w:rPr>
                <w:rFonts w:asciiTheme="minorHAnsi" w:hAnsiTheme="minorHAnsi"/>
                <w:sz w:val="16"/>
                <w:szCs w:val="16"/>
              </w:rPr>
              <w:t>.</w:t>
            </w:r>
          </w:p>
        </w:tc>
        <w:tc>
          <w:tcPr>
            <w:tcW w:w="3543"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We developed an innovative ‘not-for-revenue’ metering programme to give customers better information about meters, their water use and bills, so they can make more informed choices about their use and moving to metered charges.</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Water efficiency</w:t>
            </w:r>
          </w:p>
        </w:tc>
        <w:tc>
          <w:tcPr>
            <w:tcW w:w="2977"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Customers told us they want to understand more about water efficiency. Our current education approach is not sufficient.</w:t>
            </w:r>
          </w:p>
        </w:tc>
        <w:tc>
          <w:tcPr>
            <w:tcW w:w="3543"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 xml:space="preserve">We have committed to co-creating with customers an enhanced programme of water efficiency awareness and education. </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The environment</w:t>
            </w:r>
          </w:p>
        </w:tc>
        <w:tc>
          <w:tcPr>
            <w:tcW w:w="2977"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Customers say they value us “going above and beyond” for the environment.</w:t>
            </w:r>
          </w:p>
        </w:tc>
        <w:tc>
          <w:tcPr>
            <w:tcW w:w="3543" w:type="dxa"/>
          </w:tcPr>
          <w:p w:rsidR="00ED6865" w:rsidRPr="00ED6865" w:rsidRDefault="00ED6865" w:rsidP="00EC2F8C">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 xml:space="preserve">We have developed bespoke </w:t>
            </w:r>
            <w:r w:rsidR="00964B14">
              <w:rPr>
                <w:rFonts w:asciiTheme="minorHAnsi" w:hAnsiTheme="minorHAnsi"/>
                <w:sz w:val="16"/>
                <w:szCs w:val="16"/>
              </w:rPr>
              <w:t>Performance Commitments</w:t>
            </w:r>
            <w:r w:rsidRPr="00ED6865">
              <w:rPr>
                <w:rFonts w:asciiTheme="minorHAnsi" w:hAnsiTheme="minorHAnsi"/>
                <w:sz w:val="16"/>
                <w:szCs w:val="16"/>
              </w:rPr>
              <w:t xml:space="preserve"> and enhanced the stretch on our environmental service targets.  </w:t>
            </w:r>
            <w:r w:rsidR="00732359" w:rsidRPr="00ED6865">
              <w:rPr>
                <w:rFonts w:asciiTheme="minorHAnsi" w:hAnsiTheme="minorHAnsi"/>
                <w:sz w:val="16"/>
                <w:szCs w:val="16"/>
              </w:rPr>
              <w:t>We</w:t>
            </w:r>
            <w:r w:rsidRPr="00ED6865">
              <w:rPr>
                <w:rFonts w:asciiTheme="minorHAnsi" w:hAnsiTheme="minorHAnsi"/>
                <w:sz w:val="16"/>
                <w:szCs w:val="16"/>
              </w:rPr>
              <w:t xml:space="preserve"> revised our </w:t>
            </w:r>
            <w:r w:rsidR="00EC2F8C">
              <w:rPr>
                <w:rFonts w:asciiTheme="minorHAnsi" w:hAnsiTheme="minorHAnsi"/>
                <w:sz w:val="16"/>
                <w:szCs w:val="16"/>
              </w:rPr>
              <w:t>C</w:t>
            </w:r>
            <w:r w:rsidRPr="00ED6865">
              <w:rPr>
                <w:rFonts w:asciiTheme="minorHAnsi" w:hAnsiTheme="minorHAnsi"/>
                <w:sz w:val="16"/>
                <w:szCs w:val="16"/>
              </w:rPr>
              <w:t xml:space="preserve">atchment </w:t>
            </w:r>
            <w:r w:rsidR="00EC2F8C">
              <w:rPr>
                <w:rFonts w:asciiTheme="minorHAnsi" w:hAnsiTheme="minorHAnsi"/>
                <w:sz w:val="16"/>
                <w:szCs w:val="16"/>
              </w:rPr>
              <w:t>M</w:t>
            </w:r>
            <w:r w:rsidRPr="00ED6865">
              <w:rPr>
                <w:rFonts w:asciiTheme="minorHAnsi" w:hAnsiTheme="minorHAnsi"/>
                <w:sz w:val="16"/>
                <w:szCs w:val="16"/>
              </w:rPr>
              <w:t xml:space="preserve">anagement </w:t>
            </w:r>
            <w:r w:rsidR="00EC2F8C">
              <w:rPr>
                <w:rFonts w:asciiTheme="minorHAnsi" w:hAnsiTheme="minorHAnsi"/>
                <w:sz w:val="16"/>
                <w:szCs w:val="16"/>
              </w:rPr>
              <w:t>P</w:t>
            </w:r>
            <w:r w:rsidRPr="00ED6865">
              <w:rPr>
                <w:rFonts w:asciiTheme="minorHAnsi" w:hAnsiTheme="minorHAnsi"/>
                <w:sz w:val="16"/>
                <w:szCs w:val="16"/>
              </w:rPr>
              <w:t>rogramme to gain additional ecological benefits on farmers’ land.</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Vulnerability</w:t>
            </w:r>
          </w:p>
        </w:tc>
        <w:tc>
          <w:tcPr>
            <w:tcW w:w="2977"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 xml:space="preserve">Customers think </w:t>
            </w:r>
            <w:r w:rsidR="00294E3E" w:rsidRPr="00ED6865">
              <w:rPr>
                <w:rFonts w:asciiTheme="minorHAnsi" w:hAnsiTheme="minorHAnsi"/>
                <w:sz w:val="16"/>
                <w:szCs w:val="16"/>
              </w:rPr>
              <w:t>it is</w:t>
            </w:r>
            <w:r w:rsidRPr="00ED6865">
              <w:rPr>
                <w:rFonts w:asciiTheme="minorHAnsi" w:hAnsiTheme="minorHAnsi"/>
                <w:sz w:val="16"/>
                <w:szCs w:val="16"/>
              </w:rPr>
              <w:t xml:space="preserve"> a good idea for us to measure our support for vulnerable customers through a regular survey, but thought the satisfaction target we suggested was too low. </w:t>
            </w:r>
          </w:p>
        </w:tc>
        <w:tc>
          <w:tcPr>
            <w:tcW w:w="3543" w:type="dxa"/>
          </w:tcPr>
          <w:p w:rsidR="00ED6865" w:rsidRPr="00ED6865" w:rsidRDefault="00294E3E"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We have</w:t>
            </w:r>
            <w:r w:rsidR="00ED6865" w:rsidRPr="00ED6865">
              <w:rPr>
                <w:rFonts w:asciiTheme="minorHAnsi" w:hAnsiTheme="minorHAnsi"/>
                <w:sz w:val="16"/>
                <w:szCs w:val="16"/>
              </w:rPr>
              <w:t xml:space="preserve"> increased our target from 70% to 85% in response to customers’ feedback.</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Customer interaction</w:t>
            </w:r>
          </w:p>
        </w:tc>
        <w:tc>
          <w:tcPr>
            <w:tcW w:w="2977"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Customers want a wider range of ways to interact with us, but they also want to keep the “human touch”.</w:t>
            </w:r>
          </w:p>
        </w:tc>
        <w:tc>
          <w:tcPr>
            <w:tcW w:w="3543"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 xml:space="preserve">We have already responded to introduce more ways for our customers to interact with us, e.g. webchat and twitter.  </w:t>
            </w:r>
            <w:r w:rsidR="00294E3E" w:rsidRPr="00ED6865">
              <w:rPr>
                <w:rFonts w:asciiTheme="minorHAnsi" w:hAnsiTheme="minorHAnsi"/>
                <w:sz w:val="16"/>
                <w:szCs w:val="16"/>
              </w:rPr>
              <w:t>We are</w:t>
            </w:r>
            <w:r w:rsidRPr="00ED6865">
              <w:rPr>
                <w:rFonts w:asciiTheme="minorHAnsi" w:hAnsiTheme="minorHAnsi"/>
                <w:sz w:val="16"/>
                <w:szCs w:val="16"/>
              </w:rPr>
              <w:t xml:space="preserve"> continuing to develop a wider customer service offering.</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Customer service levels</w:t>
            </w:r>
          </w:p>
        </w:tc>
        <w:tc>
          <w:tcPr>
            <w:tcW w:w="2977" w:type="dxa"/>
          </w:tcPr>
          <w:p w:rsidR="00ED6865" w:rsidRPr="00ED6865" w:rsidRDefault="00934560" w:rsidP="00ED6865">
            <w:pPr>
              <w:tabs>
                <w:tab w:val="clear" w:pos="851"/>
              </w:tabs>
              <w:spacing w:after="0"/>
              <w:ind w:left="0"/>
              <w:jc w:val="left"/>
              <w:rPr>
                <w:rFonts w:asciiTheme="minorHAnsi" w:hAnsiTheme="minorHAnsi"/>
                <w:sz w:val="16"/>
                <w:szCs w:val="16"/>
              </w:rPr>
            </w:pPr>
            <w:r>
              <w:rPr>
                <w:rFonts w:asciiTheme="minorHAnsi" w:hAnsiTheme="minorHAnsi"/>
                <w:sz w:val="16"/>
                <w:szCs w:val="16"/>
              </w:rPr>
              <w:t>Modernise communication with e-billing, online account management and smart meters.</w:t>
            </w:r>
          </w:p>
        </w:tc>
        <w:tc>
          <w:tcPr>
            <w:tcW w:w="3543" w:type="dxa"/>
          </w:tcPr>
          <w:p w:rsidR="00ED6865" w:rsidRPr="00ED6865" w:rsidRDefault="00294E3E" w:rsidP="00C12F28">
            <w:pPr>
              <w:tabs>
                <w:tab w:val="clear" w:pos="851"/>
              </w:tabs>
              <w:spacing w:after="0"/>
              <w:ind w:left="0"/>
              <w:jc w:val="left"/>
              <w:rPr>
                <w:rFonts w:asciiTheme="minorHAnsi" w:hAnsiTheme="minorHAnsi"/>
                <w:sz w:val="16"/>
                <w:szCs w:val="16"/>
              </w:rPr>
            </w:pPr>
            <w:r>
              <w:rPr>
                <w:rFonts w:asciiTheme="minorHAnsi" w:hAnsiTheme="minorHAnsi"/>
                <w:sz w:val="16"/>
                <w:szCs w:val="16"/>
              </w:rPr>
              <w:t>E-billing</w:t>
            </w:r>
            <w:r w:rsidR="00934560">
              <w:rPr>
                <w:rFonts w:asciiTheme="minorHAnsi" w:hAnsiTheme="minorHAnsi"/>
                <w:sz w:val="16"/>
                <w:szCs w:val="16"/>
              </w:rPr>
              <w:t xml:space="preserve"> and online account management will be introduced in 2019.  Trial of smart ‘Not for Revenue Meters’ has started and</w:t>
            </w:r>
            <w:r w:rsidR="00C12F28">
              <w:rPr>
                <w:rFonts w:asciiTheme="minorHAnsi" w:hAnsiTheme="minorHAnsi"/>
                <w:sz w:val="16"/>
                <w:szCs w:val="16"/>
              </w:rPr>
              <w:t xml:space="preserve"> these</w:t>
            </w:r>
            <w:r w:rsidR="00934560">
              <w:rPr>
                <w:rFonts w:asciiTheme="minorHAnsi" w:hAnsiTheme="minorHAnsi"/>
                <w:sz w:val="16"/>
                <w:szCs w:val="16"/>
              </w:rPr>
              <w:t xml:space="preserve"> will be rolled out in AMP7.</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Affordability</w:t>
            </w:r>
          </w:p>
        </w:tc>
        <w:tc>
          <w:tcPr>
            <w:tcW w:w="2977"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Our customers have asked us to keep bills low so they are affordable to all. They also want us to provide extra help to those who most need it.</w:t>
            </w:r>
          </w:p>
        </w:tc>
        <w:tc>
          <w:tcPr>
            <w:tcW w:w="3543" w:type="dxa"/>
          </w:tcPr>
          <w:p w:rsidR="00ED6865" w:rsidRPr="00ED6865" w:rsidRDefault="00294E3E"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We have</w:t>
            </w:r>
            <w:r w:rsidR="00ED6865" w:rsidRPr="00ED6865">
              <w:rPr>
                <w:rFonts w:asciiTheme="minorHAnsi" w:hAnsiTheme="minorHAnsi"/>
                <w:sz w:val="16"/>
                <w:szCs w:val="16"/>
              </w:rPr>
              <w:t xml:space="preserve"> planned to keep bills lower in real terms and increase the number of customers on our social tariff to reflect customer preferences.</w:t>
            </w:r>
          </w:p>
        </w:tc>
      </w:tr>
      <w:tr w:rsidR="00ED6865" w:rsidRPr="00ED6865" w:rsidTr="00732359">
        <w:tc>
          <w:tcPr>
            <w:tcW w:w="2268" w:type="dxa"/>
          </w:tcPr>
          <w:p w:rsidR="00ED6865" w:rsidRPr="00ED6865" w:rsidRDefault="00732359"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Resilience</w:t>
            </w:r>
          </w:p>
        </w:tc>
        <w:tc>
          <w:tcPr>
            <w:tcW w:w="2977"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Customers supported enhanced resilience for our company and the region.</w:t>
            </w:r>
          </w:p>
        </w:tc>
        <w:tc>
          <w:tcPr>
            <w:tcW w:w="3543" w:type="dxa"/>
          </w:tcPr>
          <w:p w:rsidR="00ED6865" w:rsidRPr="00ED6865" w:rsidRDefault="00ED6865" w:rsidP="00EC2F8C">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 xml:space="preserve">Customer engagement overwhelmingly supported the development of Havant Thicket </w:t>
            </w:r>
            <w:r w:rsidR="00EC2F8C">
              <w:rPr>
                <w:rFonts w:asciiTheme="minorHAnsi" w:hAnsiTheme="minorHAnsi"/>
                <w:sz w:val="16"/>
                <w:szCs w:val="16"/>
              </w:rPr>
              <w:t>R</w:t>
            </w:r>
            <w:r w:rsidRPr="00ED6865">
              <w:rPr>
                <w:rFonts w:asciiTheme="minorHAnsi" w:hAnsiTheme="minorHAnsi"/>
                <w:sz w:val="16"/>
                <w:szCs w:val="16"/>
              </w:rPr>
              <w:t>eservoir</w:t>
            </w:r>
            <w:r w:rsidR="00EC2F8C">
              <w:rPr>
                <w:rFonts w:asciiTheme="minorHAnsi" w:hAnsiTheme="minorHAnsi"/>
                <w:sz w:val="16"/>
                <w:szCs w:val="16"/>
              </w:rPr>
              <w:t>,</w:t>
            </w:r>
            <w:r w:rsidRPr="00ED6865">
              <w:rPr>
                <w:rFonts w:asciiTheme="minorHAnsi" w:hAnsiTheme="minorHAnsi"/>
                <w:sz w:val="16"/>
                <w:szCs w:val="16"/>
              </w:rPr>
              <w:t xml:space="preserve"> a regional resilience programme.  They also supported our continued </w:t>
            </w:r>
            <w:r w:rsidR="00732359" w:rsidRPr="00ED6865">
              <w:rPr>
                <w:rFonts w:asciiTheme="minorHAnsi" w:hAnsiTheme="minorHAnsi"/>
                <w:sz w:val="16"/>
                <w:szCs w:val="16"/>
              </w:rPr>
              <w:t>programme</w:t>
            </w:r>
            <w:r w:rsidRPr="00ED6865">
              <w:rPr>
                <w:rFonts w:asciiTheme="minorHAnsi" w:hAnsiTheme="minorHAnsi"/>
                <w:sz w:val="16"/>
                <w:szCs w:val="16"/>
              </w:rPr>
              <w:t xml:space="preserve"> to support and enhance resilience for our customers.</w:t>
            </w:r>
          </w:p>
        </w:tc>
      </w:tr>
      <w:tr w:rsidR="00ED6865" w:rsidRPr="00ED6865" w:rsidTr="00732359">
        <w:tc>
          <w:tcPr>
            <w:tcW w:w="2268"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Water softening</w:t>
            </w:r>
          </w:p>
        </w:tc>
        <w:tc>
          <w:tcPr>
            <w:tcW w:w="2977"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Customers wanted us to consider water softening.</w:t>
            </w:r>
          </w:p>
        </w:tc>
        <w:tc>
          <w:tcPr>
            <w:tcW w:w="3543" w:type="dxa"/>
          </w:tcPr>
          <w:p w:rsidR="00ED6865" w:rsidRPr="00ED6865" w:rsidRDefault="00ED6865" w:rsidP="00ED6865">
            <w:pPr>
              <w:tabs>
                <w:tab w:val="clear" w:pos="851"/>
              </w:tabs>
              <w:spacing w:after="0"/>
              <w:ind w:left="0"/>
              <w:jc w:val="left"/>
              <w:rPr>
                <w:rFonts w:asciiTheme="minorHAnsi" w:hAnsiTheme="minorHAnsi"/>
                <w:sz w:val="16"/>
                <w:szCs w:val="16"/>
              </w:rPr>
            </w:pPr>
            <w:r w:rsidRPr="00ED6865">
              <w:rPr>
                <w:rFonts w:asciiTheme="minorHAnsi" w:hAnsiTheme="minorHAnsi"/>
                <w:sz w:val="16"/>
                <w:szCs w:val="16"/>
              </w:rPr>
              <w:t>We carried out research, triangulation and cost benefit analysis, then presented the evidence to customers. Armed with more information they no longer wanted us to pursue water softening.</w:t>
            </w:r>
          </w:p>
        </w:tc>
      </w:tr>
    </w:tbl>
    <w:p w:rsidR="00ED6865" w:rsidRPr="0041757A" w:rsidRDefault="00ED6865" w:rsidP="00C12F28">
      <w:pPr>
        <w:spacing w:after="0"/>
      </w:pPr>
    </w:p>
    <w:p w:rsidR="000558DE" w:rsidRPr="001E0DCD" w:rsidRDefault="00427C3F" w:rsidP="000558DE">
      <w:pPr>
        <w:rPr>
          <w:rFonts w:cs="Arial"/>
          <w:color w:val="2E74B5" w:themeColor="accent1" w:themeShade="BF"/>
        </w:rPr>
      </w:pPr>
      <w:r w:rsidRPr="001E0DCD">
        <w:rPr>
          <w:rFonts w:cs="Arial"/>
          <w:color w:val="2E74B5" w:themeColor="accent1" w:themeShade="BF"/>
        </w:rPr>
        <w:t>Appendices</w:t>
      </w:r>
      <w:r w:rsidR="000558DE" w:rsidRPr="001E0DCD">
        <w:rPr>
          <w:rFonts w:cs="Arial"/>
          <w:color w:val="2E74B5" w:themeColor="accent1" w:themeShade="BF"/>
        </w:rPr>
        <w:t xml:space="preserve"> relevant to this </w:t>
      </w:r>
      <w:r w:rsidR="00982C97">
        <w:rPr>
          <w:rFonts w:cs="Arial"/>
          <w:color w:val="2E74B5" w:themeColor="accent1" w:themeShade="BF"/>
        </w:rPr>
        <w:t>chapter</w:t>
      </w:r>
    </w:p>
    <w:tbl>
      <w:tblPr>
        <w:tblStyle w:val="TableGrid22"/>
        <w:tblW w:w="0" w:type="auto"/>
        <w:jc w:val="center"/>
        <w:tblLook w:val="04A0" w:firstRow="1" w:lastRow="0" w:firstColumn="1" w:lastColumn="0" w:noHBand="0" w:noVBand="1"/>
      </w:tblPr>
      <w:tblGrid>
        <w:gridCol w:w="1838"/>
        <w:gridCol w:w="4173"/>
        <w:gridCol w:w="1922"/>
      </w:tblGrid>
      <w:tr w:rsidR="001E0DCD" w:rsidRPr="001E0DCD" w:rsidTr="00EC2F8C">
        <w:trPr>
          <w:jc w:val="center"/>
        </w:trPr>
        <w:tc>
          <w:tcPr>
            <w:tcW w:w="1838" w:type="dxa"/>
            <w:shd w:val="clear" w:color="auto" w:fill="2E74B5" w:themeFill="accent1" w:themeFillShade="BF"/>
          </w:tcPr>
          <w:p w:rsidR="001E0DCD" w:rsidRPr="001E0DCD" w:rsidRDefault="001E0DCD" w:rsidP="000558DE">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1E0DCD" w:rsidRPr="001E0DCD" w:rsidRDefault="001E0DCD" w:rsidP="000558DE">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922" w:type="dxa"/>
            <w:shd w:val="clear" w:color="auto" w:fill="2E74B5" w:themeFill="accent1" w:themeFillShade="BF"/>
          </w:tcPr>
          <w:p w:rsidR="001E0DCD" w:rsidRPr="001E0DCD" w:rsidRDefault="001E0DCD" w:rsidP="000558DE">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1E0DCD" w:rsidRPr="001E0DCD" w:rsidTr="00EC2F8C">
        <w:trPr>
          <w:jc w:val="center"/>
        </w:trPr>
        <w:tc>
          <w:tcPr>
            <w:tcW w:w="1838" w:type="dxa"/>
          </w:tcPr>
          <w:p w:rsidR="001E0DCD" w:rsidRPr="001E0DCD" w:rsidRDefault="00F836B4" w:rsidP="000558DE">
            <w:pPr>
              <w:tabs>
                <w:tab w:val="clear" w:pos="851"/>
              </w:tabs>
              <w:spacing w:after="0"/>
              <w:ind w:left="0"/>
              <w:jc w:val="left"/>
              <w:rPr>
                <w:rFonts w:cs="Arial"/>
                <w:sz w:val="16"/>
                <w:szCs w:val="16"/>
              </w:rPr>
            </w:pPr>
            <w:r>
              <w:rPr>
                <w:rFonts w:cs="Arial"/>
                <w:sz w:val="16"/>
                <w:szCs w:val="16"/>
              </w:rPr>
              <w:t>2.1</w:t>
            </w:r>
          </w:p>
        </w:tc>
        <w:tc>
          <w:tcPr>
            <w:tcW w:w="4173" w:type="dxa"/>
          </w:tcPr>
          <w:p w:rsidR="001E0DCD" w:rsidRPr="001E0DCD" w:rsidRDefault="00F836B4" w:rsidP="000558DE">
            <w:pPr>
              <w:tabs>
                <w:tab w:val="clear" w:pos="851"/>
              </w:tabs>
              <w:spacing w:after="0"/>
              <w:ind w:left="0"/>
              <w:jc w:val="left"/>
              <w:rPr>
                <w:rFonts w:cs="Arial"/>
                <w:sz w:val="16"/>
                <w:szCs w:val="16"/>
              </w:rPr>
            </w:pPr>
            <w:r>
              <w:rPr>
                <w:rFonts w:cs="Arial"/>
                <w:sz w:val="16"/>
                <w:szCs w:val="16"/>
              </w:rPr>
              <w:t>Customer Engagement and Triangulation</w:t>
            </w:r>
          </w:p>
        </w:tc>
        <w:tc>
          <w:tcPr>
            <w:tcW w:w="1922" w:type="dxa"/>
          </w:tcPr>
          <w:p w:rsidR="001E0DCD" w:rsidRPr="001E0DCD" w:rsidRDefault="00F836B4" w:rsidP="000558DE">
            <w:pPr>
              <w:tabs>
                <w:tab w:val="clear" w:pos="851"/>
              </w:tabs>
              <w:spacing w:after="0"/>
              <w:ind w:left="0"/>
              <w:jc w:val="left"/>
              <w:rPr>
                <w:rFonts w:cs="Arial"/>
                <w:sz w:val="16"/>
                <w:szCs w:val="16"/>
              </w:rPr>
            </w:pPr>
            <w:r>
              <w:rPr>
                <w:rFonts w:cs="Arial"/>
                <w:sz w:val="16"/>
                <w:szCs w:val="16"/>
              </w:rPr>
              <w:t>August 2018</w:t>
            </w:r>
          </w:p>
        </w:tc>
      </w:tr>
      <w:tr w:rsidR="001E0DCD" w:rsidRPr="001E0DCD" w:rsidTr="00EC2F8C">
        <w:trPr>
          <w:jc w:val="center"/>
        </w:trPr>
        <w:tc>
          <w:tcPr>
            <w:tcW w:w="1838" w:type="dxa"/>
          </w:tcPr>
          <w:p w:rsidR="001E0DCD" w:rsidRPr="001E0DCD" w:rsidRDefault="00F836B4" w:rsidP="00374B64">
            <w:pPr>
              <w:tabs>
                <w:tab w:val="clear" w:pos="851"/>
              </w:tabs>
              <w:spacing w:after="0"/>
              <w:ind w:left="0"/>
              <w:jc w:val="left"/>
              <w:rPr>
                <w:rFonts w:cs="Arial"/>
                <w:sz w:val="16"/>
                <w:szCs w:val="16"/>
              </w:rPr>
            </w:pPr>
            <w:r>
              <w:rPr>
                <w:rFonts w:cs="Arial"/>
                <w:sz w:val="16"/>
                <w:szCs w:val="16"/>
              </w:rPr>
              <w:t>2.2-2.2</w:t>
            </w:r>
            <w:r w:rsidR="00374B64">
              <w:rPr>
                <w:rFonts w:cs="Arial"/>
                <w:sz w:val="16"/>
                <w:szCs w:val="16"/>
              </w:rPr>
              <w:t>9</w:t>
            </w:r>
          </w:p>
        </w:tc>
        <w:tc>
          <w:tcPr>
            <w:tcW w:w="4173" w:type="dxa"/>
          </w:tcPr>
          <w:p w:rsidR="001E0DCD" w:rsidRPr="001E0DCD" w:rsidRDefault="00F836B4" w:rsidP="000558DE">
            <w:pPr>
              <w:tabs>
                <w:tab w:val="clear" w:pos="851"/>
              </w:tabs>
              <w:spacing w:after="0"/>
              <w:ind w:left="0"/>
              <w:jc w:val="left"/>
              <w:rPr>
                <w:rFonts w:cs="Arial"/>
                <w:sz w:val="16"/>
                <w:szCs w:val="16"/>
              </w:rPr>
            </w:pPr>
            <w:r>
              <w:rPr>
                <w:rFonts w:cs="Arial"/>
                <w:sz w:val="16"/>
                <w:szCs w:val="16"/>
              </w:rPr>
              <w:t>Customer Engagement and Research Documents</w:t>
            </w:r>
          </w:p>
        </w:tc>
        <w:tc>
          <w:tcPr>
            <w:tcW w:w="1922" w:type="dxa"/>
          </w:tcPr>
          <w:p w:rsidR="001E0DCD" w:rsidRPr="001E0DCD" w:rsidRDefault="00EC2F8C" w:rsidP="000558DE">
            <w:pPr>
              <w:tabs>
                <w:tab w:val="clear" w:pos="851"/>
              </w:tabs>
              <w:spacing w:after="0"/>
              <w:ind w:left="0"/>
              <w:jc w:val="left"/>
              <w:rPr>
                <w:rFonts w:cs="Arial"/>
                <w:sz w:val="16"/>
                <w:szCs w:val="16"/>
              </w:rPr>
            </w:pPr>
            <w:r>
              <w:rPr>
                <w:rFonts w:cs="Arial"/>
                <w:sz w:val="16"/>
                <w:szCs w:val="16"/>
              </w:rPr>
              <w:t>April 2016-August 2018</w:t>
            </w:r>
          </w:p>
        </w:tc>
      </w:tr>
      <w:tr w:rsidR="00374B64" w:rsidRPr="001E0DCD" w:rsidTr="00EC2F8C">
        <w:trPr>
          <w:jc w:val="center"/>
        </w:trPr>
        <w:tc>
          <w:tcPr>
            <w:tcW w:w="1838" w:type="dxa"/>
          </w:tcPr>
          <w:p w:rsidR="00374B64" w:rsidRDefault="00374B64" w:rsidP="00374B64">
            <w:pPr>
              <w:tabs>
                <w:tab w:val="clear" w:pos="851"/>
              </w:tabs>
              <w:spacing w:after="0"/>
              <w:ind w:left="0"/>
              <w:jc w:val="left"/>
              <w:rPr>
                <w:rFonts w:cs="Arial"/>
                <w:sz w:val="16"/>
                <w:szCs w:val="16"/>
              </w:rPr>
            </w:pPr>
            <w:r>
              <w:rPr>
                <w:rFonts w:cs="Arial"/>
                <w:sz w:val="16"/>
                <w:szCs w:val="16"/>
              </w:rPr>
              <w:t>11.1</w:t>
            </w:r>
          </w:p>
        </w:tc>
        <w:tc>
          <w:tcPr>
            <w:tcW w:w="4173" w:type="dxa"/>
          </w:tcPr>
          <w:p w:rsidR="00374B64" w:rsidRDefault="00374B64" w:rsidP="000558DE">
            <w:pPr>
              <w:tabs>
                <w:tab w:val="clear" w:pos="851"/>
              </w:tabs>
              <w:spacing w:after="0"/>
              <w:ind w:left="0"/>
              <w:jc w:val="left"/>
              <w:rPr>
                <w:rFonts w:cs="Arial"/>
                <w:sz w:val="16"/>
                <w:szCs w:val="16"/>
              </w:rPr>
            </w:pPr>
            <w:r>
              <w:rPr>
                <w:rFonts w:cs="Arial"/>
                <w:sz w:val="16"/>
                <w:szCs w:val="16"/>
              </w:rPr>
              <w:t>Bill Waterfall Diagram</w:t>
            </w:r>
          </w:p>
        </w:tc>
        <w:tc>
          <w:tcPr>
            <w:tcW w:w="1922" w:type="dxa"/>
          </w:tcPr>
          <w:p w:rsidR="00374B64" w:rsidRDefault="00374B64" w:rsidP="000558DE">
            <w:pPr>
              <w:tabs>
                <w:tab w:val="clear" w:pos="851"/>
              </w:tabs>
              <w:spacing w:after="0"/>
              <w:ind w:left="0"/>
              <w:jc w:val="left"/>
              <w:rPr>
                <w:rFonts w:cs="Arial"/>
                <w:sz w:val="16"/>
                <w:szCs w:val="16"/>
              </w:rPr>
            </w:pPr>
            <w:r>
              <w:rPr>
                <w:rFonts w:cs="Arial"/>
                <w:sz w:val="16"/>
                <w:szCs w:val="16"/>
              </w:rPr>
              <w:t>August 2018</w:t>
            </w:r>
          </w:p>
        </w:tc>
      </w:tr>
    </w:tbl>
    <w:p w:rsidR="002D6B77" w:rsidRDefault="002D6B77">
      <w:pPr>
        <w:tabs>
          <w:tab w:val="clear" w:pos="851"/>
        </w:tabs>
        <w:spacing w:after="0"/>
        <w:ind w:left="0"/>
        <w:jc w:val="left"/>
      </w:pPr>
      <w:r>
        <w:br w:type="page"/>
      </w:r>
    </w:p>
    <w:p w:rsidR="00A73A0F" w:rsidRDefault="00934560" w:rsidP="001523F8">
      <w:pPr>
        <w:pStyle w:val="Heading1"/>
      </w:pPr>
      <w:bookmarkStart w:id="20" w:name="_Toc522199969"/>
      <w:bookmarkStart w:id="21" w:name="_Toc522200066"/>
      <w:bookmarkStart w:id="22" w:name="_Toc523651235"/>
      <w:r>
        <w:t>DE</w:t>
      </w:r>
      <w:r w:rsidR="00732359">
        <w:t>LIVERING</w:t>
      </w:r>
      <w:r>
        <w:t xml:space="preserve"> CUSTOMER OUTCOMES</w:t>
      </w:r>
      <w:bookmarkEnd w:id="20"/>
      <w:bookmarkEnd w:id="21"/>
      <w:bookmarkEnd w:id="22"/>
    </w:p>
    <w:p w:rsidR="004132EC" w:rsidRDefault="004132EC" w:rsidP="00E80D1A">
      <w:r w:rsidRPr="0038774E">
        <w:t xml:space="preserve">This </w:t>
      </w:r>
      <w:r>
        <w:t xml:space="preserve">Chapter </w:t>
      </w:r>
      <w:r w:rsidRPr="0038774E">
        <w:t xml:space="preserve">describes the process by which </w:t>
      </w:r>
      <w:r w:rsidR="0076401A">
        <w:t xml:space="preserve">we have </w:t>
      </w:r>
      <w:r w:rsidRPr="0038774E">
        <w:t xml:space="preserve">determined </w:t>
      </w:r>
      <w:r w:rsidR="0076401A">
        <w:t xml:space="preserve">our </w:t>
      </w:r>
      <w:r>
        <w:t>Outcomes</w:t>
      </w:r>
      <w:r w:rsidRPr="0038774E">
        <w:t xml:space="preserve"> and </w:t>
      </w:r>
      <w:r>
        <w:t>Outcome</w:t>
      </w:r>
      <w:r w:rsidRPr="0038774E">
        <w:t xml:space="preserve"> Delivery Incentives (ODIs) for 2020-25.</w:t>
      </w:r>
    </w:p>
    <w:p w:rsidR="004132EC" w:rsidRDefault="004132EC" w:rsidP="00E80D1A">
      <w:r>
        <w:t>It covers the following:-</w:t>
      </w:r>
    </w:p>
    <w:p w:rsidR="004132EC" w:rsidRPr="009B67BD" w:rsidRDefault="004132EC" w:rsidP="00E80D1A">
      <w:pPr>
        <w:pStyle w:val="Bullets"/>
      </w:pPr>
      <w:r w:rsidRPr="009B67BD">
        <w:t>Establishing the Outcomes</w:t>
      </w:r>
    </w:p>
    <w:p w:rsidR="004132EC" w:rsidRPr="009B67BD" w:rsidRDefault="004132EC" w:rsidP="00E80D1A">
      <w:pPr>
        <w:pStyle w:val="Bullets"/>
      </w:pPr>
      <w:r w:rsidRPr="009B67BD">
        <w:t xml:space="preserve">Establishing our </w:t>
      </w:r>
      <w:r w:rsidR="00964B14">
        <w:t>Performance Commitments</w:t>
      </w:r>
    </w:p>
    <w:p w:rsidR="004132EC" w:rsidRPr="009B67BD" w:rsidRDefault="004132EC" w:rsidP="00C2402B">
      <w:pPr>
        <w:pStyle w:val="ICSParagraph"/>
        <w:numPr>
          <w:ilvl w:val="1"/>
          <w:numId w:val="26"/>
        </w:numPr>
        <w:spacing w:after="0"/>
        <w:ind w:left="2268"/>
        <w:rPr>
          <w:rFonts w:ascii="Arial" w:hAnsi="Arial" w:cs="Arial"/>
          <w:color w:val="auto"/>
          <w:sz w:val="24"/>
          <w:szCs w:val="24"/>
        </w:rPr>
      </w:pPr>
      <w:r w:rsidRPr="009B67BD">
        <w:rPr>
          <w:rFonts w:ascii="Arial" w:hAnsi="Arial" w:cs="Arial"/>
          <w:color w:val="auto"/>
          <w:sz w:val="24"/>
          <w:szCs w:val="24"/>
        </w:rPr>
        <w:t>Performance measures that reflect the chosen Outcomes</w:t>
      </w:r>
    </w:p>
    <w:p w:rsidR="004132EC" w:rsidRPr="009B67BD" w:rsidRDefault="004132EC" w:rsidP="00C2402B">
      <w:pPr>
        <w:pStyle w:val="ICSParagraph"/>
        <w:numPr>
          <w:ilvl w:val="1"/>
          <w:numId w:val="26"/>
        </w:numPr>
        <w:spacing w:after="0"/>
        <w:ind w:left="2268"/>
        <w:rPr>
          <w:rFonts w:ascii="Arial" w:hAnsi="Arial" w:cs="Arial"/>
          <w:color w:val="auto"/>
          <w:sz w:val="24"/>
          <w:szCs w:val="24"/>
        </w:rPr>
      </w:pPr>
      <w:r w:rsidRPr="009B67BD">
        <w:rPr>
          <w:rFonts w:ascii="Arial" w:hAnsi="Arial" w:cs="Arial"/>
          <w:color w:val="auto"/>
          <w:sz w:val="24"/>
          <w:szCs w:val="24"/>
        </w:rPr>
        <w:t xml:space="preserve">Categories of </w:t>
      </w:r>
      <w:r w:rsidR="00964B14">
        <w:rPr>
          <w:rFonts w:ascii="Arial" w:hAnsi="Arial" w:cs="Arial"/>
          <w:color w:val="auto"/>
          <w:sz w:val="24"/>
          <w:szCs w:val="24"/>
        </w:rPr>
        <w:t>Performance Commitments</w:t>
      </w:r>
    </w:p>
    <w:p w:rsidR="004132EC" w:rsidRPr="009B67BD" w:rsidRDefault="009B67BD" w:rsidP="00C2402B">
      <w:pPr>
        <w:pStyle w:val="ICSParagraph"/>
        <w:numPr>
          <w:ilvl w:val="0"/>
          <w:numId w:val="27"/>
        </w:numPr>
        <w:spacing w:after="0"/>
        <w:ind w:left="2552" w:hanging="567"/>
        <w:rPr>
          <w:rFonts w:ascii="Arial" w:hAnsi="Arial" w:cs="Arial"/>
          <w:color w:val="auto"/>
          <w:sz w:val="24"/>
          <w:szCs w:val="24"/>
        </w:rPr>
      </w:pPr>
      <w:r>
        <w:rPr>
          <w:rFonts w:ascii="Arial" w:hAnsi="Arial" w:cs="Arial"/>
          <w:color w:val="auto"/>
          <w:sz w:val="24"/>
          <w:szCs w:val="24"/>
        </w:rPr>
        <w:t>C</w:t>
      </w:r>
      <w:r w:rsidR="004132EC" w:rsidRPr="009B67BD">
        <w:rPr>
          <w:rFonts w:ascii="Arial" w:hAnsi="Arial" w:cs="Arial"/>
          <w:color w:val="auto"/>
          <w:sz w:val="24"/>
          <w:szCs w:val="24"/>
        </w:rPr>
        <w:t xml:space="preserve">ommon, </w:t>
      </w:r>
    </w:p>
    <w:p w:rsidR="004132EC" w:rsidRPr="009B67BD" w:rsidRDefault="004132EC" w:rsidP="00C2402B">
      <w:pPr>
        <w:pStyle w:val="ICSParagraph"/>
        <w:numPr>
          <w:ilvl w:val="0"/>
          <w:numId w:val="27"/>
        </w:numPr>
        <w:spacing w:after="0"/>
        <w:ind w:left="2552" w:hanging="567"/>
        <w:rPr>
          <w:rFonts w:ascii="Arial" w:hAnsi="Arial" w:cs="Arial"/>
          <w:color w:val="auto"/>
          <w:sz w:val="24"/>
          <w:szCs w:val="24"/>
        </w:rPr>
      </w:pPr>
      <w:r w:rsidRPr="009B67BD">
        <w:rPr>
          <w:rFonts w:ascii="Arial" w:hAnsi="Arial" w:cs="Arial"/>
          <w:color w:val="auto"/>
          <w:sz w:val="24"/>
          <w:szCs w:val="24"/>
        </w:rPr>
        <w:t xml:space="preserve">Asset Health and </w:t>
      </w:r>
    </w:p>
    <w:p w:rsidR="004132EC" w:rsidRPr="009B67BD" w:rsidRDefault="004132EC" w:rsidP="00C2402B">
      <w:pPr>
        <w:pStyle w:val="ICSParagraph"/>
        <w:numPr>
          <w:ilvl w:val="0"/>
          <w:numId w:val="27"/>
        </w:numPr>
        <w:spacing w:after="0"/>
        <w:ind w:left="2552" w:hanging="567"/>
        <w:rPr>
          <w:rFonts w:ascii="Arial" w:hAnsi="Arial" w:cs="Arial"/>
          <w:color w:val="auto"/>
          <w:sz w:val="24"/>
          <w:szCs w:val="24"/>
        </w:rPr>
      </w:pPr>
      <w:r w:rsidRPr="009B67BD">
        <w:rPr>
          <w:rFonts w:ascii="Arial" w:hAnsi="Arial" w:cs="Arial"/>
          <w:color w:val="auto"/>
          <w:sz w:val="24"/>
          <w:szCs w:val="24"/>
        </w:rPr>
        <w:t>Bespoke</w:t>
      </w:r>
    </w:p>
    <w:p w:rsidR="004132EC" w:rsidRPr="009B67BD" w:rsidRDefault="004132EC" w:rsidP="00E80D1A">
      <w:pPr>
        <w:pStyle w:val="Bullets"/>
      </w:pPr>
      <w:r w:rsidRPr="009B67BD">
        <w:t>Determining the stretching service levels</w:t>
      </w:r>
    </w:p>
    <w:p w:rsidR="004132EC" w:rsidRPr="009B67BD" w:rsidRDefault="004132EC" w:rsidP="00E80D1A">
      <w:pPr>
        <w:pStyle w:val="Bullets"/>
      </w:pPr>
      <w:r w:rsidRPr="009B67BD">
        <w:t>Determining the rewards and penalties (Outcome Delivery Incentives)</w:t>
      </w:r>
    </w:p>
    <w:p w:rsidR="004132EC" w:rsidRPr="009B67BD" w:rsidRDefault="004132EC" w:rsidP="00E80D1A">
      <w:pPr>
        <w:pStyle w:val="Bullets"/>
      </w:pPr>
      <w:r w:rsidRPr="009B67BD">
        <w:t xml:space="preserve">Disseminating performance information effectively </w:t>
      </w:r>
    </w:p>
    <w:p w:rsidR="00ED7801" w:rsidRDefault="00ED7801" w:rsidP="00ED7801">
      <w:pPr>
        <w:spacing w:after="0"/>
      </w:pPr>
    </w:p>
    <w:p w:rsidR="00E80D1A" w:rsidRPr="00A43FCB" w:rsidRDefault="00ED7801" w:rsidP="00ED7801">
      <w:r>
        <w:t xml:space="preserve">This was a relatively lengthy and complex process.  As such this chapter summarises the main elements of the process.  A much more detailed explanation is include in </w:t>
      </w:r>
      <w:r w:rsidRPr="00982C97">
        <w:t xml:space="preserve">Appendix </w:t>
      </w:r>
      <w:r w:rsidR="00982C97" w:rsidRPr="00982C97">
        <w:t>3.9</w:t>
      </w:r>
      <w:r w:rsidR="00982C97">
        <w:t>.</w:t>
      </w:r>
    </w:p>
    <w:p w:rsidR="004132EC" w:rsidRPr="00FD6654" w:rsidRDefault="004132EC" w:rsidP="004132EC">
      <w:pPr>
        <w:pStyle w:val="Heading2"/>
      </w:pPr>
      <w:bookmarkStart w:id="23" w:name="_Toc523651236"/>
      <w:r w:rsidRPr="00FD6654">
        <w:t>Background</w:t>
      </w:r>
      <w:bookmarkEnd w:id="23"/>
    </w:p>
    <w:p w:rsidR="004132EC" w:rsidRPr="0038774E" w:rsidRDefault="00294E3E" w:rsidP="00E80D1A">
      <w:r w:rsidRPr="0038774E">
        <w:t>Ofwat introduced the ODI framework</w:t>
      </w:r>
      <w:r w:rsidR="004132EC" w:rsidRPr="0038774E">
        <w:t xml:space="preserve"> at the previous price review, PR14.  It allowed companies to propose </w:t>
      </w:r>
      <w:r w:rsidR="00964B14">
        <w:t>Performance Commitments</w:t>
      </w:r>
      <w:r w:rsidRPr="0038774E">
        <w:t>, which</w:t>
      </w:r>
      <w:r w:rsidR="004132EC" w:rsidRPr="0038774E">
        <w:t xml:space="preserve"> were supported by its customers; these had the potential to reflect any local issues or expectations.  Financial payments are made, ex post, to reflect any out or under-performance relative to the commitment made by the Company at the price review.</w:t>
      </w:r>
    </w:p>
    <w:p w:rsidR="004132EC" w:rsidRPr="0038774E" w:rsidRDefault="004132EC" w:rsidP="00E80D1A">
      <w:r w:rsidRPr="0038774E">
        <w:t xml:space="preserve">For this plan, PR19, the Company has undertaken significant research with its customers to determine its “ODI” package.  </w:t>
      </w:r>
    </w:p>
    <w:p w:rsidR="004132EC" w:rsidRDefault="004132EC" w:rsidP="00E80D1A">
      <w:r w:rsidRPr="0038774E">
        <w:t xml:space="preserve">For PR14, the Company had 13 ODIs (including SIM, the Service Incentive Mechanism); for PR19 we propose 21 ODIs (including </w:t>
      </w:r>
      <w:r w:rsidR="00EE0DB3">
        <w:t>two</w:t>
      </w:r>
      <w:r w:rsidRPr="0038774E">
        <w:t xml:space="preserve"> specific measures of customer satisfaction, C-Mex (for customers) and D-Mex (for developers)).</w:t>
      </w:r>
    </w:p>
    <w:p w:rsidR="004132EC" w:rsidRPr="0038774E" w:rsidRDefault="004132EC" w:rsidP="004132EC">
      <w:pPr>
        <w:pStyle w:val="Heading2"/>
      </w:pPr>
      <w:bookmarkStart w:id="24" w:name="_Toc523651237"/>
      <w:r w:rsidRPr="0038774E">
        <w:t xml:space="preserve">Establishing the </w:t>
      </w:r>
      <w:r>
        <w:t>Outcomes</w:t>
      </w:r>
      <w:bookmarkEnd w:id="24"/>
    </w:p>
    <w:p w:rsidR="004132EC" w:rsidRPr="0038774E" w:rsidRDefault="00C12F28" w:rsidP="00E80D1A">
      <w:r>
        <w:t xml:space="preserve">We have </w:t>
      </w:r>
      <w:r w:rsidR="004132EC">
        <w:t>undertaken extensive</w:t>
      </w:r>
      <w:r w:rsidR="00294E3E">
        <w:t xml:space="preserve"> engagement activities with our </w:t>
      </w:r>
      <w:r w:rsidR="004132EC" w:rsidRPr="0038774E">
        <w:t xml:space="preserve">customers and </w:t>
      </w:r>
      <w:r w:rsidR="004132EC">
        <w:t xml:space="preserve">this has informed the process to </w:t>
      </w:r>
      <w:r w:rsidR="004132EC" w:rsidRPr="0038774E">
        <w:t xml:space="preserve">establish the 7 </w:t>
      </w:r>
      <w:r w:rsidR="004132EC">
        <w:t>Outcomes</w:t>
      </w:r>
      <w:r w:rsidR="004132EC" w:rsidRPr="0038774E">
        <w:t xml:space="preserve"> we are proposing for th</w:t>
      </w:r>
      <w:r w:rsidR="004132EC">
        <w:t>is</w:t>
      </w:r>
      <w:r w:rsidR="004132EC" w:rsidRPr="0038774E">
        <w:t xml:space="preserve"> Business Plan.</w:t>
      </w:r>
    </w:p>
    <w:p w:rsidR="004132EC" w:rsidRPr="0038774E" w:rsidRDefault="004132EC" w:rsidP="00E80D1A">
      <w:r>
        <w:t xml:space="preserve">In </w:t>
      </w:r>
      <w:r w:rsidR="00432633">
        <w:t>addition,</w:t>
      </w:r>
      <w:r>
        <w:t xml:space="preserve"> w</w:t>
      </w:r>
      <w:r w:rsidRPr="0038774E">
        <w:t xml:space="preserve">e have reviewed strategic </w:t>
      </w:r>
      <w:r>
        <w:t xml:space="preserve">objective </w:t>
      </w:r>
      <w:r w:rsidRPr="0038774E">
        <w:t xml:space="preserve">statements published by </w:t>
      </w:r>
      <w:r w:rsidR="00E76864">
        <w:t>DEFRA</w:t>
      </w:r>
      <w:r w:rsidRPr="0038774E">
        <w:t>, Ofwat</w:t>
      </w:r>
      <w:r>
        <w:t>, the Drinking Water Inspectorate</w:t>
      </w:r>
      <w:r w:rsidRPr="0038774E">
        <w:t xml:space="preserve"> and the Environment Agency and refined our </w:t>
      </w:r>
      <w:r>
        <w:t>O</w:t>
      </w:r>
      <w:r w:rsidRPr="0038774E">
        <w:t>utcomes</w:t>
      </w:r>
      <w:r>
        <w:t xml:space="preserve"> to</w:t>
      </w:r>
      <w:r w:rsidRPr="0038774E">
        <w:t xml:space="preserve"> further meet their expectations.</w:t>
      </w:r>
    </w:p>
    <w:p w:rsidR="004132EC" w:rsidRPr="0038774E" w:rsidRDefault="004132EC" w:rsidP="00E80D1A">
      <w:r w:rsidRPr="0038774E">
        <w:t xml:space="preserve">Finally, we have discussed </w:t>
      </w:r>
      <w:r>
        <w:t xml:space="preserve">with </w:t>
      </w:r>
      <w:r w:rsidRPr="0038774E">
        <w:t xml:space="preserve">and been challenged by the Customer Challenge Group, who represent a wide range of customers and stakeholders.  Their role is to ensure we accurately reflect </w:t>
      </w:r>
      <w:r>
        <w:t>our customers’ view in our plans and in this case, that the Outcomes we propose reflect customer views.</w:t>
      </w:r>
    </w:p>
    <w:p w:rsidR="004132EC" w:rsidRPr="0038774E" w:rsidRDefault="004132EC" w:rsidP="00E80D1A">
      <w:r w:rsidRPr="0038774E">
        <w:t xml:space="preserve">Our first piece of customer research was undertaken by Accent, who engaged with customers and reviewed the existing, PR14 </w:t>
      </w:r>
      <w:r>
        <w:t>Outcomes</w:t>
      </w:r>
      <w:r w:rsidRPr="0038774E">
        <w:t xml:space="preserve">.  Their focus was on whether the </w:t>
      </w:r>
      <w:r>
        <w:t>PR14</w:t>
      </w:r>
      <w:r w:rsidRPr="0038774E">
        <w:t xml:space="preserve"> </w:t>
      </w:r>
      <w:r>
        <w:t>Outcomes</w:t>
      </w:r>
      <w:r w:rsidRPr="0038774E">
        <w:t xml:space="preserve"> </w:t>
      </w:r>
      <w:r>
        <w:t>would remain</w:t>
      </w:r>
      <w:r w:rsidRPr="0038774E">
        <w:t xml:space="preserve"> relevant for </w:t>
      </w:r>
      <w:r>
        <w:t xml:space="preserve">PR19 </w:t>
      </w:r>
      <w:r w:rsidRPr="0038774E">
        <w:t xml:space="preserve">and future periods, and whether the description of the </w:t>
      </w:r>
      <w:r>
        <w:t>Outcome</w:t>
      </w:r>
      <w:r w:rsidRPr="0038774E">
        <w:t xml:space="preserve"> was clear and un-ambiguous.</w:t>
      </w:r>
      <w:r>
        <w:t xml:space="preserve">  </w:t>
      </w:r>
      <w:r w:rsidRPr="00F836B4">
        <w:t xml:space="preserve">The Accent report is included at Appendix </w:t>
      </w:r>
      <w:r w:rsidR="00F836B4">
        <w:t>2.3</w:t>
      </w:r>
      <w:r w:rsidRPr="00F836B4">
        <w:t>.</w:t>
      </w:r>
    </w:p>
    <w:p w:rsidR="004132EC" w:rsidRPr="0038774E" w:rsidRDefault="00185CAD" w:rsidP="00E80D1A">
      <w:r>
        <w:t xml:space="preserve">The table </w:t>
      </w:r>
      <w:r w:rsidR="004132EC" w:rsidRPr="0038774E">
        <w:t xml:space="preserve">below compares our PR14 and PR19 description of each of our </w:t>
      </w:r>
      <w:r w:rsidR="004132EC">
        <w:t>Outcomes</w:t>
      </w:r>
      <w:r w:rsidR="004132EC" w:rsidRPr="0038774E">
        <w:t xml:space="preserve"> – with a brief explanation of why any revision has applied.</w:t>
      </w:r>
    </w:p>
    <w:p w:rsidR="004132EC" w:rsidRDefault="004132EC" w:rsidP="004132EC">
      <w:pPr>
        <w:spacing w:after="160" w:line="259" w:lineRule="auto"/>
        <w:jc w:val="left"/>
        <w:rPr>
          <w:rFonts w:cs="Arial"/>
          <w:b/>
        </w:rPr>
      </w:pPr>
      <w:r w:rsidRPr="00730C6A">
        <w:rPr>
          <w:rFonts w:cs="Arial"/>
          <w:b/>
        </w:rPr>
        <w:t xml:space="preserve">Evolution of </w:t>
      </w:r>
      <w:r>
        <w:rPr>
          <w:rFonts w:cs="Arial"/>
          <w:b/>
        </w:rPr>
        <w:t>Outcomes</w:t>
      </w:r>
      <w:r w:rsidRPr="00730C6A">
        <w:rPr>
          <w:rFonts w:cs="Arial"/>
          <w:b/>
        </w:rPr>
        <w:t xml:space="preserve"> from PR14 to PR19</w:t>
      </w:r>
    </w:p>
    <w:tbl>
      <w:tblPr>
        <w:tblStyle w:val="TableGrid60"/>
        <w:tblW w:w="9251" w:type="dxa"/>
        <w:tblInd w:w="377" w:type="dxa"/>
        <w:tblLook w:val="04A0" w:firstRow="1" w:lastRow="0" w:firstColumn="1" w:lastColumn="0" w:noHBand="0" w:noVBand="1"/>
      </w:tblPr>
      <w:tblGrid>
        <w:gridCol w:w="1606"/>
        <w:gridCol w:w="1981"/>
        <w:gridCol w:w="5664"/>
      </w:tblGrid>
      <w:tr w:rsidR="00EE0DB3" w:rsidRPr="001E0DCD" w:rsidTr="00EE0DB3">
        <w:tc>
          <w:tcPr>
            <w:tcW w:w="1606" w:type="dxa"/>
            <w:shd w:val="clear" w:color="auto" w:fill="2E74B5" w:themeFill="accent1" w:themeFillShade="BF"/>
          </w:tcPr>
          <w:p w:rsidR="00EE0DB3" w:rsidRPr="001E0DCD" w:rsidRDefault="00EE0DB3" w:rsidP="00EE0DB3">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PR1</w:t>
            </w:r>
            <w:r>
              <w:rPr>
                <w:rFonts w:cs="Arial"/>
                <w:b/>
                <w:color w:val="FFFFFF" w:themeColor="background1"/>
                <w:sz w:val="16"/>
                <w:szCs w:val="16"/>
              </w:rPr>
              <w:t>9</w:t>
            </w:r>
          </w:p>
        </w:tc>
        <w:tc>
          <w:tcPr>
            <w:tcW w:w="1981" w:type="dxa"/>
            <w:shd w:val="clear" w:color="auto" w:fill="2E74B5" w:themeFill="accent1" w:themeFillShade="BF"/>
          </w:tcPr>
          <w:p w:rsidR="00EE0DB3" w:rsidRPr="001E0DCD" w:rsidRDefault="00EE0DB3" w:rsidP="00EE0DB3">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PR1</w:t>
            </w:r>
            <w:r>
              <w:rPr>
                <w:rFonts w:cs="Arial"/>
                <w:b/>
                <w:color w:val="FFFFFF" w:themeColor="background1"/>
                <w:sz w:val="16"/>
                <w:szCs w:val="16"/>
              </w:rPr>
              <w:t>4</w:t>
            </w:r>
          </w:p>
        </w:tc>
        <w:tc>
          <w:tcPr>
            <w:tcW w:w="5664" w:type="dxa"/>
            <w:shd w:val="clear" w:color="auto" w:fill="2E74B5" w:themeFill="accent1" w:themeFillShade="BF"/>
          </w:tcPr>
          <w:p w:rsidR="00EE0DB3" w:rsidRPr="001E0DCD" w:rsidRDefault="00EE0DB3" w:rsidP="00EE0DB3">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Description</w:t>
            </w:r>
          </w:p>
        </w:tc>
      </w:tr>
      <w:tr w:rsidR="00EE0DB3" w:rsidRPr="001E0DCD" w:rsidTr="00EE0DB3">
        <w:tc>
          <w:tcPr>
            <w:tcW w:w="1606"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Safe, Secure, and Reliable supply of drinking water</w:t>
            </w:r>
          </w:p>
        </w:tc>
        <w:tc>
          <w:tcPr>
            <w:tcW w:w="1981"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Safe, Secure, Sustainable and Reliable supply of drinking water</w:t>
            </w:r>
          </w:p>
        </w:tc>
        <w:tc>
          <w:tcPr>
            <w:tcW w:w="5664"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In part, this outcome historically covered operational and long-term resilience.  We wanted to talk to customers about helping the region as a whole with bulk supplies and improving regional resilience by building a reservoir.  Given the long term regional water resource issues are such a big topic for us, ‘sustainable’ was removed from this outcome, with a new separate outcome</w:t>
            </w:r>
            <w:r>
              <w:rPr>
                <w:rFonts w:cs="Arial"/>
                <w:sz w:val="16"/>
                <w:szCs w:val="16"/>
              </w:rPr>
              <w:t>,</w:t>
            </w:r>
            <w:r w:rsidRPr="001E0DCD">
              <w:rPr>
                <w:rFonts w:cs="Arial"/>
                <w:sz w:val="16"/>
                <w:szCs w:val="16"/>
              </w:rPr>
              <w:t xml:space="preserve"> relating to long term issues</w:t>
            </w:r>
            <w:r>
              <w:rPr>
                <w:rFonts w:cs="Arial"/>
                <w:sz w:val="16"/>
                <w:szCs w:val="16"/>
              </w:rPr>
              <w:t>,</w:t>
            </w:r>
            <w:r w:rsidRPr="001E0DCD">
              <w:rPr>
                <w:rFonts w:cs="Arial"/>
                <w:sz w:val="16"/>
                <w:szCs w:val="16"/>
              </w:rPr>
              <w:t xml:space="preserve"> being created.</w:t>
            </w:r>
          </w:p>
        </w:tc>
      </w:tr>
      <w:tr w:rsidR="00EE0DB3" w:rsidRPr="001E0DCD" w:rsidTr="00EE0DB3">
        <w:tc>
          <w:tcPr>
            <w:tcW w:w="1606"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Long term resilience of supplies for our own customers and to support the South East Region</w:t>
            </w:r>
          </w:p>
        </w:tc>
        <w:tc>
          <w:tcPr>
            <w:tcW w:w="1981" w:type="dxa"/>
          </w:tcPr>
          <w:p w:rsidR="00EE0DB3" w:rsidRPr="001E0DCD" w:rsidRDefault="00EE0DB3" w:rsidP="00EE0DB3">
            <w:pPr>
              <w:tabs>
                <w:tab w:val="clear" w:pos="851"/>
              </w:tabs>
              <w:spacing w:after="0"/>
              <w:ind w:left="0"/>
              <w:jc w:val="left"/>
              <w:rPr>
                <w:rFonts w:cs="Arial"/>
                <w:sz w:val="16"/>
                <w:szCs w:val="16"/>
              </w:rPr>
            </w:pPr>
          </w:p>
        </w:tc>
        <w:tc>
          <w:tcPr>
            <w:tcW w:w="5664"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This new outcome reflects the importance of long-term water resource resilience and allowed focused discussions in respect of regional resilience, as well as resilience for our customers.</w:t>
            </w:r>
          </w:p>
        </w:tc>
      </w:tr>
      <w:tr w:rsidR="00EE0DB3" w:rsidRPr="001E0DCD" w:rsidTr="00EE0DB3">
        <w:tc>
          <w:tcPr>
            <w:tcW w:w="1606"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Low leakage</w:t>
            </w:r>
          </w:p>
        </w:tc>
        <w:tc>
          <w:tcPr>
            <w:tcW w:w="1981"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Less Water Lost Through Leakage</w:t>
            </w:r>
          </w:p>
        </w:tc>
        <w:tc>
          <w:tcPr>
            <w:tcW w:w="5664"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Customers felt that this outcome lacked ambition as, potentially, the outcome could be delivered whilst leakage was still</w:t>
            </w:r>
            <w:r>
              <w:rPr>
                <w:rFonts w:cs="Arial"/>
                <w:sz w:val="16"/>
                <w:szCs w:val="16"/>
              </w:rPr>
              <w:t>, in their view,</w:t>
            </w:r>
            <w:r w:rsidRPr="001E0DCD">
              <w:rPr>
                <w:rFonts w:cs="Arial"/>
                <w:sz w:val="16"/>
                <w:szCs w:val="16"/>
              </w:rPr>
              <w:t xml:space="preserve"> unacceptably high.  They want low levels of leakage, so the wording was changed to reflect this.</w:t>
            </w:r>
          </w:p>
        </w:tc>
      </w:tr>
      <w:tr w:rsidR="00EE0DB3" w:rsidRPr="001E0DCD" w:rsidTr="00EE0DB3">
        <w:tc>
          <w:tcPr>
            <w:tcW w:w="1606"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A service tailored to individual needs, at a long term affordable price</w:t>
            </w:r>
          </w:p>
        </w:tc>
        <w:tc>
          <w:tcPr>
            <w:tcW w:w="1981"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A high quality service and value for money</w:t>
            </w:r>
          </w:p>
        </w:tc>
        <w:tc>
          <w:tcPr>
            <w:tcW w:w="5664"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Customers did not want a one size fits all service, they want to be able interact in their chosen way. Moreover, this not only applied to them but also those that are vulnerable.  Our CCG asked that we add in the words ‘long term’ as it was clear to them that customers did not just want affordable bills in the next 5 years, but in the longer term.</w:t>
            </w:r>
          </w:p>
        </w:tc>
      </w:tr>
      <w:tr w:rsidR="00EE0DB3" w:rsidRPr="001E0DCD" w:rsidTr="00EE0DB3">
        <w:tc>
          <w:tcPr>
            <w:tcW w:w="1606"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An improved environment, supporting Biodiversity</w:t>
            </w:r>
          </w:p>
        </w:tc>
        <w:tc>
          <w:tcPr>
            <w:tcW w:w="1981"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An improved environment, supporting Biodiversity, Public Amenities and Recreation</w:t>
            </w:r>
          </w:p>
        </w:tc>
        <w:tc>
          <w:tcPr>
            <w:tcW w:w="5664"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Having taken the views of customers and other stakeholders, it was felt that whilst public amenities and recreation are factors, this outcome should really be more focused on the environment.</w:t>
            </w:r>
          </w:p>
        </w:tc>
      </w:tr>
      <w:tr w:rsidR="00EE0DB3" w:rsidRPr="001E0DCD" w:rsidTr="00EE0DB3">
        <w:tc>
          <w:tcPr>
            <w:tcW w:w="1606"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Being Recognised by the community as a good corporate citizen</w:t>
            </w:r>
          </w:p>
        </w:tc>
        <w:tc>
          <w:tcPr>
            <w:tcW w:w="1981"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Supporting the community we serve by taking Opportunities to support the local Economy</w:t>
            </w:r>
          </w:p>
        </w:tc>
        <w:tc>
          <w:tcPr>
            <w:tcW w:w="5664"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Whilst customers supported helping the vulnerable they questioned whether supporting the local economy was truly valid, given that they would expect us to source goods and services at competitive rates.</w:t>
            </w:r>
          </w:p>
        </w:tc>
      </w:tr>
      <w:tr w:rsidR="00EE0DB3" w:rsidRPr="001E0DCD" w:rsidTr="00EE0DB3">
        <w:tc>
          <w:tcPr>
            <w:tcW w:w="1606"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Recognised by stakeholders as having a Culture of Health and Safety through all our activities</w:t>
            </w:r>
            <w:r w:rsidRPr="001E0DCD">
              <w:rPr>
                <w:rFonts w:cs="Arial"/>
                <w:sz w:val="16"/>
                <w:szCs w:val="16"/>
              </w:rPr>
              <w:tab/>
            </w:r>
          </w:p>
        </w:tc>
        <w:tc>
          <w:tcPr>
            <w:tcW w:w="1981"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Recognised by stakeholders as having a Culture of Health and Safety through all our activities</w:t>
            </w:r>
            <w:r w:rsidRPr="001E0DCD">
              <w:rPr>
                <w:rFonts w:cs="Arial"/>
                <w:sz w:val="16"/>
                <w:szCs w:val="16"/>
              </w:rPr>
              <w:tab/>
            </w:r>
          </w:p>
        </w:tc>
        <w:tc>
          <w:tcPr>
            <w:tcW w:w="5664"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 xml:space="preserve">Customers accept the importance of Health and Safety, albeit some felt it should be just taken as a given.  However, we have kept this outcome as Health and Safety is </w:t>
            </w:r>
            <w:r>
              <w:rPr>
                <w:rFonts w:cs="Arial"/>
                <w:sz w:val="16"/>
                <w:szCs w:val="16"/>
              </w:rPr>
              <w:t xml:space="preserve">a key business </w:t>
            </w:r>
            <w:r w:rsidRPr="001E0DCD">
              <w:rPr>
                <w:rFonts w:cs="Arial"/>
                <w:sz w:val="16"/>
                <w:szCs w:val="16"/>
              </w:rPr>
              <w:t>priority.</w:t>
            </w:r>
          </w:p>
        </w:tc>
      </w:tr>
      <w:tr w:rsidR="00EE0DB3" w:rsidRPr="001E0DCD" w:rsidTr="00EE0DB3">
        <w:tc>
          <w:tcPr>
            <w:tcW w:w="1606" w:type="dxa"/>
          </w:tcPr>
          <w:p w:rsidR="00EE0DB3" w:rsidRPr="001E0DCD" w:rsidRDefault="00EE0DB3" w:rsidP="00EE0DB3">
            <w:pPr>
              <w:tabs>
                <w:tab w:val="clear" w:pos="851"/>
              </w:tabs>
              <w:spacing w:after="0"/>
              <w:ind w:left="0"/>
              <w:jc w:val="left"/>
              <w:rPr>
                <w:rFonts w:cs="Arial"/>
                <w:sz w:val="16"/>
                <w:szCs w:val="16"/>
              </w:rPr>
            </w:pPr>
          </w:p>
        </w:tc>
        <w:tc>
          <w:tcPr>
            <w:tcW w:w="1981"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Proving Attractive to investors as a long term sustainable business</w:t>
            </w:r>
          </w:p>
        </w:tc>
        <w:tc>
          <w:tcPr>
            <w:tcW w:w="5664" w:type="dxa"/>
          </w:tcPr>
          <w:p w:rsidR="00EE0DB3" w:rsidRPr="001E0DCD" w:rsidRDefault="00EE0DB3" w:rsidP="00EE0DB3">
            <w:pPr>
              <w:tabs>
                <w:tab w:val="clear" w:pos="851"/>
              </w:tabs>
              <w:spacing w:after="0"/>
              <w:ind w:left="0"/>
              <w:jc w:val="left"/>
              <w:rPr>
                <w:rFonts w:cs="Arial"/>
                <w:sz w:val="16"/>
                <w:szCs w:val="16"/>
              </w:rPr>
            </w:pPr>
            <w:r w:rsidRPr="001E0DCD">
              <w:rPr>
                <w:rFonts w:cs="Arial"/>
                <w:sz w:val="16"/>
                <w:szCs w:val="16"/>
              </w:rPr>
              <w:t>Customers thought that this was an outcome for us, not them; accordingly, we have not taken it forward.</w:t>
            </w:r>
          </w:p>
        </w:tc>
      </w:tr>
    </w:tbl>
    <w:p w:rsidR="004132EC" w:rsidRDefault="004132EC" w:rsidP="00185CAD">
      <w:pPr>
        <w:spacing w:after="0"/>
      </w:pPr>
    </w:p>
    <w:p w:rsidR="004132EC" w:rsidRDefault="004132EC" w:rsidP="00E80D1A">
      <w:r w:rsidRPr="0038774E">
        <w:t xml:space="preserve">We tested the proposed </w:t>
      </w:r>
      <w:r>
        <w:t>Outcomes</w:t>
      </w:r>
      <w:r w:rsidRPr="0038774E">
        <w:t xml:space="preserve"> as part of qualitative customer research, undertake</w:t>
      </w:r>
      <w:r w:rsidR="00EC2F8C">
        <w:t>n</w:t>
      </w:r>
      <w:r w:rsidRPr="0038774E">
        <w:t xml:space="preserve"> by ICS in November 2017</w:t>
      </w:r>
      <w:r w:rsidR="00F836B4">
        <w:t xml:space="preserve"> (published April 2018)</w:t>
      </w:r>
      <w:r w:rsidRPr="0038774E">
        <w:t>.  This research confirmed that our domestic customers felt these</w:t>
      </w:r>
      <w:r w:rsidR="00EE0DB3">
        <w:t xml:space="preserve"> Outcomes</w:t>
      </w:r>
      <w:r w:rsidRPr="0038774E">
        <w:t xml:space="preserve"> reflected their expectations of us as a Company.</w:t>
      </w:r>
      <w:r>
        <w:t xml:space="preserve">  </w:t>
      </w:r>
    </w:p>
    <w:p w:rsidR="004132EC" w:rsidRPr="0038774E" w:rsidRDefault="00946884" w:rsidP="00E80D1A">
      <w:r w:rsidRPr="0038774E">
        <w:t>Similarly,</w:t>
      </w:r>
      <w:r w:rsidR="004132EC" w:rsidRPr="0038774E">
        <w:t xml:space="preserve"> we undertook qualitative customer research with our Non-household customer base,</w:t>
      </w:r>
      <w:r w:rsidR="004132EC">
        <w:t xml:space="preserve"> in May 2018,</w:t>
      </w:r>
      <w:r w:rsidR="004132EC" w:rsidRPr="0038774E">
        <w:t xml:space="preserve"> who</w:t>
      </w:r>
      <w:r w:rsidR="004132EC">
        <w:t>, following our exit from the non-household retail market,</w:t>
      </w:r>
      <w:r w:rsidR="004132EC" w:rsidRPr="0038774E">
        <w:t xml:space="preserve"> only receive wholesale services from the Company.  They also supported the proposed </w:t>
      </w:r>
      <w:r w:rsidR="004132EC">
        <w:t>Outcomes</w:t>
      </w:r>
      <w:r w:rsidR="004132EC" w:rsidRPr="0038774E">
        <w:t xml:space="preserve"> and stated they reflected their expectations of the Company in its role as a wholesale service provider.</w:t>
      </w:r>
      <w:r w:rsidR="004132EC">
        <w:t xml:space="preserve"> Further detail of this research is included in </w:t>
      </w:r>
      <w:r w:rsidR="004132EC" w:rsidRPr="00F836B4">
        <w:t xml:space="preserve">Appendices </w:t>
      </w:r>
      <w:r w:rsidR="00F836B4">
        <w:t xml:space="preserve">2.17 </w:t>
      </w:r>
      <w:r w:rsidR="004132EC" w:rsidRPr="00F836B4">
        <w:t xml:space="preserve">and </w:t>
      </w:r>
      <w:r w:rsidR="00F836B4">
        <w:t>2.21</w:t>
      </w:r>
      <w:r w:rsidR="004132EC" w:rsidRPr="00F836B4">
        <w:t>.</w:t>
      </w:r>
      <w:r w:rsidR="004132EC">
        <w:t xml:space="preserve"> </w:t>
      </w:r>
    </w:p>
    <w:p w:rsidR="004132EC" w:rsidRDefault="00946884" w:rsidP="00E80D1A">
      <w:r w:rsidRPr="00EC2F8C">
        <w:t>Finally,</w:t>
      </w:r>
      <w:r w:rsidR="004132EC" w:rsidRPr="00EC2F8C">
        <w:t xml:space="preserve"> we tested our proposed Outcomes and ODIs as part of the overall acceptability testing of our plan.  This was undertaken by an on-line survey with over 500 customers responding.  For Outcomes in particular, </w:t>
      </w:r>
      <w:r w:rsidR="00EC2F8C" w:rsidRPr="00EC2F8C">
        <w:t>86.2</w:t>
      </w:r>
      <w:r w:rsidR="004132EC" w:rsidRPr="00EC2F8C">
        <w:t>% customers stated they felt the proposals were the correct Outcomes for us to focus on for 2020-25.</w:t>
      </w:r>
    </w:p>
    <w:p w:rsidR="004132EC" w:rsidRDefault="004132EC" w:rsidP="00E80D1A">
      <w:r>
        <w:t xml:space="preserve">Throughout the process of reviewing and updating the Outcomes the Board reviewed and considered the evidence from customer engagement together with the wider regulatory challenges and the Board’s own strategic objectives.  In this </w:t>
      </w:r>
      <w:r w:rsidR="00946884">
        <w:t>way,</w:t>
      </w:r>
      <w:r>
        <w:t xml:space="preserve"> the Board had overall oversight for the appropriateness and relevance of the basket of Outcomes.</w:t>
      </w:r>
    </w:p>
    <w:p w:rsidR="004132EC" w:rsidRDefault="004132EC" w:rsidP="004132EC">
      <w:pPr>
        <w:pStyle w:val="Heading2"/>
      </w:pPr>
      <w:bookmarkStart w:id="25" w:name="_Toc523651238"/>
      <w:r>
        <w:t>Establishing the Outcome Delivery Incentive (ODI)</w:t>
      </w:r>
      <w:bookmarkEnd w:id="25"/>
    </w:p>
    <w:p w:rsidR="004132EC" w:rsidRPr="0038774E" w:rsidRDefault="004132EC" w:rsidP="00E80D1A">
      <w:r w:rsidRPr="0038774E">
        <w:t>There are essentially three steps in establishing any O</w:t>
      </w:r>
      <w:r>
        <w:t xml:space="preserve">utcome </w:t>
      </w:r>
      <w:r w:rsidRPr="0038774E">
        <w:t>D</w:t>
      </w:r>
      <w:r>
        <w:t xml:space="preserve">elivery </w:t>
      </w:r>
      <w:r w:rsidRPr="0038774E">
        <w:t>I</w:t>
      </w:r>
      <w:r>
        <w:t>ncentive (“ODI”)</w:t>
      </w:r>
      <w:r w:rsidRPr="0038774E">
        <w:t xml:space="preserve"> </w:t>
      </w:r>
      <w:r>
        <w:t xml:space="preserve">in order to develop a set of </w:t>
      </w:r>
      <w:r w:rsidR="00964B14">
        <w:t>Performance Commitments</w:t>
      </w:r>
      <w:r>
        <w:t>, with stretching service levels and appropriate levels of rewards and penalties that meet both customer and</w:t>
      </w:r>
      <w:r w:rsidRPr="0038774E">
        <w:t xml:space="preserve"> regulatory expectations; </w:t>
      </w:r>
    </w:p>
    <w:p w:rsidR="004132EC" w:rsidRPr="00E80D1A" w:rsidRDefault="004132EC" w:rsidP="00E80D1A">
      <w:pPr>
        <w:pStyle w:val="ICSParagraph"/>
        <w:numPr>
          <w:ilvl w:val="0"/>
          <w:numId w:val="15"/>
        </w:numPr>
        <w:spacing w:after="0"/>
        <w:ind w:left="1276" w:hanging="425"/>
        <w:rPr>
          <w:rFonts w:ascii="Arial" w:hAnsi="Arial" w:cs="Arial"/>
          <w:color w:val="auto"/>
          <w:sz w:val="24"/>
          <w:szCs w:val="24"/>
        </w:rPr>
      </w:pPr>
      <w:r w:rsidRPr="00E80D1A">
        <w:rPr>
          <w:rFonts w:ascii="Arial" w:hAnsi="Arial" w:cs="Arial"/>
          <w:color w:val="auto"/>
          <w:sz w:val="24"/>
          <w:szCs w:val="24"/>
        </w:rPr>
        <w:t xml:space="preserve">Establishing </w:t>
      </w:r>
      <w:r w:rsidR="00964B14">
        <w:rPr>
          <w:rFonts w:ascii="Arial" w:hAnsi="Arial" w:cs="Arial"/>
          <w:color w:val="auto"/>
          <w:sz w:val="24"/>
          <w:szCs w:val="24"/>
        </w:rPr>
        <w:t>Performance Commitments</w:t>
      </w:r>
      <w:r w:rsidRPr="00E80D1A">
        <w:rPr>
          <w:rFonts w:ascii="Arial" w:hAnsi="Arial" w:cs="Arial"/>
          <w:color w:val="auto"/>
          <w:sz w:val="24"/>
          <w:szCs w:val="24"/>
        </w:rPr>
        <w:t xml:space="preserve"> that reflect the desired Outcomes and align to customer and regulatory expectations.</w:t>
      </w:r>
    </w:p>
    <w:p w:rsidR="004132EC" w:rsidRPr="00E80D1A" w:rsidRDefault="004132EC" w:rsidP="00E80D1A">
      <w:pPr>
        <w:pStyle w:val="ICSParagraph"/>
        <w:numPr>
          <w:ilvl w:val="0"/>
          <w:numId w:val="15"/>
        </w:numPr>
        <w:spacing w:after="0"/>
        <w:ind w:left="1276" w:hanging="425"/>
        <w:rPr>
          <w:rFonts w:ascii="Arial" w:hAnsi="Arial" w:cs="Arial"/>
          <w:color w:val="auto"/>
          <w:sz w:val="24"/>
          <w:szCs w:val="24"/>
        </w:rPr>
      </w:pPr>
      <w:r w:rsidRPr="00E80D1A">
        <w:rPr>
          <w:rFonts w:ascii="Arial" w:hAnsi="Arial" w:cs="Arial"/>
          <w:color w:val="auto"/>
          <w:sz w:val="24"/>
          <w:szCs w:val="24"/>
        </w:rPr>
        <w:t>Determining a stretching service level.</w:t>
      </w:r>
    </w:p>
    <w:p w:rsidR="004132EC" w:rsidRDefault="004132EC" w:rsidP="00E80D1A">
      <w:pPr>
        <w:pStyle w:val="ICSParagraph"/>
        <w:numPr>
          <w:ilvl w:val="0"/>
          <w:numId w:val="15"/>
        </w:numPr>
        <w:spacing w:after="0"/>
        <w:ind w:left="1276" w:hanging="425"/>
        <w:rPr>
          <w:rFonts w:ascii="Arial" w:hAnsi="Arial" w:cs="Arial"/>
          <w:color w:val="auto"/>
          <w:sz w:val="24"/>
          <w:szCs w:val="24"/>
        </w:rPr>
      </w:pPr>
      <w:r w:rsidRPr="00E80D1A">
        <w:rPr>
          <w:rFonts w:ascii="Arial" w:hAnsi="Arial" w:cs="Arial"/>
          <w:color w:val="auto"/>
          <w:sz w:val="24"/>
          <w:szCs w:val="24"/>
        </w:rPr>
        <w:t>Determining any reward or penalty where performance varies from the committed service level.</w:t>
      </w:r>
    </w:p>
    <w:p w:rsidR="00EE0DB3" w:rsidRDefault="00EE0DB3" w:rsidP="00EE0DB3">
      <w:pPr>
        <w:spacing w:after="0"/>
      </w:pPr>
    </w:p>
    <w:p w:rsidR="00E80D1A" w:rsidRPr="00E80D1A" w:rsidRDefault="00EE0DB3" w:rsidP="00EE0DB3">
      <w:r>
        <w:t>These have been set out in Sections 3.3.1, 3.3.2 and 3.3.3.</w:t>
      </w:r>
    </w:p>
    <w:p w:rsidR="004132EC" w:rsidRPr="00BF316F" w:rsidRDefault="004132EC" w:rsidP="004132EC">
      <w:pPr>
        <w:pStyle w:val="Heading3"/>
      </w:pPr>
      <w:bookmarkStart w:id="26" w:name="_Toc523651239"/>
      <w:r w:rsidRPr="00BF316F">
        <w:t xml:space="preserve">Establishing </w:t>
      </w:r>
      <w:r w:rsidR="00964B14">
        <w:t>Performance Commitments</w:t>
      </w:r>
      <w:bookmarkEnd w:id="26"/>
    </w:p>
    <w:p w:rsidR="004132EC" w:rsidRPr="00EE0DB3" w:rsidRDefault="004132EC" w:rsidP="00E80D1A">
      <w:pPr>
        <w:rPr>
          <w:color w:val="2E74B5" w:themeColor="accent1" w:themeShade="BF"/>
        </w:rPr>
      </w:pPr>
      <w:r w:rsidRPr="00EE0DB3">
        <w:rPr>
          <w:color w:val="2E74B5" w:themeColor="accent1" w:themeShade="BF"/>
        </w:rPr>
        <w:t>Step 1 - Establishing performance measures that reflect the desired Outcomes and align to customer and regulatory expectations</w:t>
      </w:r>
    </w:p>
    <w:p w:rsidR="004132EC" w:rsidRDefault="004132EC" w:rsidP="00E80D1A">
      <w:r w:rsidRPr="0038774E">
        <w:t xml:space="preserve">Having determined the 7 </w:t>
      </w:r>
      <w:r>
        <w:t>Outcomes</w:t>
      </w:r>
      <w:r w:rsidRPr="0038774E">
        <w:t xml:space="preserve">, </w:t>
      </w:r>
      <w:r w:rsidR="00EE0DB3">
        <w:t xml:space="preserve">we </w:t>
      </w:r>
      <w:r w:rsidRPr="0038774E">
        <w:t>need</w:t>
      </w:r>
      <w:r>
        <w:t>ed</w:t>
      </w:r>
      <w:r w:rsidRPr="0038774E">
        <w:t xml:space="preserve"> to establish how we </w:t>
      </w:r>
      <w:r>
        <w:t xml:space="preserve">could determine </w:t>
      </w:r>
      <w:r w:rsidR="00964B14">
        <w:t>Performance Commitments</w:t>
      </w:r>
      <w:r w:rsidR="00946884">
        <w:t xml:space="preserve"> that</w:t>
      </w:r>
      <w:r>
        <w:t xml:space="preserve"> would </w:t>
      </w:r>
      <w:r w:rsidRPr="0038774E">
        <w:t>demonstrate</w:t>
      </w:r>
      <w:r w:rsidR="00EE0DB3">
        <w:t>,</w:t>
      </w:r>
      <w:r w:rsidRPr="0038774E">
        <w:t xml:space="preserve"> to customers and stakeholders</w:t>
      </w:r>
      <w:r w:rsidR="00EE0DB3">
        <w:t>,</w:t>
      </w:r>
      <w:r w:rsidRPr="0038774E">
        <w:t xml:space="preserve"> how we are delivering </w:t>
      </w:r>
      <w:r>
        <w:t>the Outcomes</w:t>
      </w:r>
      <w:r w:rsidRPr="0038774E">
        <w:t>.</w:t>
      </w:r>
    </w:p>
    <w:p w:rsidR="004132EC" w:rsidRDefault="00C12F28" w:rsidP="00E80D1A">
      <w:r>
        <w:t xml:space="preserve">We considered </w:t>
      </w:r>
      <w:r w:rsidR="00946884">
        <w:t>a range</w:t>
      </w:r>
      <w:r w:rsidR="004132EC">
        <w:t xml:space="preserve"> of </w:t>
      </w:r>
      <w:r w:rsidR="00964B14">
        <w:t>Performance Commitments</w:t>
      </w:r>
      <w:r w:rsidR="00946884">
        <w:t xml:space="preserve"> that</w:t>
      </w:r>
      <w:r w:rsidR="004132EC">
        <w:t xml:space="preserve"> we con</w:t>
      </w:r>
      <w:r w:rsidR="00946884">
        <w:t>sidered as part of this process:</w:t>
      </w:r>
    </w:p>
    <w:p w:rsidR="00EE0DB3" w:rsidRDefault="00EE0DB3" w:rsidP="00EE0DB3">
      <w:pPr>
        <w:pStyle w:val="Bullets"/>
      </w:pPr>
      <w:r>
        <w:t>Ofwat common PCs</w:t>
      </w:r>
    </w:p>
    <w:p w:rsidR="004132EC" w:rsidRDefault="004132EC" w:rsidP="00E80D1A">
      <w:pPr>
        <w:pStyle w:val="Bullets"/>
      </w:pPr>
      <w:r>
        <w:t>Existing Company PCs</w:t>
      </w:r>
    </w:p>
    <w:p w:rsidR="004132EC" w:rsidRDefault="004132EC" w:rsidP="00E80D1A">
      <w:pPr>
        <w:pStyle w:val="Bullets"/>
      </w:pPr>
      <w:r>
        <w:t>Ofwat options for PCs (from various pick lists)</w:t>
      </w:r>
    </w:p>
    <w:p w:rsidR="004132EC" w:rsidRDefault="004132EC" w:rsidP="00E80D1A">
      <w:pPr>
        <w:pStyle w:val="Bullets"/>
      </w:pPr>
      <w:r>
        <w:t>Asset health and resilience measures</w:t>
      </w:r>
    </w:p>
    <w:p w:rsidR="004132EC" w:rsidRDefault="004132EC" w:rsidP="00E80D1A">
      <w:pPr>
        <w:pStyle w:val="Bullets"/>
      </w:pPr>
      <w:r>
        <w:t>Bespoke measures reflecting our Company challenges</w:t>
      </w:r>
    </w:p>
    <w:p w:rsidR="00E80D1A" w:rsidRDefault="00E80D1A" w:rsidP="00E80D1A">
      <w:pPr>
        <w:pStyle w:val="Bullets"/>
        <w:numPr>
          <w:ilvl w:val="0"/>
          <w:numId w:val="0"/>
        </w:numPr>
        <w:ind w:left="1494"/>
      </w:pPr>
    </w:p>
    <w:p w:rsidR="004132EC" w:rsidRDefault="004132EC" w:rsidP="00E80D1A">
      <w:r w:rsidRPr="003B3DCF">
        <w:t xml:space="preserve">We considered the combination of </w:t>
      </w:r>
      <w:r w:rsidR="00946884" w:rsidRPr="003B3DCF">
        <w:t>PCs,</w:t>
      </w:r>
      <w:r w:rsidR="00946884">
        <w:t xml:space="preserve"> </w:t>
      </w:r>
      <w:r w:rsidR="00946884" w:rsidRPr="003B3DCF">
        <w:t>which</w:t>
      </w:r>
      <w:r w:rsidRPr="003B3DCF">
        <w:t xml:space="preserve"> would be most appropriate, through a process as follows</w:t>
      </w:r>
      <w:r>
        <w:t>:-</w:t>
      </w:r>
      <w:r w:rsidRPr="003B3DCF">
        <w:t xml:space="preserve">  </w:t>
      </w:r>
    </w:p>
    <w:p w:rsidR="004132EC" w:rsidRPr="00E80D1A" w:rsidRDefault="004132EC" w:rsidP="00E80D1A">
      <w:pPr>
        <w:pStyle w:val="ICSParagraph"/>
        <w:numPr>
          <w:ilvl w:val="0"/>
          <w:numId w:val="16"/>
        </w:numPr>
        <w:spacing w:after="0"/>
        <w:ind w:left="1276" w:hanging="425"/>
        <w:rPr>
          <w:rFonts w:ascii="Arial" w:hAnsi="Arial" w:cs="Arial"/>
          <w:color w:val="auto"/>
          <w:sz w:val="24"/>
          <w:szCs w:val="24"/>
        </w:rPr>
      </w:pPr>
      <w:r w:rsidRPr="00E80D1A">
        <w:rPr>
          <w:rFonts w:ascii="Arial" w:hAnsi="Arial" w:cs="Arial"/>
          <w:color w:val="auto"/>
          <w:sz w:val="24"/>
          <w:szCs w:val="24"/>
        </w:rPr>
        <w:t>Allocated relevant Common PCs against each of our Outcomes.</w:t>
      </w:r>
    </w:p>
    <w:p w:rsidR="004132EC" w:rsidRPr="00E80D1A" w:rsidRDefault="004132EC" w:rsidP="00E80D1A">
      <w:pPr>
        <w:pStyle w:val="ICSParagraph"/>
        <w:numPr>
          <w:ilvl w:val="0"/>
          <w:numId w:val="16"/>
        </w:numPr>
        <w:spacing w:after="0"/>
        <w:ind w:left="1276" w:hanging="425"/>
        <w:rPr>
          <w:rFonts w:ascii="Arial" w:hAnsi="Arial" w:cs="Arial"/>
          <w:color w:val="auto"/>
          <w:sz w:val="24"/>
          <w:szCs w:val="24"/>
        </w:rPr>
      </w:pPr>
      <w:r w:rsidRPr="00E80D1A">
        <w:rPr>
          <w:rFonts w:ascii="Arial" w:hAnsi="Arial" w:cs="Arial"/>
          <w:color w:val="auto"/>
          <w:sz w:val="24"/>
          <w:szCs w:val="24"/>
        </w:rPr>
        <w:t>Considered the most appropriate asset health and resilience measures (from Ofwat pick list) for our circumstances and allocated against each of our Outcomes.</w:t>
      </w:r>
    </w:p>
    <w:p w:rsidR="004132EC" w:rsidRPr="00E80D1A" w:rsidRDefault="004132EC" w:rsidP="00E80D1A">
      <w:pPr>
        <w:pStyle w:val="ICSParagraph"/>
        <w:numPr>
          <w:ilvl w:val="0"/>
          <w:numId w:val="16"/>
        </w:numPr>
        <w:spacing w:after="0"/>
        <w:ind w:left="1276" w:hanging="425"/>
        <w:rPr>
          <w:rFonts w:ascii="Arial" w:hAnsi="Arial" w:cs="Arial"/>
          <w:color w:val="auto"/>
          <w:sz w:val="24"/>
          <w:szCs w:val="24"/>
        </w:rPr>
      </w:pPr>
      <w:r w:rsidRPr="00E80D1A">
        <w:rPr>
          <w:rFonts w:ascii="Arial" w:hAnsi="Arial" w:cs="Arial"/>
          <w:color w:val="auto"/>
          <w:sz w:val="24"/>
          <w:szCs w:val="24"/>
        </w:rPr>
        <w:t>Reviewed our existing PCs to identify where there was overlap with the PCs identified at steps 1 &amp; 2 above.  We then considered the remaining PR14 PCs and assessed the extent that these remained relevant to PR19 business issues, objectives and challenges.  Where these remained relevant they were again allocated against the Outcomes.</w:t>
      </w:r>
    </w:p>
    <w:p w:rsidR="004132EC" w:rsidRPr="00E80D1A" w:rsidRDefault="004132EC" w:rsidP="00E80D1A">
      <w:pPr>
        <w:pStyle w:val="ICSParagraph"/>
        <w:numPr>
          <w:ilvl w:val="0"/>
          <w:numId w:val="16"/>
        </w:numPr>
        <w:spacing w:after="0"/>
        <w:ind w:left="1276" w:hanging="425"/>
        <w:rPr>
          <w:rFonts w:ascii="Arial" w:hAnsi="Arial" w:cs="Arial"/>
          <w:color w:val="auto"/>
          <w:sz w:val="24"/>
          <w:szCs w:val="24"/>
        </w:rPr>
      </w:pPr>
      <w:r w:rsidRPr="00E80D1A">
        <w:rPr>
          <w:rFonts w:ascii="Arial" w:hAnsi="Arial" w:cs="Arial"/>
          <w:color w:val="auto"/>
          <w:sz w:val="24"/>
          <w:szCs w:val="24"/>
        </w:rPr>
        <w:t xml:space="preserve">Assessed any </w:t>
      </w:r>
      <w:r w:rsidRPr="00EC2F8C">
        <w:rPr>
          <w:rFonts w:ascii="Arial" w:hAnsi="Arial" w:cs="Arial"/>
          <w:color w:val="auto"/>
          <w:sz w:val="24"/>
          <w:szCs w:val="24"/>
        </w:rPr>
        <w:t>remaining</w:t>
      </w:r>
      <w:r w:rsidRPr="00E80D1A">
        <w:rPr>
          <w:rFonts w:ascii="Arial" w:hAnsi="Arial" w:cs="Arial"/>
          <w:color w:val="auto"/>
          <w:sz w:val="24"/>
          <w:szCs w:val="24"/>
        </w:rPr>
        <w:t xml:space="preserve"> objectives or challenges and developed bespoke PCs to address these.</w:t>
      </w:r>
    </w:p>
    <w:p w:rsidR="004132EC" w:rsidRPr="00E80D1A" w:rsidRDefault="004132EC" w:rsidP="00E80D1A">
      <w:pPr>
        <w:pStyle w:val="ICSParagraph"/>
        <w:numPr>
          <w:ilvl w:val="0"/>
          <w:numId w:val="16"/>
        </w:numPr>
        <w:spacing w:after="0"/>
        <w:ind w:left="1276" w:hanging="425"/>
        <w:rPr>
          <w:rFonts w:ascii="Arial" w:hAnsi="Arial" w:cs="Arial"/>
          <w:color w:val="auto"/>
          <w:sz w:val="24"/>
          <w:szCs w:val="24"/>
        </w:rPr>
      </w:pPr>
      <w:r w:rsidRPr="00E80D1A">
        <w:rPr>
          <w:rFonts w:ascii="Arial" w:hAnsi="Arial" w:cs="Arial"/>
          <w:color w:val="auto"/>
          <w:sz w:val="24"/>
          <w:szCs w:val="24"/>
        </w:rPr>
        <w:t>Considered the overall allocation of PCs against the Outcomes and the different price control segments to assess whether there was adequate coverage of all areas</w:t>
      </w:r>
      <w:r w:rsidR="00EE0DB3">
        <w:rPr>
          <w:rFonts w:ascii="Arial" w:hAnsi="Arial" w:cs="Arial"/>
          <w:color w:val="auto"/>
          <w:sz w:val="24"/>
          <w:szCs w:val="24"/>
        </w:rPr>
        <w:t>.</w:t>
      </w:r>
    </w:p>
    <w:p w:rsidR="004132EC" w:rsidRPr="00E80D1A" w:rsidRDefault="004132EC" w:rsidP="00E80D1A">
      <w:pPr>
        <w:pStyle w:val="ICSParagraph"/>
        <w:numPr>
          <w:ilvl w:val="0"/>
          <w:numId w:val="16"/>
        </w:numPr>
        <w:spacing w:after="0"/>
        <w:ind w:left="1276" w:hanging="425"/>
        <w:rPr>
          <w:rFonts w:ascii="Arial" w:hAnsi="Arial" w:cs="Arial"/>
          <w:color w:val="auto"/>
          <w:sz w:val="24"/>
          <w:szCs w:val="24"/>
        </w:rPr>
      </w:pPr>
      <w:r w:rsidRPr="00E80D1A">
        <w:rPr>
          <w:rFonts w:ascii="Arial" w:hAnsi="Arial" w:cs="Arial"/>
          <w:color w:val="auto"/>
          <w:sz w:val="24"/>
          <w:szCs w:val="24"/>
        </w:rPr>
        <w:t>Finally the Board reviewed and challenged the basket of PCs, their alignment to Outcomes and business units and the overall business strategy.</w:t>
      </w:r>
    </w:p>
    <w:p w:rsidR="00E80D1A" w:rsidRPr="003B3DCF" w:rsidRDefault="00E80D1A" w:rsidP="00E80D1A">
      <w:pPr>
        <w:pStyle w:val="ICSParagraph"/>
        <w:spacing w:after="0"/>
        <w:ind w:left="851"/>
        <w:rPr>
          <w:rFonts w:ascii="Arial" w:hAnsi="Arial" w:cs="Arial"/>
          <w:color w:val="auto"/>
        </w:rPr>
      </w:pPr>
    </w:p>
    <w:p w:rsidR="004132EC" w:rsidRDefault="004132EC" w:rsidP="00E80D1A">
      <w:r w:rsidRPr="003B3DCF">
        <w:t xml:space="preserve">Through this </w:t>
      </w:r>
      <w:r w:rsidR="00AA4F8F" w:rsidRPr="003B3DCF">
        <w:t>process,</w:t>
      </w:r>
      <w:r w:rsidRPr="003B3DCF">
        <w:t xml:space="preserve"> we built up a balanced combination of </w:t>
      </w:r>
      <w:r w:rsidR="00AA4F8F" w:rsidRPr="003B3DCF">
        <w:t>PCs that</w:t>
      </w:r>
      <w:r w:rsidRPr="003B3DCF">
        <w:t xml:space="preserve"> aligned to customer feedback, Outcomes, regulatory requirements and Board business objectives.</w:t>
      </w:r>
      <w:r>
        <w:t xml:space="preserve"> </w:t>
      </w:r>
    </w:p>
    <w:p w:rsidR="004132EC" w:rsidRDefault="004132EC" w:rsidP="00E80D1A">
      <w:r w:rsidRPr="0038774E">
        <w:t xml:space="preserve">Many of the </w:t>
      </w:r>
      <w:r>
        <w:t>PC measures</w:t>
      </w:r>
      <w:r w:rsidRPr="0038774E">
        <w:t xml:space="preserve"> we </w:t>
      </w:r>
      <w:r>
        <w:t>propose</w:t>
      </w:r>
      <w:r w:rsidRPr="0038774E">
        <w:t xml:space="preserve"> for this Business Plan have been reported against by the Company, and other companies in the industry, for many years.  This has an advantage of allowing customers and stakeholders to </w:t>
      </w:r>
      <w:r>
        <w:t xml:space="preserve">directly </w:t>
      </w:r>
      <w:r w:rsidRPr="0038774E">
        <w:t xml:space="preserve">compare performance across the industry and challenge either the proposed </w:t>
      </w:r>
      <w:r>
        <w:t>service level</w:t>
      </w:r>
      <w:r w:rsidRPr="0038774E">
        <w:t xml:space="preserve"> or the actual performance.</w:t>
      </w:r>
    </w:p>
    <w:p w:rsidR="00B41D26" w:rsidRDefault="00B41D26" w:rsidP="00E80D1A">
      <w:r>
        <w:t>The table below shows how our proposed ODIs for AMP7 compare with our current ODIs for AMP6.  Many have evolved and some remain the same.</w:t>
      </w:r>
    </w:p>
    <w:tbl>
      <w:tblPr>
        <w:tblStyle w:val="TableGrid"/>
        <w:tblW w:w="0" w:type="auto"/>
        <w:tblInd w:w="851" w:type="dxa"/>
        <w:tblLook w:val="04A0" w:firstRow="1" w:lastRow="0" w:firstColumn="1" w:lastColumn="0" w:noHBand="0" w:noVBand="1"/>
      </w:tblPr>
      <w:tblGrid>
        <w:gridCol w:w="2405"/>
        <w:gridCol w:w="2551"/>
        <w:gridCol w:w="3821"/>
      </w:tblGrid>
      <w:tr w:rsidR="00B41D26" w:rsidRPr="00B41D26" w:rsidTr="00EE35F6">
        <w:tc>
          <w:tcPr>
            <w:tcW w:w="2405" w:type="dxa"/>
            <w:shd w:val="clear" w:color="auto" w:fill="2E74B5" w:themeFill="accent1" w:themeFillShade="BF"/>
          </w:tcPr>
          <w:p w:rsidR="00B41D26" w:rsidRPr="00B41D26" w:rsidRDefault="00B41D26" w:rsidP="00EE35F6">
            <w:pPr>
              <w:spacing w:after="0"/>
              <w:ind w:left="0"/>
              <w:rPr>
                <w:b/>
                <w:color w:val="FFFFFF" w:themeColor="background1"/>
                <w:sz w:val="16"/>
                <w:szCs w:val="16"/>
              </w:rPr>
            </w:pPr>
            <w:r w:rsidRPr="00B41D26">
              <w:rPr>
                <w:b/>
                <w:color w:val="FFFFFF" w:themeColor="background1"/>
                <w:sz w:val="16"/>
                <w:szCs w:val="16"/>
              </w:rPr>
              <w:t>AMP6 ODI</w:t>
            </w:r>
          </w:p>
        </w:tc>
        <w:tc>
          <w:tcPr>
            <w:tcW w:w="2551" w:type="dxa"/>
            <w:shd w:val="clear" w:color="auto" w:fill="2E74B5" w:themeFill="accent1" w:themeFillShade="BF"/>
          </w:tcPr>
          <w:p w:rsidR="00B41D26" w:rsidRPr="00B41D26" w:rsidRDefault="00B41D26" w:rsidP="00EE35F6">
            <w:pPr>
              <w:spacing w:after="0"/>
              <w:ind w:left="0"/>
              <w:jc w:val="left"/>
              <w:rPr>
                <w:b/>
                <w:color w:val="FFFFFF" w:themeColor="background1"/>
                <w:sz w:val="16"/>
                <w:szCs w:val="16"/>
              </w:rPr>
            </w:pPr>
            <w:r w:rsidRPr="00B41D26">
              <w:rPr>
                <w:b/>
                <w:color w:val="FFFFFF" w:themeColor="background1"/>
                <w:sz w:val="16"/>
                <w:szCs w:val="16"/>
              </w:rPr>
              <w:t>AMP7 ODI</w:t>
            </w:r>
          </w:p>
        </w:tc>
        <w:tc>
          <w:tcPr>
            <w:tcW w:w="3821" w:type="dxa"/>
            <w:shd w:val="clear" w:color="auto" w:fill="2E74B5" w:themeFill="accent1" w:themeFillShade="BF"/>
          </w:tcPr>
          <w:p w:rsidR="00B41D26" w:rsidRPr="00B41D26" w:rsidRDefault="00B41D26" w:rsidP="00EE35F6">
            <w:pPr>
              <w:spacing w:after="0"/>
              <w:ind w:left="0"/>
              <w:rPr>
                <w:b/>
                <w:color w:val="FFFFFF" w:themeColor="background1"/>
                <w:sz w:val="16"/>
                <w:szCs w:val="16"/>
              </w:rPr>
            </w:pPr>
            <w:r w:rsidRPr="00B41D26">
              <w:rPr>
                <w:b/>
                <w:color w:val="FFFFFF" w:themeColor="background1"/>
                <w:sz w:val="16"/>
                <w:szCs w:val="16"/>
              </w:rPr>
              <w:t>Comment</w:t>
            </w:r>
          </w:p>
        </w:tc>
      </w:tr>
      <w:tr w:rsidR="00B41D26" w:rsidRPr="00B41D26" w:rsidTr="00EE35F6">
        <w:tc>
          <w:tcPr>
            <w:tcW w:w="2405" w:type="dxa"/>
          </w:tcPr>
          <w:p w:rsidR="00EE35F6" w:rsidRPr="00B41D26" w:rsidRDefault="00B41D26" w:rsidP="00EE35F6">
            <w:pPr>
              <w:spacing w:after="0"/>
              <w:ind w:left="0"/>
              <w:rPr>
                <w:sz w:val="16"/>
                <w:szCs w:val="16"/>
              </w:rPr>
            </w:pPr>
            <w:r w:rsidRPr="00B41D26">
              <w:rPr>
                <w:sz w:val="16"/>
                <w:szCs w:val="16"/>
              </w:rPr>
              <w:t>1. PC</w:t>
            </w:r>
            <w:r w:rsidR="00EE35F6">
              <w:rPr>
                <w:sz w:val="16"/>
                <w:szCs w:val="16"/>
              </w:rPr>
              <w:t>C</w:t>
            </w:r>
          </w:p>
        </w:tc>
        <w:tc>
          <w:tcPr>
            <w:tcW w:w="2551" w:type="dxa"/>
          </w:tcPr>
          <w:p w:rsidR="00B41D26" w:rsidRPr="00B41D26" w:rsidRDefault="00B41D26" w:rsidP="00EE35F6">
            <w:pPr>
              <w:spacing w:after="0"/>
              <w:ind w:left="0"/>
              <w:jc w:val="left"/>
              <w:rPr>
                <w:sz w:val="16"/>
                <w:szCs w:val="16"/>
              </w:rPr>
            </w:pPr>
            <w:r w:rsidRPr="00B41D26">
              <w:rPr>
                <w:sz w:val="16"/>
                <w:szCs w:val="16"/>
              </w:rPr>
              <w:t>1. PCC</w:t>
            </w:r>
          </w:p>
        </w:tc>
        <w:tc>
          <w:tcPr>
            <w:tcW w:w="3821" w:type="dxa"/>
          </w:tcPr>
          <w:p w:rsidR="00B41D26" w:rsidRPr="00B41D26" w:rsidRDefault="00B41D26" w:rsidP="00EE35F6">
            <w:pPr>
              <w:spacing w:after="0"/>
              <w:ind w:left="0"/>
              <w:rPr>
                <w:sz w:val="16"/>
                <w:szCs w:val="16"/>
              </w:rPr>
            </w:pPr>
            <w:r w:rsidRPr="00B41D26">
              <w:rPr>
                <w:sz w:val="16"/>
                <w:szCs w:val="16"/>
              </w:rPr>
              <w:t>No change – other than methodology</w:t>
            </w:r>
          </w:p>
        </w:tc>
      </w:tr>
      <w:tr w:rsidR="00EE35F6" w:rsidRPr="00B41D26" w:rsidTr="00EE35F6">
        <w:tc>
          <w:tcPr>
            <w:tcW w:w="2405" w:type="dxa"/>
          </w:tcPr>
          <w:p w:rsidR="00EE35F6" w:rsidRPr="00B41D26" w:rsidRDefault="00EE35F6" w:rsidP="00EE35F6">
            <w:pPr>
              <w:spacing w:after="0"/>
              <w:ind w:left="0"/>
              <w:rPr>
                <w:sz w:val="16"/>
                <w:szCs w:val="16"/>
              </w:rPr>
            </w:pPr>
            <w:r>
              <w:rPr>
                <w:sz w:val="16"/>
                <w:szCs w:val="16"/>
              </w:rPr>
              <w:t>2. Leakage</w:t>
            </w:r>
          </w:p>
        </w:tc>
        <w:tc>
          <w:tcPr>
            <w:tcW w:w="2551" w:type="dxa"/>
          </w:tcPr>
          <w:p w:rsidR="00EE35F6" w:rsidRPr="00B41D26" w:rsidRDefault="00EE35F6" w:rsidP="00EE35F6">
            <w:pPr>
              <w:spacing w:after="0"/>
              <w:ind w:left="0"/>
              <w:jc w:val="left"/>
              <w:rPr>
                <w:sz w:val="16"/>
                <w:szCs w:val="16"/>
              </w:rPr>
            </w:pPr>
            <w:r>
              <w:rPr>
                <w:sz w:val="16"/>
                <w:szCs w:val="16"/>
              </w:rPr>
              <w:t>2. Leakage</w:t>
            </w:r>
          </w:p>
        </w:tc>
        <w:tc>
          <w:tcPr>
            <w:tcW w:w="3821" w:type="dxa"/>
          </w:tcPr>
          <w:p w:rsidR="00EE35F6" w:rsidRPr="00B41D26" w:rsidRDefault="00EE35F6" w:rsidP="00EE35F6">
            <w:pPr>
              <w:spacing w:after="0"/>
              <w:ind w:left="0"/>
              <w:rPr>
                <w:sz w:val="16"/>
                <w:szCs w:val="16"/>
              </w:rPr>
            </w:pPr>
            <w:r>
              <w:rPr>
                <w:sz w:val="16"/>
                <w:szCs w:val="16"/>
              </w:rPr>
              <w:t>No change – other than methodology</w:t>
            </w:r>
          </w:p>
        </w:tc>
      </w:tr>
      <w:tr w:rsidR="00EE35F6" w:rsidRPr="00B41D26" w:rsidTr="00EE35F6">
        <w:tc>
          <w:tcPr>
            <w:tcW w:w="2405" w:type="dxa"/>
          </w:tcPr>
          <w:p w:rsidR="00EE35F6" w:rsidRDefault="00EE35F6" w:rsidP="00EE35F6">
            <w:pPr>
              <w:spacing w:after="0"/>
              <w:ind w:left="0"/>
              <w:rPr>
                <w:sz w:val="16"/>
                <w:szCs w:val="16"/>
              </w:rPr>
            </w:pPr>
            <w:r>
              <w:rPr>
                <w:sz w:val="16"/>
                <w:szCs w:val="16"/>
              </w:rPr>
              <w:t>3. MZC</w:t>
            </w:r>
          </w:p>
        </w:tc>
        <w:tc>
          <w:tcPr>
            <w:tcW w:w="2551" w:type="dxa"/>
          </w:tcPr>
          <w:p w:rsidR="00EE35F6" w:rsidRDefault="00EE35F6" w:rsidP="00EE35F6">
            <w:pPr>
              <w:spacing w:after="0"/>
              <w:ind w:left="0"/>
              <w:jc w:val="left"/>
              <w:rPr>
                <w:sz w:val="16"/>
                <w:szCs w:val="16"/>
              </w:rPr>
            </w:pPr>
            <w:r>
              <w:rPr>
                <w:sz w:val="16"/>
                <w:szCs w:val="16"/>
              </w:rPr>
              <w:t>3. CRI</w:t>
            </w:r>
          </w:p>
        </w:tc>
        <w:tc>
          <w:tcPr>
            <w:tcW w:w="3821" w:type="dxa"/>
          </w:tcPr>
          <w:p w:rsidR="00EE35F6" w:rsidRDefault="00EE35F6" w:rsidP="00EE35F6">
            <w:pPr>
              <w:spacing w:after="0"/>
              <w:ind w:left="0"/>
              <w:rPr>
                <w:sz w:val="16"/>
                <w:szCs w:val="16"/>
              </w:rPr>
            </w:pPr>
            <w:r>
              <w:rPr>
                <w:sz w:val="16"/>
                <w:szCs w:val="16"/>
              </w:rPr>
              <w:t>Change by DWI</w:t>
            </w:r>
          </w:p>
        </w:tc>
      </w:tr>
      <w:tr w:rsidR="00EE35F6" w:rsidRPr="00B41D26" w:rsidTr="00EE35F6">
        <w:tc>
          <w:tcPr>
            <w:tcW w:w="2405" w:type="dxa"/>
          </w:tcPr>
          <w:p w:rsidR="00EE35F6" w:rsidRDefault="00EE35F6" w:rsidP="00EE35F6">
            <w:pPr>
              <w:spacing w:after="0"/>
              <w:ind w:left="0"/>
              <w:rPr>
                <w:sz w:val="16"/>
                <w:szCs w:val="16"/>
              </w:rPr>
            </w:pPr>
            <w:r>
              <w:rPr>
                <w:sz w:val="16"/>
                <w:szCs w:val="16"/>
              </w:rPr>
              <w:t>4. Interruptions</w:t>
            </w:r>
          </w:p>
        </w:tc>
        <w:tc>
          <w:tcPr>
            <w:tcW w:w="2551" w:type="dxa"/>
          </w:tcPr>
          <w:p w:rsidR="00EE35F6" w:rsidRDefault="00EE35F6" w:rsidP="00EE35F6">
            <w:pPr>
              <w:spacing w:after="0"/>
              <w:ind w:left="0"/>
              <w:jc w:val="left"/>
              <w:rPr>
                <w:sz w:val="16"/>
                <w:szCs w:val="16"/>
              </w:rPr>
            </w:pPr>
            <w:r>
              <w:rPr>
                <w:sz w:val="16"/>
                <w:szCs w:val="16"/>
              </w:rPr>
              <w:t>4. Interruptions</w:t>
            </w:r>
          </w:p>
        </w:tc>
        <w:tc>
          <w:tcPr>
            <w:tcW w:w="3821" w:type="dxa"/>
          </w:tcPr>
          <w:p w:rsidR="00EE35F6" w:rsidRDefault="00EE35F6" w:rsidP="00EE35F6">
            <w:pPr>
              <w:spacing w:after="0"/>
              <w:ind w:left="0"/>
              <w:rPr>
                <w:sz w:val="16"/>
                <w:szCs w:val="16"/>
              </w:rPr>
            </w:pPr>
            <w:r>
              <w:rPr>
                <w:sz w:val="16"/>
                <w:szCs w:val="16"/>
              </w:rPr>
              <w:t>No change – other than methodology</w:t>
            </w:r>
          </w:p>
        </w:tc>
      </w:tr>
      <w:tr w:rsidR="00EE35F6" w:rsidRPr="00B41D26" w:rsidTr="00EE35F6">
        <w:tc>
          <w:tcPr>
            <w:tcW w:w="2405" w:type="dxa"/>
          </w:tcPr>
          <w:p w:rsidR="00EE35F6" w:rsidRDefault="00EE35F6" w:rsidP="00EE35F6">
            <w:pPr>
              <w:spacing w:after="0"/>
              <w:ind w:left="0"/>
              <w:rPr>
                <w:sz w:val="16"/>
                <w:szCs w:val="16"/>
              </w:rPr>
            </w:pPr>
            <w:r>
              <w:rPr>
                <w:sz w:val="16"/>
                <w:szCs w:val="16"/>
              </w:rPr>
              <w:t>5. Mains bursts</w:t>
            </w:r>
          </w:p>
        </w:tc>
        <w:tc>
          <w:tcPr>
            <w:tcW w:w="2551" w:type="dxa"/>
          </w:tcPr>
          <w:p w:rsidR="00EE35F6" w:rsidRDefault="00EE35F6" w:rsidP="00EE35F6">
            <w:pPr>
              <w:spacing w:after="0"/>
              <w:ind w:left="0"/>
              <w:jc w:val="left"/>
              <w:rPr>
                <w:sz w:val="16"/>
                <w:szCs w:val="16"/>
              </w:rPr>
            </w:pPr>
            <w:r>
              <w:rPr>
                <w:sz w:val="16"/>
                <w:szCs w:val="16"/>
              </w:rPr>
              <w:t>5. Mains repairs</w:t>
            </w:r>
          </w:p>
        </w:tc>
        <w:tc>
          <w:tcPr>
            <w:tcW w:w="3821" w:type="dxa"/>
          </w:tcPr>
          <w:p w:rsidR="00EE35F6" w:rsidRDefault="00EE35F6" w:rsidP="00EE35F6">
            <w:pPr>
              <w:spacing w:after="0"/>
              <w:ind w:left="0"/>
              <w:rPr>
                <w:sz w:val="16"/>
                <w:szCs w:val="16"/>
              </w:rPr>
            </w:pPr>
            <w:r>
              <w:rPr>
                <w:sz w:val="16"/>
                <w:szCs w:val="16"/>
              </w:rPr>
              <w:t>No change – other than methodology</w:t>
            </w:r>
          </w:p>
        </w:tc>
      </w:tr>
      <w:tr w:rsidR="00EE35F6" w:rsidRPr="00B41D26" w:rsidTr="00EE35F6">
        <w:tc>
          <w:tcPr>
            <w:tcW w:w="2405" w:type="dxa"/>
          </w:tcPr>
          <w:p w:rsidR="00EE35F6" w:rsidRDefault="00EE35F6" w:rsidP="00EE35F6">
            <w:pPr>
              <w:spacing w:after="0"/>
              <w:ind w:left="0"/>
              <w:rPr>
                <w:sz w:val="16"/>
                <w:szCs w:val="16"/>
              </w:rPr>
            </w:pPr>
            <w:r>
              <w:rPr>
                <w:sz w:val="16"/>
                <w:szCs w:val="16"/>
              </w:rPr>
              <w:t>6. SIM</w:t>
            </w:r>
          </w:p>
        </w:tc>
        <w:tc>
          <w:tcPr>
            <w:tcW w:w="2551" w:type="dxa"/>
          </w:tcPr>
          <w:p w:rsidR="00EE35F6" w:rsidRDefault="00EE35F6" w:rsidP="00EE35F6">
            <w:pPr>
              <w:spacing w:after="0"/>
              <w:ind w:left="0"/>
              <w:jc w:val="left"/>
              <w:rPr>
                <w:sz w:val="16"/>
                <w:szCs w:val="16"/>
              </w:rPr>
            </w:pPr>
            <w:r>
              <w:rPr>
                <w:sz w:val="16"/>
                <w:szCs w:val="16"/>
              </w:rPr>
              <w:t>6. C-Mex</w:t>
            </w:r>
          </w:p>
        </w:tc>
        <w:tc>
          <w:tcPr>
            <w:tcW w:w="3821" w:type="dxa"/>
          </w:tcPr>
          <w:p w:rsidR="00EE35F6" w:rsidRDefault="00EE35F6" w:rsidP="00EE35F6">
            <w:pPr>
              <w:spacing w:after="0"/>
              <w:ind w:left="0"/>
              <w:rPr>
                <w:sz w:val="16"/>
                <w:szCs w:val="16"/>
              </w:rPr>
            </w:pPr>
            <w:r>
              <w:rPr>
                <w:sz w:val="16"/>
                <w:szCs w:val="16"/>
              </w:rPr>
              <w:t>Change by Ofwat</w:t>
            </w:r>
          </w:p>
        </w:tc>
      </w:tr>
      <w:tr w:rsidR="00EE35F6" w:rsidRPr="00B41D26" w:rsidTr="00EE35F6">
        <w:tc>
          <w:tcPr>
            <w:tcW w:w="2405" w:type="dxa"/>
          </w:tcPr>
          <w:p w:rsidR="00EE35F6" w:rsidRDefault="00EE35F6" w:rsidP="00EE35F6">
            <w:pPr>
              <w:spacing w:after="0"/>
              <w:ind w:left="0"/>
              <w:rPr>
                <w:sz w:val="16"/>
                <w:szCs w:val="16"/>
              </w:rPr>
            </w:pPr>
            <w:r>
              <w:rPr>
                <w:sz w:val="16"/>
                <w:szCs w:val="16"/>
              </w:rPr>
              <w:t>7. Developer Survey</w:t>
            </w:r>
          </w:p>
        </w:tc>
        <w:tc>
          <w:tcPr>
            <w:tcW w:w="2551" w:type="dxa"/>
          </w:tcPr>
          <w:p w:rsidR="00EE35F6" w:rsidRDefault="00EE35F6" w:rsidP="00EE35F6">
            <w:pPr>
              <w:spacing w:after="0"/>
              <w:ind w:left="0"/>
              <w:jc w:val="left"/>
              <w:rPr>
                <w:sz w:val="16"/>
                <w:szCs w:val="16"/>
              </w:rPr>
            </w:pPr>
            <w:r>
              <w:rPr>
                <w:sz w:val="16"/>
                <w:szCs w:val="16"/>
              </w:rPr>
              <w:t>7. D-Mex</w:t>
            </w:r>
          </w:p>
        </w:tc>
        <w:tc>
          <w:tcPr>
            <w:tcW w:w="3821" w:type="dxa"/>
          </w:tcPr>
          <w:p w:rsidR="00EE35F6" w:rsidRDefault="00EE35F6" w:rsidP="00EE35F6">
            <w:pPr>
              <w:spacing w:after="0"/>
              <w:ind w:left="0"/>
              <w:rPr>
                <w:sz w:val="16"/>
                <w:szCs w:val="16"/>
              </w:rPr>
            </w:pPr>
            <w:r>
              <w:rPr>
                <w:sz w:val="16"/>
                <w:szCs w:val="16"/>
              </w:rPr>
              <w:t>Developed by Ofwat</w:t>
            </w:r>
          </w:p>
        </w:tc>
      </w:tr>
      <w:tr w:rsidR="00EE35F6" w:rsidRPr="00B41D26" w:rsidTr="00EE35F6">
        <w:tc>
          <w:tcPr>
            <w:tcW w:w="2405" w:type="dxa"/>
          </w:tcPr>
          <w:p w:rsidR="00EE35F6" w:rsidRDefault="00EE35F6" w:rsidP="00EE35F6">
            <w:pPr>
              <w:spacing w:after="0"/>
              <w:ind w:left="0"/>
              <w:rPr>
                <w:sz w:val="16"/>
                <w:szCs w:val="16"/>
              </w:rPr>
            </w:pPr>
            <w:r>
              <w:rPr>
                <w:sz w:val="16"/>
                <w:szCs w:val="16"/>
              </w:rPr>
              <w:t>8. Biodiversity</w:t>
            </w:r>
          </w:p>
        </w:tc>
        <w:tc>
          <w:tcPr>
            <w:tcW w:w="2551" w:type="dxa"/>
          </w:tcPr>
          <w:p w:rsidR="00EE35F6" w:rsidRDefault="00EE35F6" w:rsidP="00EE35F6">
            <w:pPr>
              <w:spacing w:after="0"/>
              <w:ind w:left="0"/>
              <w:jc w:val="left"/>
              <w:rPr>
                <w:sz w:val="16"/>
                <w:szCs w:val="16"/>
              </w:rPr>
            </w:pPr>
            <w:r>
              <w:rPr>
                <w:sz w:val="16"/>
                <w:szCs w:val="16"/>
              </w:rPr>
              <w:t>8. Biodiversity</w:t>
            </w:r>
          </w:p>
        </w:tc>
        <w:tc>
          <w:tcPr>
            <w:tcW w:w="3821" w:type="dxa"/>
          </w:tcPr>
          <w:p w:rsidR="00EE35F6" w:rsidRDefault="00EE35F6" w:rsidP="00EE35F6">
            <w:pPr>
              <w:spacing w:after="0"/>
              <w:ind w:left="0"/>
              <w:rPr>
                <w:sz w:val="16"/>
                <w:szCs w:val="16"/>
              </w:rPr>
            </w:pPr>
            <w:r>
              <w:rPr>
                <w:sz w:val="16"/>
                <w:szCs w:val="16"/>
              </w:rPr>
              <w:t>Expanded by Company</w:t>
            </w:r>
          </w:p>
        </w:tc>
      </w:tr>
      <w:tr w:rsidR="00EE35F6" w:rsidRPr="00B41D26" w:rsidTr="00EE35F6">
        <w:tc>
          <w:tcPr>
            <w:tcW w:w="2405" w:type="dxa"/>
          </w:tcPr>
          <w:p w:rsidR="00EE35F6" w:rsidRDefault="00EE35F6" w:rsidP="00EE35F6">
            <w:pPr>
              <w:spacing w:after="0"/>
              <w:ind w:left="0"/>
              <w:rPr>
                <w:sz w:val="16"/>
                <w:szCs w:val="16"/>
              </w:rPr>
            </w:pPr>
            <w:r>
              <w:rPr>
                <w:sz w:val="16"/>
                <w:szCs w:val="16"/>
              </w:rPr>
              <w:t>9. Water Framework Directive</w:t>
            </w:r>
          </w:p>
        </w:tc>
        <w:tc>
          <w:tcPr>
            <w:tcW w:w="2551" w:type="dxa"/>
          </w:tcPr>
          <w:p w:rsidR="00EE35F6" w:rsidRDefault="00EE35F6" w:rsidP="00EE35F6">
            <w:pPr>
              <w:spacing w:after="0"/>
              <w:ind w:left="0"/>
              <w:jc w:val="left"/>
              <w:rPr>
                <w:sz w:val="16"/>
                <w:szCs w:val="16"/>
              </w:rPr>
            </w:pPr>
            <w:r>
              <w:rPr>
                <w:sz w:val="16"/>
                <w:szCs w:val="16"/>
              </w:rPr>
              <w:t>9. Catchment Management</w:t>
            </w:r>
          </w:p>
        </w:tc>
        <w:tc>
          <w:tcPr>
            <w:tcW w:w="3821" w:type="dxa"/>
          </w:tcPr>
          <w:p w:rsidR="00EE35F6" w:rsidRDefault="00EE35F6" w:rsidP="00EE35F6">
            <w:pPr>
              <w:spacing w:after="0"/>
              <w:ind w:left="0"/>
              <w:rPr>
                <w:sz w:val="16"/>
                <w:szCs w:val="16"/>
              </w:rPr>
            </w:pPr>
            <w:r>
              <w:rPr>
                <w:sz w:val="16"/>
                <w:szCs w:val="16"/>
              </w:rPr>
              <w:t>Refined by Company</w:t>
            </w:r>
          </w:p>
        </w:tc>
      </w:tr>
      <w:tr w:rsidR="00EE35F6" w:rsidRPr="00B41D26" w:rsidTr="00EE35F6">
        <w:tc>
          <w:tcPr>
            <w:tcW w:w="2405" w:type="dxa"/>
          </w:tcPr>
          <w:p w:rsidR="00EE35F6" w:rsidRDefault="00EE35F6" w:rsidP="00EE35F6">
            <w:pPr>
              <w:spacing w:after="0"/>
              <w:ind w:left="0"/>
              <w:rPr>
                <w:sz w:val="16"/>
                <w:szCs w:val="16"/>
              </w:rPr>
            </w:pPr>
            <w:r>
              <w:rPr>
                <w:sz w:val="16"/>
                <w:szCs w:val="16"/>
              </w:rPr>
              <w:t>10. Carbon</w:t>
            </w:r>
          </w:p>
        </w:tc>
        <w:tc>
          <w:tcPr>
            <w:tcW w:w="2551" w:type="dxa"/>
          </w:tcPr>
          <w:p w:rsidR="00EE35F6" w:rsidRDefault="00EE35F6" w:rsidP="00EE35F6">
            <w:pPr>
              <w:spacing w:after="0"/>
              <w:ind w:left="0"/>
              <w:jc w:val="left"/>
              <w:rPr>
                <w:sz w:val="16"/>
                <w:szCs w:val="16"/>
              </w:rPr>
            </w:pPr>
            <w:r>
              <w:rPr>
                <w:sz w:val="16"/>
                <w:szCs w:val="16"/>
              </w:rPr>
              <w:t>10. Carbon</w:t>
            </w:r>
          </w:p>
        </w:tc>
        <w:tc>
          <w:tcPr>
            <w:tcW w:w="3821" w:type="dxa"/>
          </w:tcPr>
          <w:p w:rsidR="00EE35F6" w:rsidRDefault="00EE35F6" w:rsidP="00EE35F6">
            <w:pPr>
              <w:spacing w:after="0"/>
              <w:ind w:left="0"/>
              <w:rPr>
                <w:sz w:val="16"/>
                <w:szCs w:val="16"/>
              </w:rPr>
            </w:pPr>
            <w:r>
              <w:rPr>
                <w:sz w:val="16"/>
                <w:szCs w:val="16"/>
              </w:rPr>
              <w:t>Refined by Company</w:t>
            </w:r>
          </w:p>
        </w:tc>
      </w:tr>
      <w:tr w:rsidR="00EE35F6" w:rsidRPr="00B41D26" w:rsidTr="00EE35F6">
        <w:tc>
          <w:tcPr>
            <w:tcW w:w="2405" w:type="dxa"/>
          </w:tcPr>
          <w:p w:rsidR="00EE35F6" w:rsidRDefault="00EE35F6" w:rsidP="00EE35F6">
            <w:pPr>
              <w:spacing w:after="0"/>
              <w:ind w:left="0"/>
              <w:rPr>
                <w:sz w:val="16"/>
                <w:szCs w:val="16"/>
              </w:rPr>
            </w:pPr>
            <w:r>
              <w:rPr>
                <w:sz w:val="16"/>
                <w:szCs w:val="16"/>
              </w:rPr>
              <w:t>11. TUBs</w:t>
            </w:r>
          </w:p>
        </w:tc>
        <w:tc>
          <w:tcPr>
            <w:tcW w:w="2551" w:type="dxa"/>
          </w:tcPr>
          <w:p w:rsidR="00EE35F6" w:rsidRDefault="00EE35F6" w:rsidP="00EE35F6">
            <w:pPr>
              <w:spacing w:after="0"/>
              <w:ind w:left="0"/>
              <w:jc w:val="left"/>
              <w:rPr>
                <w:sz w:val="16"/>
                <w:szCs w:val="16"/>
              </w:rPr>
            </w:pPr>
            <w:r>
              <w:rPr>
                <w:sz w:val="16"/>
                <w:szCs w:val="16"/>
              </w:rPr>
              <w:t>11. TUBs</w:t>
            </w:r>
          </w:p>
        </w:tc>
        <w:tc>
          <w:tcPr>
            <w:tcW w:w="3821" w:type="dxa"/>
          </w:tcPr>
          <w:p w:rsidR="00EE35F6" w:rsidRDefault="00EE35F6" w:rsidP="00EE35F6">
            <w:pPr>
              <w:spacing w:after="0"/>
              <w:ind w:left="0"/>
              <w:rPr>
                <w:sz w:val="16"/>
                <w:szCs w:val="16"/>
              </w:rPr>
            </w:pPr>
            <w:r>
              <w:rPr>
                <w:sz w:val="16"/>
                <w:szCs w:val="16"/>
              </w:rPr>
              <w:t>No change</w:t>
            </w:r>
          </w:p>
        </w:tc>
      </w:tr>
      <w:tr w:rsidR="00EE35F6" w:rsidRPr="00B41D26" w:rsidTr="00EE35F6">
        <w:tc>
          <w:tcPr>
            <w:tcW w:w="2405" w:type="dxa"/>
          </w:tcPr>
          <w:p w:rsidR="00EE35F6" w:rsidRDefault="00EE35F6" w:rsidP="00EE35F6">
            <w:pPr>
              <w:spacing w:after="0"/>
              <w:ind w:left="0"/>
              <w:rPr>
                <w:sz w:val="16"/>
                <w:szCs w:val="16"/>
              </w:rPr>
            </w:pPr>
            <w:r>
              <w:rPr>
                <w:sz w:val="16"/>
                <w:szCs w:val="16"/>
              </w:rPr>
              <w:t>12. Water Quality Contacts</w:t>
            </w:r>
          </w:p>
        </w:tc>
        <w:tc>
          <w:tcPr>
            <w:tcW w:w="2551" w:type="dxa"/>
          </w:tcPr>
          <w:p w:rsidR="00EE35F6" w:rsidRDefault="00EE35F6" w:rsidP="00EE35F6">
            <w:pPr>
              <w:spacing w:after="0"/>
              <w:ind w:left="0"/>
              <w:jc w:val="left"/>
              <w:rPr>
                <w:sz w:val="16"/>
                <w:szCs w:val="16"/>
              </w:rPr>
            </w:pPr>
            <w:r>
              <w:rPr>
                <w:sz w:val="16"/>
                <w:szCs w:val="16"/>
              </w:rPr>
              <w:t>12. Water Quality Contacts (Black/Brown/Orange)</w:t>
            </w:r>
          </w:p>
        </w:tc>
        <w:tc>
          <w:tcPr>
            <w:tcW w:w="3821" w:type="dxa"/>
          </w:tcPr>
          <w:p w:rsidR="00EE35F6" w:rsidRDefault="00EE35F6" w:rsidP="00EE35F6">
            <w:pPr>
              <w:spacing w:after="0"/>
              <w:ind w:left="0"/>
              <w:rPr>
                <w:sz w:val="16"/>
                <w:szCs w:val="16"/>
              </w:rPr>
            </w:pPr>
            <w:r>
              <w:rPr>
                <w:sz w:val="16"/>
                <w:szCs w:val="16"/>
              </w:rPr>
              <w:t>Change by Company</w:t>
            </w:r>
          </w:p>
        </w:tc>
      </w:tr>
      <w:tr w:rsidR="00EE35F6" w:rsidRPr="00B41D26" w:rsidTr="00EE35F6">
        <w:tc>
          <w:tcPr>
            <w:tcW w:w="2405" w:type="dxa"/>
          </w:tcPr>
          <w:p w:rsidR="00EE35F6" w:rsidRDefault="00EE35F6" w:rsidP="00EE35F6">
            <w:pPr>
              <w:spacing w:after="0"/>
              <w:ind w:left="0"/>
              <w:rPr>
                <w:sz w:val="16"/>
                <w:szCs w:val="16"/>
              </w:rPr>
            </w:pPr>
            <w:r>
              <w:rPr>
                <w:sz w:val="16"/>
                <w:szCs w:val="16"/>
              </w:rPr>
              <w:t>13. RoSPA</w:t>
            </w:r>
          </w:p>
        </w:tc>
        <w:tc>
          <w:tcPr>
            <w:tcW w:w="2551" w:type="dxa"/>
          </w:tcPr>
          <w:p w:rsidR="00EE35F6" w:rsidRDefault="00EE35F6" w:rsidP="00EE35F6">
            <w:pPr>
              <w:spacing w:after="0"/>
              <w:ind w:left="0"/>
              <w:jc w:val="left"/>
              <w:rPr>
                <w:sz w:val="16"/>
                <w:szCs w:val="16"/>
              </w:rPr>
            </w:pPr>
            <w:r>
              <w:rPr>
                <w:sz w:val="16"/>
                <w:szCs w:val="16"/>
              </w:rPr>
              <w:t>13. RoSPA</w:t>
            </w:r>
          </w:p>
        </w:tc>
        <w:tc>
          <w:tcPr>
            <w:tcW w:w="3821" w:type="dxa"/>
          </w:tcPr>
          <w:p w:rsidR="00EE35F6" w:rsidRDefault="00EE35F6" w:rsidP="00EE35F6">
            <w:pPr>
              <w:spacing w:after="0"/>
              <w:ind w:left="0"/>
              <w:rPr>
                <w:sz w:val="16"/>
                <w:szCs w:val="16"/>
              </w:rPr>
            </w:pPr>
            <w:r>
              <w:rPr>
                <w:sz w:val="16"/>
                <w:szCs w:val="16"/>
              </w:rPr>
              <w:t>No change</w:t>
            </w:r>
          </w:p>
        </w:tc>
      </w:tr>
    </w:tbl>
    <w:p w:rsidR="00B41D26" w:rsidRDefault="00B41D26" w:rsidP="00EE35F6">
      <w:pPr>
        <w:spacing w:after="0"/>
      </w:pPr>
    </w:p>
    <w:p w:rsidR="00EE35F6" w:rsidRDefault="00EE35F6" w:rsidP="00E80D1A">
      <w:r>
        <w:t>Of our 1</w:t>
      </w:r>
      <w:r w:rsidR="00897808">
        <w:t>3</w:t>
      </w:r>
      <w:r>
        <w:t xml:space="preserve"> current ODIs we proposed to replace Water Quality Contacts (as reported to DWI) with a </w:t>
      </w:r>
      <w:r w:rsidR="00897808">
        <w:t xml:space="preserve">more </w:t>
      </w:r>
      <w:r>
        <w:t>specific measure of Water Quality Contacts, which relates to asset health, the number of contacts due to black/brown/orange water.</w:t>
      </w:r>
    </w:p>
    <w:p w:rsidR="00EE35F6" w:rsidRPr="0038774E" w:rsidRDefault="00EE35F6" w:rsidP="00E80D1A">
      <w:r>
        <w:t>Our performance on this aggregate measure was industry leading in 2017 at 0.55 contacts per 1,000 population.  We believe our chosen measure, a choice from the asset health pick list, more accurately measures items we can control.</w:t>
      </w:r>
    </w:p>
    <w:p w:rsidR="004132EC" w:rsidRPr="0038774E" w:rsidRDefault="00185CAD" w:rsidP="00E80D1A">
      <w:r w:rsidRPr="00185CAD">
        <w:t xml:space="preserve">The </w:t>
      </w:r>
      <w:r>
        <w:t>t</w:t>
      </w:r>
      <w:r w:rsidR="004132EC" w:rsidRPr="00185CAD">
        <w:t xml:space="preserve">able </w:t>
      </w:r>
      <w:r w:rsidR="004132EC" w:rsidRPr="0038774E">
        <w:t>below shows the</w:t>
      </w:r>
      <w:r w:rsidR="004132EC">
        <w:t xml:space="preserve"> PCs</w:t>
      </w:r>
      <w:r w:rsidR="004132EC" w:rsidRPr="0038774E">
        <w:t xml:space="preserve"> we have </w:t>
      </w:r>
      <w:r w:rsidR="00AA4F8F" w:rsidRPr="0038774E">
        <w:t>propose</w:t>
      </w:r>
      <w:r w:rsidR="00AA4F8F">
        <w:t>d</w:t>
      </w:r>
      <w:r w:rsidR="004132EC" w:rsidRPr="0038774E">
        <w:t xml:space="preserve"> </w:t>
      </w:r>
      <w:r w:rsidR="004132EC">
        <w:t xml:space="preserve">align to </w:t>
      </w:r>
      <w:r w:rsidR="004132EC" w:rsidRPr="0038774E">
        <w:t xml:space="preserve">the 7 </w:t>
      </w:r>
      <w:r w:rsidR="004132EC">
        <w:t>Outcomes</w:t>
      </w:r>
      <w:r w:rsidR="004132EC" w:rsidRPr="0038774E">
        <w:t xml:space="preserve"> we have</w:t>
      </w:r>
      <w:r w:rsidR="004132EC">
        <w:t xml:space="preserve"> tested with customers</w:t>
      </w:r>
      <w:r w:rsidR="004132EC" w:rsidRPr="0038774E">
        <w:t xml:space="preserve">.  </w:t>
      </w:r>
      <w:r w:rsidR="00EE0DB3">
        <w:t xml:space="preserve">It also maps </w:t>
      </w:r>
      <w:r w:rsidR="004132EC" w:rsidRPr="0038774E">
        <w:t xml:space="preserve">which </w:t>
      </w:r>
      <w:r w:rsidR="004132EC">
        <w:t xml:space="preserve">price control </w:t>
      </w:r>
      <w:r w:rsidR="004132EC" w:rsidRPr="0038774E">
        <w:t xml:space="preserve">unit each </w:t>
      </w:r>
      <w:r w:rsidR="004132EC">
        <w:t>PC relates to</w:t>
      </w:r>
      <w:r w:rsidR="004132EC" w:rsidRPr="0038774E">
        <w:t xml:space="preserve">.  </w:t>
      </w:r>
      <w:r w:rsidR="008956D2">
        <w:t>(</w:t>
      </w:r>
      <w:r w:rsidR="004132EC" w:rsidRPr="0038774E">
        <w:t xml:space="preserve">There is </w:t>
      </w:r>
      <w:r w:rsidR="008D2111">
        <w:t xml:space="preserve">a </w:t>
      </w:r>
      <w:r w:rsidR="004132EC" w:rsidRPr="0038774E">
        <w:t xml:space="preserve">category for the </w:t>
      </w:r>
      <w:r w:rsidR="004132EC">
        <w:t>“</w:t>
      </w:r>
      <w:r w:rsidR="004132EC" w:rsidRPr="0038774E">
        <w:t>Appointed Business</w:t>
      </w:r>
      <w:r w:rsidR="004132EC">
        <w:t>”</w:t>
      </w:r>
      <w:r w:rsidR="004132EC" w:rsidRPr="0038774E">
        <w:t xml:space="preserve"> as a </w:t>
      </w:r>
      <w:r w:rsidR="00AA4F8F" w:rsidRPr="0038774E">
        <w:t>whole</w:t>
      </w:r>
      <w:r w:rsidR="004132EC" w:rsidRPr="0038774E">
        <w:t xml:space="preserve"> given </w:t>
      </w:r>
      <w:r w:rsidR="004132EC">
        <w:t>some PC</w:t>
      </w:r>
      <w:r w:rsidR="004132EC" w:rsidRPr="0038774E">
        <w:t xml:space="preserve"> </w:t>
      </w:r>
      <w:r w:rsidR="004132EC">
        <w:t xml:space="preserve">may </w:t>
      </w:r>
      <w:r w:rsidR="004132EC" w:rsidRPr="0038774E">
        <w:t>cover all areas of our business</w:t>
      </w:r>
      <w:r w:rsidR="008956D2">
        <w:t>)</w:t>
      </w:r>
      <w:r w:rsidR="004132EC" w:rsidRPr="0038774E">
        <w:t>.</w:t>
      </w:r>
    </w:p>
    <w:p w:rsidR="004132EC" w:rsidRPr="0038774E" w:rsidRDefault="00964B14" w:rsidP="00E80D1A">
      <w:pPr>
        <w:rPr>
          <w:b/>
        </w:rPr>
      </w:pPr>
      <w:r>
        <w:rPr>
          <w:b/>
        </w:rPr>
        <w:t>Performance Commitments</w:t>
      </w:r>
      <w:r w:rsidR="004132EC">
        <w:rPr>
          <w:b/>
        </w:rPr>
        <w:t xml:space="preserve"> </w:t>
      </w:r>
      <w:r w:rsidR="004132EC" w:rsidRPr="0038774E">
        <w:rPr>
          <w:b/>
        </w:rPr>
        <w:t xml:space="preserve">for PR19 by </w:t>
      </w:r>
      <w:r w:rsidR="004132EC">
        <w:rPr>
          <w:b/>
        </w:rPr>
        <w:t xml:space="preserve">Price Control </w:t>
      </w:r>
      <w:r w:rsidR="004132EC" w:rsidRPr="0038774E">
        <w:rPr>
          <w:b/>
        </w:rPr>
        <w:t>Unit</w:t>
      </w:r>
    </w:p>
    <w:tbl>
      <w:tblPr>
        <w:tblStyle w:val="TableGrid61"/>
        <w:tblW w:w="9918" w:type="dxa"/>
        <w:tblLook w:val="04A0" w:firstRow="1" w:lastRow="0" w:firstColumn="1" w:lastColumn="0" w:noHBand="0" w:noVBand="1"/>
      </w:tblPr>
      <w:tblGrid>
        <w:gridCol w:w="2547"/>
        <w:gridCol w:w="2268"/>
        <w:gridCol w:w="2268"/>
        <w:gridCol w:w="1417"/>
        <w:gridCol w:w="1418"/>
      </w:tblGrid>
      <w:tr w:rsidR="00C95E00" w:rsidRPr="00C95E00" w:rsidTr="00C95E00">
        <w:tc>
          <w:tcPr>
            <w:tcW w:w="2547" w:type="dxa"/>
            <w:shd w:val="clear" w:color="auto" w:fill="2E74B5" w:themeFill="accent1" w:themeFillShade="BF"/>
          </w:tcPr>
          <w:p w:rsidR="00105E95" w:rsidRPr="00C95E00" w:rsidRDefault="00105E95" w:rsidP="00105E95">
            <w:pPr>
              <w:tabs>
                <w:tab w:val="clear" w:pos="851"/>
              </w:tabs>
              <w:spacing w:after="0"/>
              <w:ind w:left="0"/>
              <w:jc w:val="center"/>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PR19 Outcomes</w:t>
            </w:r>
          </w:p>
        </w:tc>
        <w:tc>
          <w:tcPr>
            <w:tcW w:w="2268" w:type="dxa"/>
            <w:shd w:val="clear" w:color="auto" w:fill="2E74B5" w:themeFill="accent1" w:themeFillShade="BF"/>
          </w:tcPr>
          <w:p w:rsidR="00105E95" w:rsidRPr="00C95E00" w:rsidRDefault="00105E95" w:rsidP="00105E95">
            <w:pPr>
              <w:tabs>
                <w:tab w:val="clear" w:pos="851"/>
              </w:tabs>
              <w:spacing w:after="0"/>
              <w:ind w:left="0"/>
              <w:jc w:val="center"/>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Water</w:t>
            </w:r>
          </w:p>
          <w:p w:rsidR="00105E95" w:rsidRPr="00C95E00" w:rsidRDefault="00105E95" w:rsidP="00105E95">
            <w:pPr>
              <w:tabs>
                <w:tab w:val="clear" w:pos="851"/>
              </w:tabs>
              <w:spacing w:after="0"/>
              <w:ind w:left="0"/>
              <w:jc w:val="center"/>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Resources</w:t>
            </w:r>
          </w:p>
        </w:tc>
        <w:tc>
          <w:tcPr>
            <w:tcW w:w="2268" w:type="dxa"/>
            <w:shd w:val="clear" w:color="auto" w:fill="2E74B5" w:themeFill="accent1" w:themeFillShade="BF"/>
          </w:tcPr>
          <w:p w:rsidR="00105E95" w:rsidRPr="00C95E00" w:rsidRDefault="00105E95" w:rsidP="00105E95">
            <w:pPr>
              <w:tabs>
                <w:tab w:val="clear" w:pos="851"/>
              </w:tabs>
              <w:spacing w:after="0"/>
              <w:ind w:left="0"/>
              <w:jc w:val="center"/>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Network</w:t>
            </w:r>
          </w:p>
          <w:p w:rsidR="00105E95" w:rsidRPr="00C95E00" w:rsidRDefault="00105E95" w:rsidP="00105E95">
            <w:pPr>
              <w:tabs>
                <w:tab w:val="clear" w:pos="851"/>
              </w:tabs>
              <w:spacing w:after="0"/>
              <w:ind w:left="0"/>
              <w:jc w:val="center"/>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Plus</w:t>
            </w:r>
          </w:p>
        </w:tc>
        <w:tc>
          <w:tcPr>
            <w:tcW w:w="1417" w:type="dxa"/>
            <w:shd w:val="clear" w:color="auto" w:fill="2E74B5" w:themeFill="accent1" w:themeFillShade="BF"/>
          </w:tcPr>
          <w:p w:rsidR="00105E95" w:rsidRPr="00C95E00" w:rsidRDefault="00105E95" w:rsidP="00105E95">
            <w:pPr>
              <w:tabs>
                <w:tab w:val="clear" w:pos="851"/>
              </w:tabs>
              <w:spacing w:after="0"/>
              <w:ind w:left="0"/>
              <w:jc w:val="center"/>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Residential Retail</w:t>
            </w:r>
          </w:p>
        </w:tc>
        <w:tc>
          <w:tcPr>
            <w:tcW w:w="1418" w:type="dxa"/>
            <w:shd w:val="clear" w:color="auto" w:fill="2E74B5" w:themeFill="accent1" w:themeFillShade="BF"/>
          </w:tcPr>
          <w:p w:rsidR="00105E95" w:rsidRPr="00C95E00" w:rsidRDefault="00105E95" w:rsidP="00105E95">
            <w:pPr>
              <w:tabs>
                <w:tab w:val="clear" w:pos="851"/>
              </w:tabs>
              <w:spacing w:after="0"/>
              <w:ind w:left="0"/>
              <w:jc w:val="center"/>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Appointed business</w:t>
            </w:r>
          </w:p>
        </w:tc>
      </w:tr>
      <w:tr w:rsidR="00105E95" w:rsidRPr="00105E95" w:rsidTr="00105E95">
        <w:tc>
          <w:tcPr>
            <w:tcW w:w="2547" w:type="dxa"/>
          </w:tcPr>
          <w:p w:rsidR="00105E95" w:rsidRPr="00105E95" w:rsidRDefault="00105E95" w:rsidP="00105E95">
            <w:pPr>
              <w:tabs>
                <w:tab w:val="clear" w:pos="851"/>
              </w:tabs>
              <w:spacing w:after="0"/>
              <w:ind w:left="0"/>
              <w:jc w:val="left"/>
              <w:rPr>
                <w:rFonts w:cs="Arial"/>
                <w:sz w:val="16"/>
                <w:szCs w:val="16"/>
              </w:rPr>
            </w:pPr>
            <w:r w:rsidRPr="00105E95">
              <w:rPr>
                <w:rFonts w:cs="Arial"/>
                <w:sz w:val="16"/>
                <w:szCs w:val="16"/>
              </w:rPr>
              <w:t>Safe, secure, and reliable supply of drinking water</w:t>
            </w:r>
            <w:r w:rsidRPr="00105E95">
              <w:rPr>
                <w:rFonts w:cs="Arial"/>
                <w:i/>
                <w:sz w:val="16"/>
                <w:szCs w:val="16"/>
              </w:rPr>
              <w:t xml:space="preserve"> </w:t>
            </w:r>
          </w:p>
        </w:tc>
        <w:tc>
          <w:tcPr>
            <w:tcW w:w="2268" w:type="dxa"/>
          </w:tcPr>
          <w:p w:rsidR="00105E95" w:rsidRPr="00105E95" w:rsidRDefault="00105E95" w:rsidP="00105E95">
            <w:pPr>
              <w:tabs>
                <w:tab w:val="clear" w:pos="851"/>
              </w:tabs>
              <w:spacing w:after="0"/>
              <w:ind w:left="0"/>
              <w:rPr>
                <w:rFonts w:eastAsia="MS Mincho" w:cs="Arial"/>
                <w:sz w:val="16"/>
                <w:szCs w:val="16"/>
                <w:lang w:val="en-US"/>
              </w:rPr>
            </w:pPr>
          </w:p>
        </w:tc>
        <w:tc>
          <w:tcPr>
            <w:tcW w:w="2268"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3. Compliance Risk Index</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4. Interruptions</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 xml:space="preserve">5. Mains repairs </w:t>
            </w:r>
            <w:r w:rsidR="00F836B4">
              <w:rPr>
                <w:rFonts w:eastAsia="MS Mincho" w:cs="Arial"/>
                <w:sz w:val="16"/>
                <w:szCs w:val="16"/>
                <w:lang w:val="en-US"/>
              </w:rPr>
              <w:t>(bursts)</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6. Unplanned outage</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15.</w:t>
            </w:r>
            <w:r w:rsidR="00F836B4">
              <w:rPr>
                <w:rFonts w:eastAsia="MS Mincho" w:cs="Arial"/>
                <w:sz w:val="16"/>
                <w:szCs w:val="16"/>
                <w:lang w:val="en-US"/>
              </w:rPr>
              <w:t>R</w:t>
            </w:r>
            <w:r w:rsidRPr="00105E95">
              <w:rPr>
                <w:rFonts w:eastAsia="MS Mincho" w:cs="Arial"/>
                <w:sz w:val="16"/>
                <w:szCs w:val="16"/>
                <w:lang w:val="en-US"/>
              </w:rPr>
              <w:t>esilience</w:t>
            </w:r>
            <w:r w:rsidR="00F836B4">
              <w:rPr>
                <w:rFonts w:eastAsia="MS Mincho" w:cs="Arial"/>
                <w:sz w:val="16"/>
                <w:szCs w:val="16"/>
                <w:lang w:val="en-US"/>
              </w:rPr>
              <w:t xml:space="preserve"> Schemes</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17. Low pressure</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18. Water quality contacts</w:t>
            </w:r>
          </w:p>
        </w:tc>
        <w:tc>
          <w:tcPr>
            <w:tcW w:w="1417"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105E95">
            <w:pPr>
              <w:tabs>
                <w:tab w:val="clear" w:pos="851"/>
              </w:tabs>
              <w:spacing w:after="0"/>
              <w:ind w:left="0"/>
              <w:rPr>
                <w:rFonts w:eastAsia="MS Mincho" w:cs="Arial"/>
                <w:sz w:val="16"/>
                <w:szCs w:val="16"/>
                <w:lang w:val="en-US"/>
              </w:rPr>
            </w:pPr>
          </w:p>
        </w:tc>
      </w:tr>
      <w:tr w:rsidR="00105E95" w:rsidRPr="00105E95" w:rsidTr="00105E95">
        <w:tc>
          <w:tcPr>
            <w:tcW w:w="2547" w:type="dxa"/>
          </w:tcPr>
          <w:p w:rsidR="00105E95" w:rsidRPr="00105E95" w:rsidRDefault="00105E95" w:rsidP="00105E95">
            <w:pPr>
              <w:tabs>
                <w:tab w:val="clear" w:pos="851"/>
              </w:tabs>
              <w:spacing w:after="0"/>
              <w:ind w:left="0"/>
              <w:jc w:val="left"/>
              <w:rPr>
                <w:rFonts w:cs="Arial"/>
                <w:sz w:val="16"/>
                <w:szCs w:val="16"/>
              </w:rPr>
            </w:pPr>
            <w:r w:rsidRPr="00105E95">
              <w:rPr>
                <w:rFonts w:cs="Arial"/>
                <w:sz w:val="16"/>
                <w:szCs w:val="16"/>
              </w:rPr>
              <w:t>Long term resilience of supplies for our own customers and to support the South East region</w:t>
            </w:r>
          </w:p>
        </w:tc>
        <w:tc>
          <w:tcPr>
            <w:tcW w:w="2268" w:type="dxa"/>
          </w:tcPr>
          <w:p w:rsidR="00105E95" w:rsidRPr="00105E95" w:rsidRDefault="00105E95" w:rsidP="00105E95">
            <w:pPr>
              <w:tabs>
                <w:tab w:val="clear" w:pos="851"/>
              </w:tabs>
              <w:spacing w:after="0"/>
              <w:ind w:left="0"/>
              <w:jc w:val="left"/>
              <w:rPr>
                <w:rFonts w:eastAsia="MS Mincho" w:cs="Arial"/>
                <w:sz w:val="16"/>
                <w:szCs w:val="16"/>
                <w:lang w:val="en-US"/>
              </w:rPr>
            </w:pPr>
            <w:r w:rsidRPr="00105E95">
              <w:rPr>
                <w:rFonts w:eastAsia="MS Mincho" w:cs="Arial"/>
                <w:sz w:val="16"/>
                <w:szCs w:val="16"/>
                <w:lang w:val="en-US"/>
              </w:rPr>
              <w:t>1. Per Capita Consumption</w:t>
            </w:r>
          </w:p>
          <w:p w:rsidR="00105E95" w:rsidRPr="00105E95" w:rsidRDefault="00105E95" w:rsidP="00105E95">
            <w:pPr>
              <w:tabs>
                <w:tab w:val="clear" w:pos="851"/>
              </w:tabs>
              <w:spacing w:after="0"/>
              <w:ind w:left="0"/>
              <w:jc w:val="left"/>
              <w:rPr>
                <w:rFonts w:eastAsia="MS Mincho" w:cs="Arial"/>
                <w:sz w:val="16"/>
                <w:szCs w:val="16"/>
                <w:lang w:val="en-US"/>
              </w:rPr>
            </w:pPr>
            <w:r w:rsidRPr="00105E95">
              <w:rPr>
                <w:rFonts w:eastAsia="MS Mincho" w:cs="Arial"/>
                <w:sz w:val="16"/>
                <w:szCs w:val="16"/>
                <w:lang w:val="en-US"/>
              </w:rPr>
              <w:t>7. Severe Drought</w:t>
            </w:r>
          </w:p>
          <w:p w:rsidR="00105E95" w:rsidRPr="00105E95" w:rsidRDefault="00105E95" w:rsidP="00105E95">
            <w:pPr>
              <w:tabs>
                <w:tab w:val="clear" w:pos="851"/>
              </w:tabs>
              <w:spacing w:after="0"/>
              <w:ind w:left="0"/>
              <w:jc w:val="left"/>
              <w:rPr>
                <w:rFonts w:eastAsia="MS Mincho" w:cs="Arial"/>
                <w:sz w:val="16"/>
                <w:szCs w:val="16"/>
                <w:lang w:val="en-US"/>
              </w:rPr>
            </w:pPr>
            <w:r w:rsidRPr="00105E95">
              <w:rPr>
                <w:rFonts w:eastAsia="MS Mincho" w:cs="Arial"/>
                <w:sz w:val="16"/>
                <w:szCs w:val="16"/>
                <w:lang w:val="en-US"/>
              </w:rPr>
              <w:t>19. Temporary Usage Bans</w:t>
            </w:r>
          </w:p>
        </w:tc>
        <w:tc>
          <w:tcPr>
            <w:tcW w:w="2268" w:type="dxa"/>
          </w:tcPr>
          <w:p w:rsidR="00105E95" w:rsidRPr="00105E95" w:rsidRDefault="00105E95" w:rsidP="00105E95">
            <w:pPr>
              <w:tabs>
                <w:tab w:val="clear" w:pos="851"/>
              </w:tabs>
              <w:spacing w:after="0"/>
              <w:ind w:left="0"/>
              <w:rPr>
                <w:rFonts w:eastAsia="MS Mincho" w:cs="Arial"/>
                <w:sz w:val="16"/>
                <w:szCs w:val="16"/>
                <w:lang w:val="en-US"/>
              </w:rPr>
            </w:pPr>
          </w:p>
          <w:p w:rsidR="00105E95" w:rsidRPr="00105E95" w:rsidRDefault="00105E95" w:rsidP="00105E95">
            <w:pPr>
              <w:tabs>
                <w:tab w:val="clear" w:pos="851"/>
              </w:tabs>
              <w:spacing w:after="0"/>
              <w:ind w:left="0"/>
              <w:rPr>
                <w:rFonts w:eastAsia="MS Mincho" w:cs="Arial"/>
                <w:sz w:val="16"/>
                <w:szCs w:val="16"/>
                <w:lang w:val="en-US"/>
              </w:rPr>
            </w:pPr>
          </w:p>
        </w:tc>
        <w:tc>
          <w:tcPr>
            <w:tcW w:w="1417"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105E95">
            <w:pPr>
              <w:tabs>
                <w:tab w:val="clear" w:pos="851"/>
              </w:tabs>
              <w:spacing w:after="0"/>
              <w:ind w:left="0"/>
              <w:rPr>
                <w:rFonts w:eastAsia="MS Mincho" w:cs="Arial"/>
                <w:sz w:val="16"/>
                <w:szCs w:val="16"/>
                <w:lang w:val="en-US"/>
              </w:rPr>
            </w:pPr>
          </w:p>
        </w:tc>
      </w:tr>
      <w:tr w:rsidR="00105E95" w:rsidRPr="00105E95" w:rsidTr="00105E95">
        <w:tc>
          <w:tcPr>
            <w:tcW w:w="2547" w:type="dxa"/>
          </w:tcPr>
          <w:p w:rsidR="00105E95" w:rsidRPr="00105E95" w:rsidRDefault="00105E95" w:rsidP="00105E95">
            <w:pPr>
              <w:tabs>
                <w:tab w:val="clear" w:pos="851"/>
              </w:tabs>
              <w:spacing w:after="0"/>
              <w:ind w:left="0"/>
              <w:jc w:val="left"/>
              <w:rPr>
                <w:rFonts w:cs="Arial"/>
                <w:sz w:val="16"/>
                <w:szCs w:val="16"/>
              </w:rPr>
            </w:pPr>
            <w:r w:rsidRPr="00105E95">
              <w:rPr>
                <w:rFonts w:cs="Arial"/>
                <w:sz w:val="16"/>
                <w:szCs w:val="16"/>
              </w:rPr>
              <w:t>Low leakage</w:t>
            </w:r>
          </w:p>
        </w:tc>
        <w:tc>
          <w:tcPr>
            <w:tcW w:w="2268" w:type="dxa"/>
          </w:tcPr>
          <w:p w:rsidR="00105E95" w:rsidRPr="00105E95" w:rsidRDefault="00105E95" w:rsidP="00105E95">
            <w:pPr>
              <w:tabs>
                <w:tab w:val="clear" w:pos="851"/>
              </w:tabs>
              <w:spacing w:after="0"/>
              <w:ind w:left="0"/>
              <w:jc w:val="left"/>
              <w:rPr>
                <w:rFonts w:eastAsia="MS Mincho" w:cs="Arial"/>
                <w:sz w:val="16"/>
                <w:szCs w:val="16"/>
                <w:lang w:val="en-US"/>
              </w:rPr>
            </w:pPr>
          </w:p>
        </w:tc>
        <w:tc>
          <w:tcPr>
            <w:tcW w:w="2268"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2. Leakage</w:t>
            </w:r>
          </w:p>
        </w:tc>
        <w:tc>
          <w:tcPr>
            <w:tcW w:w="1417"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105E95">
            <w:pPr>
              <w:tabs>
                <w:tab w:val="clear" w:pos="851"/>
              </w:tabs>
              <w:spacing w:after="0"/>
              <w:ind w:left="0"/>
              <w:rPr>
                <w:rFonts w:eastAsia="MS Mincho" w:cs="Arial"/>
                <w:sz w:val="16"/>
                <w:szCs w:val="16"/>
                <w:lang w:val="en-US"/>
              </w:rPr>
            </w:pPr>
          </w:p>
        </w:tc>
      </w:tr>
      <w:tr w:rsidR="00105E95" w:rsidRPr="00105E95" w:rsidTr="00105E95">
        <w:tc>
          <w:tcPr>
            <w:tcW w:w="2547" w:type="dxa"/>
          </w:tcPr>
          <w:p w:rsidR="00105E95" w:rsidRPr="00105E95" w:rsidRDefault="00105E95" w:rsidP="00105E95">
            <w:pPr>
              <w:tabs>
                <w:tab w:val="clear" w:pos="851"/>
              </w:tabs>
              <w:spacing w:after="0"/>
              <w:ind w:left="0"/>
              <w:jc w:val="left"/>
              <w:rPr>
                <w:rFonts w:cs="Arial"/>
                <w:sz w:val="16"/>
                <w:szCs w:val="16"/>
              </w:rPr>
            </w:pPr>
            <w:r w:rsidRPr="00105E95">
              <w:rPr>
                <w:rFonts w:cs="Arial"/>
                <w:sz w:val="16"/>
                <w:szCs w:val="16"/>
              </w:rPr>
              <w:t>A service tailored to individual needs, at a long term affordable price</w:t>
            </w:r>
          </w:p>
        </w:tc>
        <w:tc>
          <w:tcPr>
            <w:tcW w:w="2268" w:type="dxa"/>
          </w:tcPr>
          <w:p w:rsidR="00105E95" w:rsidRPr="00105E95" w:rsidRDefault="00105E95" w:rsidP="00105E95">
            <w:pPr>
              <w:tabs>
                <w:tab w:val="clear" w:pos="851"/>
              </w:tabs>
              <w:spacing w:after="0"/>
              <w:ind w:left="0"/>
              <w:rPr>
                <w:rFonts w:eastAsia="MS Mincho" w:cs="Arial"/>
                <w:sz w:val="16"/>
                <w:szCs w:val="16"/>
                <w:lang w:val="en-US"/>
              </w:rPr>
            </w:pPr>
          </w:p>
        </w:tc>
        <w:tc>
          <w:tcPr>
            <w:tcW w:w="2268"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9. D-Mex</w:t>
            </w:r>
          </w:p>
        </w:tc>
        <w:tc>
          <w:tcPr>
            <w:tcW w:w="1417"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8. C-Mex</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10. Voids</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11. Affordability</w:t>
            </w:r>
          </w:p>
        </w:tc>
        <w:tc>
          <w:tcPr>
            <w:tcW w:w="1418" w:type="dxa"/>
          </w:tcPr>
          <w:p w:rsidR="00105E95" w:rsidRPr="00105E95" w:rsidRDefault="00105E95" w:rsidP="00105E95">
            <w:pPr>
              <w:tabs>
                <w:tab w:val="clear" w:pos="851"/>
              </w:tabs>
              <w:spacing w:after="0"/>
              <w:ind w:left="0"/>
              <w:rPr>
                <w:rFonts w:eastAsia="MS Mincho" w:cs="Arial"/>
                <w:sz w:val="16"/>
                <w:szCs w:val="16"/>
                <w:lang w:val="en-US"/>
              </w:rPr>
            </w:pPr>
          </w:p>
        </w:tc>
      </w:tr>
      <w:tr w:rsidR="00105E95" w:rsidRPr="00105E95" w:rsidTr="00105E95">
        <w:tc>
          <w:tcPr>
            <w:tcW w:w="2547" w:type="dxa"/>
          </w:tcPr>
          <w:p w:rsidR="00105E95" w:rsidRPr="00105E95" w:rsidRDefault="00105E95" w:rsidP="00105E95">
            <w:pPr>
              <w:tabs>
                <w:tab w:val="clear" w:pos="851"/>
              </w:tabs>
              <w:spacing w:after="0"/>
              <w:ind w:left="0"/>
              <w:jc w:val="left"/>
              <w:rPr>
                <w:rFonts w:cs="Arial"/>
                <w:sz w:val="16"/>
                <w:szCs w:val="16"/>
              </w:rPr>
            </w:pPr>
            <w:r w:rsidRPr="00105E95">
              <w:rPr>
                <w:rFonts w:cs="Arial"/>
                <w:sz w:val="16"/>
                <w:szCs w:val="16"/>
              </w:rPr>
              <w:t>An improved environment, supporting Biodiversity.</w:t>
            </w:r>
          </w:p>
        </w:tc>
        <w:tc>
          <w:tcPr>
            <w:tcW w:w="2268"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14. AIM</w:t>
            </w:r>
          </w:p>
        </w:tc>
        <w:tc>
          <w:tcPr>
            <w:tcW w:w="2268"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13.Catchment Management</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16. Biodiversity</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20. Carbon</w:t>
            </w:r>
          </w:p>
        </w:tc>
        <w:tc>
          <w:tcPr>
            <w:tcW w:w="1417"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105E95">
            <w:pPr>
              <w:tabs>
                <w:tab w:val="clear" w:pos="851"/>
              </w:tabs>
              <w:spacing w:after="0"/>
              <w:ind w:left="0"/>
              <w:rPr>
                <w:rFonts w:eastAsia="MS Mincho" w:cs="Arial"/>
                <w:sz w:val="16"/>
                <w:szCs w:val="16"/>
                <w:lang w:val="en-US"/>
              </w:rPr>
            </w:pPr>
          </w:p>
        </w:tc>
      </w:tr>
      <w:tr w:rsidR="00105E95" w:rsidRPr="00105E95" w:rsidTr="00105E95">
        <w:trPr>
          <w:trHeight w:val="667"/>
        </w:trPr>
        <w:tc>
          <w:tcPr>
            <w:tcW w:w="2547" w:type="dxa"/>
          </w:tcPr>
          <w:p w:rsidR="00105E95" w:rsidRPr="00105E95" w:rsidRDefault="00105E95" w:rsidP="00105E95">
            <w:pPr>
              <w:tabs>
                <w:tab w:val="clear" w:pos="851"/>
              </w:tabs>
              <w:spacing w:after="0"/>
              <w:ind w:left="0"/>
              <w:jc w:val="left"/>
              <w:rPr>
                <w:rFonts w:cs="Arial"/>
                <w:sz w:val="16"/>
                <w:szCs w:val="16"/>
              </w:rPr>
            </w:pPr>
            <w:r w:rsidRPr="00105E95">
              <w:rPr>
                <w:rFonts w:cs="Arial"/>
                <w:sz w:val="16"/>
                <w:szCs w:val="16"/>
              </w:rPr>
              <w:t>Being recognised by the community as a good corporate citizen</w:t>
            </w:r>
          </w:p>
        </w:tc>
        <w:tc>
          <w:tcPr>
            <w:tcW w:w="2268" w:type="dxa"/>
          </w:tcPr>
          <w:p w:rsidR="00105E95" w:rsidRPr="00105E95" w:rsidRDefault="00105E95" w:rsidP="00105E95">
            <w:pPr>
              <w:tabs>
                <w:tab w:val="clear" w:pos="851"/>
              </w:tabs>
              <w:spacing w:after="0"/>
              <w:ind w:left="0"/>
              <w:rPr>
                <w:rFonts w:eastAsia="MS Mincho" w:cs="Arial"/>
                <w:sz w:val="16"/>
                <w:szCs w:val="16"/>
                <w:lang w:val="en-US"/>
              </w:rPr>
            </w:pPr>
          </w:p>
        </w:tc>
        <w:tc>
          <w:tcPr>
            <w:tcW w:w="2268" w:type="dxa"/>
          </w:tcPr>
          <w:p w:rsidR="00105E95" w:rsidRPr="00105E95" w:rsidRDefault="00105E95" w:rsidP="00105E95">
            <w:pPr>
              <w:tabs>
                <w:tab w:val="clear" w:pos="851"/>
              </w:tabs>
              <w:spacing w:after="0"/>
              <w:ind w:left="0"/>
              <w:rPr>
                <w:rFonts w:eastAsia="MS Mincho" w:cs="Arial"/>
                <w:sz w:val="16"/>
                <w:szCs w:val="16"/>
                <w:lang w:val="en-US"/>
              </w:rPr>
            </w:pPr>
          </w:p>
        </w:tc>
        <w:tc>
          <w:tcPr>
            <w:tcW w:w="1417"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12. Vulnerability</w:t>
            </w:r>
          </w:p>
        </w:tc>
      </w:tr>
      <w:tr w:rsidR="00105E95" w:rsidRPr="00105E95" w:rsidTr="00105E95">
        <w:tc>
          <w:tcPr>
            <w:tcW w:w="2547"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Recognised by stakeholders as having a culture of Health and Safety through all our activities Health &amp; Safety</w:t>
            </w:r>
          </w:p>
        </w:tc>
        <w:tc>
          <w:tcPr>
            <w:tcW w:w="2268" w:type="dxa"/>
          </w:tcPr>
          <w:p w:rsidR="00105E95" w:rsidRPr="00105E95" w:rsidRDefault="00105E95" w:rsidP="00105E95">
            <w:pPr>
              <w:tabs>
                <w:tab w:val="clear" w:pos="851"/>
              </w:tabs>
              <w:spacing w:after="0"/>
              <w:ind w:left="0"/>
              <w:rPr>
                <w:rFonts w:eastAsia="MS Mincho" w:cs="Arial"/>
                <w:sz w:val="16"/>
                <w:szCs w:val="16"/>
                <w:lang w:val="en-US"/>
              </w:rPr>
            </w:pPr>
          </w:p>
        </w:tc>
        <w:tc>
          <w:tcPr>
            <w:tcW w:w="2268" w:type="dxa"/>
          </w:tcPr>
          <w:p w:rsidR="00105E95" w:rsidRPr="00105E95" w:rsidRDefault="00105E95" w:rsidP="00105E95">
            <w:pPr>
              <w:tabs>
                <w:tab w:val="clear" w:pos="851"/>
              </w:tabs>
              <w:spacing w:after="0"/>
              <w:ind w:left="0"/>
              <w:rPr>
                <w:rFonts w:eastAsia="MS Mincho" w:cs="Arial"/>
                <w:sz w:val="16"/>
                <w:szCs w:val="16"/>
                <w:lang w:val="en-US"/>
              </w:rPr>
            </w:pPr>
          </w:p>
        </w:tc>
        <w:tc>
          <w:tcPr>
            <w:tcW w:w="1417"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21.Health &amp; Safety</w:t>
            </w:r>
          </w:p>
        </w:tc>
      </w:tr>
    </w:tbl>
    <w:p w:rsidR="00BB506C" w:rsidRDefault="00BB506C" w:rsidP="00BB506C">
      <w:pPr>
        <w:spacing w:after="0"/>
      </w:pPr>
    </w:p>
    <w:p w:rsidR="004132EC" w:rsidRPr="00034524" w:rsidRDefault="004132EC" w:rsidP="00432633">
      <w:r w:rsidRPr="0038774E">
        <w:t xml:space="preserve">Each of these </w:t>
      </w:r>
      <w:r>
        <w:t>PCs and the related ODI</w:t>
      </w:r>
      <w:r w:rsidRPr="0038774E">
        <w:t xml:space="preserve"> </w:t>
      </w:r>
      <w:r w:rsidR="00185CAD">
        <w:t>are</w:t>
      </w:r>
      <w:r w:rsidRPr="0038774E">
        <w:t xml:space="preserve"> described in</w:t>
      </w:r>
      <w:r w:rsidR="00185CAD">
        <w:t xml:space="preserve"> Appendix </w:t>
      </w:r>
      <w:r w:rsidR="00982C97">
        <w:t>3.9</w:t>
      </w:r>
      <w:r w:rsidRPr="0038774E">
        <w:t>.</w:t>
      </w:r>
      <w:r>
        <w:t xml:space="preserve">  </w:t>
      </w:r>
      <w:r w:rsidRPr="00034524">
        <w:t>Further, the table below indicates how each PC has been determined from the Ofwat methodology of common, bespoke, asset health or carried forward from PR14.</w:t>
      </w:r>
    </w:p>
    <w:p w:rsidR="004132EC" w:rsidRPr="0038774E" w:rsidRDefault="00964B14" w:rsidP="00E80D1A">
      <w:pPr>
        <w:rPr>
          <w:b/>
        </w:rPr>
      </w:pPr>
      <w:r>
        <w:rPr>
          <w:b/>
        </w:rPr>
        <w:t>Performance Commitments</w:t>
      </w:r>
      <w:r w:rsidR="004132EC">
        <w:rPr>
          <w:b/>
        </w:rPr>
        <w:t xml:space="preserve"> </w:t>
      </w:r>
      <w:r w:rsidR="004132EC" w:rsidRPr="0038774E">
        <w:rPr>
          <w:b/>
        </w:rPr>
        <w:t xml:space="preserve">for PR19 by </w:t>
      </w:r>
      <w:r w:rsidR="004132EC">
        <w:rPr>
          <w:b/>
        </w:rPr>
        <w:t>Ofwat category</w:t>
      </w:r>
    </w:p>
    <w:tbl>
      <w:tblPr>
        <w:tblStyle w:val="TableGrid62"/>
        <w:tblW w:w="9918" w:type="dxa"/>
        <w:tblLook w:val="04A0" w:firstRow="1" w:lastRow="0" w:firstColumn="1" w:lastColumn="0" w:noHBand="0" w:noVBand="1"/>
      </w:tblPr>
      <w:tblGrid>
        <w:gridCol w:w="2405"/>
        <w:gridCol w:w="1736"/>
        <w:gridCol w:w="1843"/>
        <w:gridCol w:w="2516"/>
        <w:gridCol w:w="1418"/>
      </w:tblGrid>
      <w:tr w:rsidR="00C95E00" w:rsidRPr="00C95E00" w:rsidTr="00C95E00">
        <w:tc>
          <w:tcPr>
            <w:tcW w:w="2405" w:type="dxa"/>
            <w:shd w:val="clear" w:color="auto" w:fill="2E74B5" w:themeFill="accent1" w:themeFillShade="BF"/>
          </w:tcPr>
          <w:p w:rsidR="00105E95" w:rsidRPr="00C95E00" w:rsidRDefault="00105E95" w:rsidP="00105E95">
            <w:pPr>
              <w:tabs>
                <w:tab w:val="clear" w:pos="851"/>
              </w:tabs>
              <w:spacing w:after="0"/>
              <w:ind w:left="0"/>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PR19 Outcomes</w:t>
            </w:r>
          </w:p>
        </w:tc>
        <w:tc>
          <w:tcPr>
            <w:tcW w:w="1736" w:type="dxa"/>
            <w:shd w:val="clear" w:color="auto" w:fill="2E74B5" w:themeFill="accent1" w:themeFillShade="BF"/>
          </w:tcPr>
          <w:p w:rsidR="00105E95" w:rsidRPr="00C95E00" w:rsidRDefault="00105E95" w:rsidP="00105E95">
            <w:pPr>
              <w:tabs>
                <w:tab w:val="clear" w:pos="851"/>
              </w:tabs>
              <w:spacing w:after="0"/>
              <w:ind w:left="0"/>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Common</w:t>
            </w:r>
          </w:p>
        </w:tc>
        <w:tc>
          <w:tcPr>
            <w:tcW w:w="1843" w:type="dxa"/>
            <w:shd w:val="clear" w:color="auto" w:fill="2E74B5" w:themeFill="accent1" w:themeFillShade="BF"/>
          </w:tcPr>
          <w:p w:rsidR="00105E95" w:rsidRPr="00C95E00" w:rsidRDefault="00105E95" w:rsidP="00105E95">
            <w:pPr>
              <w:tabs>
                <w:tab w:val="clear" w:pos="851"/>
              </w:tabs>
              <w:spacing w:after="0"/>
              <w:ind w:left="0"/>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Bespoke</w:t>
            </w:r>
          </w:p>
        </w:tc>
        <w:tc>
          <w:tcPr>
            <w:tcW w:w="2516" w:type="dxa"/>
            <w:shd w:val="clear" w:color="auto" w:fill="2E74B5" w:themeFill="accent1" w:themeFillShade="BF"/>
          </w:tcPr>
          <w:p w:rsidR="00105E95" w:rsidRPr="00C95E00" w:rsidRDefault="00105E95" w:rsidP="00105E95">
            <w:pPr>
              <w:tabs>
                <w:tab w:val="clear" w:pos="851"/>
              </w:tabs>
              <w:spacing w:after="0"/>
              <w:ind w:left="0"/>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Asset Health</w:t>
            </w:r>
          </w:p>
        </w:tc>
        <w:tc>
          <w:tcPr>
            <w:tcW w:w="1418" w:type="dxa"/>
            <w:shd w:val="clear" w:color="auto" w:fill="2E74B5" w:themeFill="accent1" w:themeFillShade="BF"/>
          </w:tcPr>
          <w:p w:rsidR="00105E95" w:rsidRPr="00C95E00" w:rsidRDefault="00105E95" w:rsidP="008956D2">
            <w:pPr>
              <w:tabs>
                <w:tab w:val="clear" w:pos="851"/>
              </w:tabs>
              <w:spacing w:after="0"/>
              <w:ind w:left="0"/>
              <w:jc w:val="left"/>
              <w:rPr>
                <w:rFonts w:eastAsia="MS Mincho" w:cs="Arial"/>
                <w:b/>
                <w:color w:val="FFFFFF" w:themeColor="background1"/>
                <w:sz w:val="16"/>
                <w:szCs w:val="16"/>
                <w:lang w:val="en-US"/>
              </w:rPr>
            </w:pPr>
            <w:r w:rsidRPr="00C95E00">
              <w:rPr>
                <w:rFonts w:eastAsia="MS Mincho" w:cs="Arial"/>
                <w:b/>
                <w:color w:val="FFFFFF" w:themeColor="background1"/>
                <w:sz w:val="16"/>
                <w:szCs w:val="16"/>
                <w:lang w:val="en-US"/>
              </w:rPr>
              <w:t>Carried forward from PR14</w:t>
            </w:r>
          </w:p>
        </w:tc>
      </w:tr>
      <w:tr w:rsidR="00105E95" w:rsidRPr="00105E95" w:rsidTr="00105E95">
        <w:tc>
          <w:tcPr>
            <w:tcW w:w="2405" w:type="dxa"/>
          </w:tcPr>
          <w:p w:rsidR="00105E95" w:rsidRPr="00105E95" w:rsidRDefault="00105E95" w:rsidP="00105E95">
            <w:pPr>
              <w:tabs>
                <w:tab w:val="clear" w:pos="851"/>
              </w:tabs>
              <w:spacing w:after="0"/>
              <w:ind w:left="0"/>
              <w:rPr>
                <w:rFonts w:cs="Arial"/>
                <w:color w:val="00B050"/>
                <w:sz w:val="16"/>
                <w:szCs w:val="16"/>
              </w:rPr>
            </w:pPr>
            <w:r w:rsidRPr="00105E95">
              <w:rPr>
                <w:rFonts w:cs="Arial"/>
                <w:sz w:val="16"/>
                <w:szCs w:val="16"/>
              </w:rPr>
              <w:t>Safe, secure, and reliable supply of drinking water</w:t>
            </w:r>
            <w:r w:rsidRPr="00105E95">
              <w:rPr>
                <w:rFonts w:cs="Arial"/>
                <w:i/>
                <w:color w:val="FF0000"/>
                <w:sz w:val="16"/>
                <w:szCs w:val="16"/>
              </w:rPr>
              <w:t xml:space="preserve"> </w:t>
            </w:r>
          </w:p>
        </w:tc>
        <w:tc>
          <w:tcPr>
            <w:tcW w:w="1736"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3. Compliance Risk Index</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4. Interruptions</w:t>
            </w:r>
          </w:p>
          <w:p w:rsidR="00105E95" w:rsidRPr="00105E95" w:rsidRDefault="00105E95" w:rsidP="00105E95">
            <w:pPr>
              <w:tabs>
                <w:tab w:val="clear" w:pos="851"/>
              </w:tabs>
              <w:spacing w:after="0"/>
              <w:ind w:left="0"/>
              <w:rPr>
                <w:rFonts w:eastAsia="MS Mincho" w:cs="Arial"/>
                <w:sz w:val="16"/>
                <w:szCs w:val="16"/>
                <w:lang w:val="en-US"/>
              </w:rPr>
            </w:pPr>
          </w:p>
        </w:tc>
        <w:tc>
          <w:tcPr>
            <w:tcW w:w="1843"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15.</w:t>
            </w:r>
            <w:r w:rsidR="00F836B4">
              <w:rPr>
                <w:rFonts w:eastAsia="MS Mincho" w:cs="Arial"/>
                <w:sz w:val="16"/>
                <w:szCs w:val="16"/>
                <w:lang w:val="en-US"/>
              </w:rPr>
              <w:t>R</w:t>
            </w:r>
            <w:r w:rsidRPr="00105E95">
              <w:rPr>
                <w:rFonts w:eastAsia="MS Mincho" w:cs="Arial"/>
                <w:sz w:val="16"/>
                <w:szCs w:val="16"/>
                <w:lang w:val="en-US"/>
              </w:rPr>
              <w:t>esilience</w:t>
            </w:r>
            <w:r w:rsidR="00F836B4">
              <w:rPr>
                <w:rFonts w:eastAsia="MS Mincho" w:cs="Arial"/>
                <w:sz w:val="16"/>
                <w:szCs w:val="16"/>
                <w:lang w:val="en-US"/>
              </w:rPr>
              <w:t xml:space="preserve"> Schemes</w:t>
            </w:r>
          </w:p>
          <w:p w:rsidR="00105E95" w:rsidRPr="00105E95" w:rsidRDefault="00105E95" w:rsidP="00105E95">
            <w:pPr>
              <w:tabs>
                <w:tab w:val="clear" w:pos="851"/>
              </w:tabs>
              <w:spacing w:after="0"/>
              <w:ind w:left="0"/>
              <w:rPr>
                <w:rFonts w:eastAsia="MS Mincho" w:cs="Arial"/>
                <w:sz w:val="16"/>
                <w:szCs w:val="16"/>
                <w:lang w:val="en-US"/>
              </w:rPr>
            </w:pPr>
          </w:p>
        </w:tc>
        <w:tc>
          <w:tcPr>
            <w:tcW w:w="2516"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 xml:space="preserve">5. Mains </w:t>
            </w:r>
            <w:r w:rsidR="00F836B4">
              <w:rPr>
                <w:rFonts w:eastAsia="MS Mincho" w:cs="Arial"/>
                <w:sz w:val="16"/>
                <w:szCs w:val="16"/>
                <w:lang w:val="en-US"/>
              </w:rPr>
              <w:t xml:space="preserve">burst </w:t>
            </w:r>
            <w:r w:rsidRPr="00105E95">
              <w:rPr>
                <w:rFonts w:eastAsia="MS Mincho" w:cs="Arial"/>
                <w:sz w:val="16"/>
                <w:szCs w:val="16"/>
                <w:lang w:val="en-US"/>
              </w:rPr>
              <w:t>repairs (common)</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6. Unplanned outage (common)</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17. Low pressure (bespoke)</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18. Water quality contacts (bespoke)</w:t>
            </w:r>
          </w:p>
        </w:tc>
        <w:tc>
          <w:tcPr>
            <w:tcW w:w="1418" w:type="dxa"/>
          </w:tcPr>
          <w:p w:rsidR="00105E95" w:rsidRPr="00105E95" w:rsidRDefault="00105E95" w:rsidP="008956D2">
            <w:pPr>
              <w:tabs>
                <w:tab w:val="clear" w:pos="851"/>
              </w:tabs>
              <w:spacing w:after="0"/>
              <w:ind w:left="0"/>
              <w:jc w:val="left"/>
              <w:rPr>
                <w:rFonts w:eastAsia="MS Mincho" w:cs="Arial"/>
                <w:sz w:val="16"/>
                <w:szCs w:val="16"/>
                <w:lang w:val="en-US"/>
              </w:rPr>
            </w:pPr>
          </w:p>
        </w:tc>
      </w:tr>
      <w:tr w:rsidR="00105E95" w:rsidRPr="00105E95" w:rsidTr="00105E95">
        <w:tc>
          <w:tcPr>
            <w:tcW w:w="2405"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Long term resilience of supplies for our own customers and to support the South East region</w:t>
            </w:r>
          </w:p>
        </w:tc>
        <w:tc>
          <w:tcPr>
            <w:tcW w:w="1736"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 Per Capita Consumption</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7. Severe Drought</w:t>
            </w:r>
          </w:p>
          <w:p w:rsidR="00105E95" w:rsidRPr="00105E95" w:rsidRDefault="00105E95" w:rsidP="00105E95">
            <w:pPr>
              <w:tabs>
                <w:tab w:val="clear" w:pos="851"/>
              </w:tabs>
              <w:spacing w:after="0"/>
              <w:ind w:left="0"/>
              <w:rPr>
                <w:rFonts w:eastAsia="MS Mincho" w:cs="Arial"/>
                <w:sz w:val="16"/>
                <w:szCs w:val="16"/>
                <w:lang w:val="en-US"/>
              </w:rPr>
            </w:pPr>
          </w:p>
        </w:tc>
        <w:tc>
          <w:tcPr>
            <w:tcW w:w="1843" w:type="dxa"/>
          </w:tcPr>
          <w:p w:rsidR="00105E95" w:rsidRPr="00105E95" w:rsidRDefault="00105E95" w:rsidP="00105E95">
            <w:pPr>
              <w:tabs>
                <w:tab w:val="clear" w:pos="851"/>
              </w:tabs>
              <w:spacing w:after="0"/>
              <w:ind w:left="0"/>
              <w:rPr>
                <w:rFonts w:eastAsia="MS Mincho" w:cs="Arial"/>
                <w:sz w:val="16"/>
                <w:szCs w:val="16"/>
                <w:lang w:val="en-US"/>
              </w:rPr>
            </w:pPr>
          </w:p>
        </w:tc>
        <w:tc>
          <w:tcPr>
            <w:tcW w:w="2516"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8956D2">
            <w:pPr>
              <w:tabs>
                <w:tab w:val="clear" w:pos="851"/>
              </w:tabs>
              <w:spacing w:after="0"/>
              <w:ind w:left="0"/>
              <w:jc w:val="left"/>
              <w:rPr>
                <w:rFonts w:eastAsia="MS Mincho" w:cs="Arial"/>
                <w:sz w:val="16"/>
                <w:szCs w:val="16"/>
                <w:lang w:val="en-US"/>
              </w:rPr>
            </w:pPr>
            <w:r w:rsidRPr="00105E95">
              <w:rPr>
                <w:rFonts w:eastAsia="MS Mincho" w:cs="Arial"/>
                <w:sz w:val="16"/>
                <w:szCs w:val="16"/>
                <w:lang w:val="en-US"/>
              </w:rPr>
              <w:t>19. Temporary Usage Bans</w:t>
            </w:r>
          </w:p>
        </w:tc>
      </w:tr>
      <w:tr w:rsidR="00105E95" w:rsidRPr="00105E95" w:rsidTr="00105E95">
        <w:tc>
          <w:tcPr>
            <w:tcW w:w="2405"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Low leakage</w:t>
            </w:r>
          </w:p>
          <w:p w:rsidR="00105E95" w:rsidRPr="00105E95" w:rsidRDefault="00105E95" w:rsidP="00105E95">
            <w:pPr>
              <w:tabs>
                <w:tab w:val="clear" w:pos="851"/>
              </w:tabs>
              <w:spacing w:after="0"/>
              <w:ind w:left="0"/>
              <w:rPr>
                <w:rFonts w:cs="Arial"/>
                <w:color w:val="00B050"/>
                <w:sz w:val="16"/>
                <w:szCs w:val="16"/>
              </w:rPr>
            </w:pPr>
          </w:p>
        </w:tc>
        <w:tc>
          <w:tcPr>
            <w:tcW w:w="1736"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2. Leakage</w:t>
            </w:r>
          </w:p>
          <w:p w:rsidR="00105E95" w:rsidRPr="00105E95" w:rsidRDefault="00105E95" w:rsidP="00105E95">
            <w:pPr>
              <w:tabs>
                <w:tab w:val="clear" w:pos="851"/>
              </w:tabs>
              <w:spacing w:after="0"/>
              <w:ind w:left="0"/>
              <w:rPr>
                <w:rFonts w:eastAsia="MS Mincho" w:cs="Arial"/>
                <w:sz w:val="16"/>
                <w:szCs w:val="16"/>
                <w:lang w:val="en-US"/>
              </w:rPr>
            </w:pPr>
          </w:p>
        </w:tc>
        <w:tc>
          <w:tcPr>
            <w:tcW w:w="1843" w:type="dxa"/>
          </w:tcPr>
          <w:p w:rsidR="00105E95" w:rsidRPr="00105E95" w:rsidRDefault="00105E95" w:rsidP="00105E95">
            <w:pPr>
              <w:tabs>
                <w:tab w:val="clear" w:pos="851"/>
              </w:tabs>
              <w:spacing w:after="0"/>
              <w:ind w:left="0"/>
              <w:rPr>
                <w:rFonts w:eastAsia="MS Mincho" w:cs="Arial"/>
                <w:sz w:val="16"/>
                <w:szCs w:val="16"/>
                <w:lang w:val="en-US"/>
              </w:rPr>
            </w:pPr>
          </w:p>
        </w:tc>
        <w:tc>
          <w:tcPr>
            <w:tcW w:w="2516"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8956D2">
            <w:pPr>
              <w:tabs>
                <w:tab w:val="clear" w:pos="851"/>
              </w:tabs>
              <w:spacing w:after="0"/>
              <w:ind w:left="0"/>
              <w:jc w:val="left"/>
              <w:rPr>
                <w:rFonts w:eastAsia="MS Mincho" w:cs="Arial"/>
                <w:sz w:val="16"/>
                <w:szCs w:val="16"/>
                <w:lang w:val="en-US"/>
              </w:rPr>
            </w:pPr>
          </w:p>
        </w:tc>
      </w:tr>
      <w:tr w:rsidR="00105E95" w:rsidRPr="00105E95" w:rsidTr="00105E95">
        <w:tc>
          <w:tcPr>
            <w:tcW w:w="2405"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A service tailored to individual needs, at a long term affordable price</w:t>
            </w:r>
          </w:p>
        </w:tc>
        <w:tc>
          <w:tcPr>
            <w:tcW w:w="1736"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9. D-Mex</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8. C-Mex</w:t>
            </w:r>
          </w:p>
          <w:p w:rsidR="00105E95" w:rsidRPr="00105E95" w:rsidRDefault="00105E95" w:rsidP="00105E95">
            <w:pPr>
              <w:tabs>
                <w:tab w:val="clear" w:pos="851"/>
              </w:tabs>
              <w:spacing w:after="0"/>
              <w:ind w:left="0"/>
              <w:rPr>
                <w:rFonts w:eastAsia="MS Mincho" w:cs="Arial"/>
                <w:sz w:val="16"/>
                <w:szCs w:val="16"/>
                <w:lang w:val="en-US"/>
              </w:rPr>
            </w:pPr>
          </w:p>
        </w:tc>
        <w:tc>
          <w:tcPr>
            <w:tcW w:w="1843"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10. Voids</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11. Affordability</w:t>
            </w:r>
          </w:p>
          <w:p w:rsidR="00105E95" w:rsidRPr="00105E95" w:rsidRDefault="00105E95" w:rsidP="00105E95">
            <w:pPr>
              <w:tabs>
                <w:tab w:val="clear" w:pos="851"/>
              </w:tabs>
              <w:spacing w:after="0"/>
              <w:ind w:left="0"/>
              <w:rPr>
                <w:rFonts w:eastAsia="MS Mincho" w:cs="Arial"/>
                <w:sz w:val="16"/>
                <w:szCs w:val="16"/>
                <w:lang w:val="en-US"/>
              </w:rPr>
            </w:pPr>
          </w:p>
        </w:tc>
        <w:tc>
          <w:tcPr>
            <w:tcW w:w="2516" w:type="dxa"/>
          </w:tcPr>
          <w:p w:rsidR="00105E95" w:rsidRPr="00105E95" w:rsidRDefault="00105E95" w:rsidP="00105E95">
            <w:pPr>
              <w:tabs>
                <w:tab w:val="clear" w:pos="851"/>
              </w:tabs>
              <w:spacing w:after="0"/>
              <w:ind w:left="0"/>
              <w:rPr>
                <w:rFonts w:eastAsia="MS Mincho" w:cs="Arial"/>
                <w:sz w:val="16"/>
                <w:szCs w:val="16"/>
                <w:lang w:val="en-US"/>
              </w:rPr>
            </w:pPr>
          </w:p>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8956D2">
            <w:pPr>
              <w:tabs>
                <w:tab w:val="clear" w:pos="851"/>
              </w:tabs>
              <w:spacing w:after="0"/>
              <w:ind w:left="0"/>
              <w:jc w:val="left"/>
              <w:rPr>
                <w:rFonts w:eastAsia="MS Mincho" w:cs="Arial"/>
                <w:sz w:val="16"/>
                <w:szCs w:val="16"/>
                <w:lang w:val="en-US"/>
              </w:rPr>
            </w:pPr>
          </w:p>
        </w:tc>
      </w:tr>
      <w:tr w:rsidR="00105E95" w:rsidRPr="00105E95" w:rsidTr="00105E95">
        <w:tc>
          <w:tcPr>
            <w:tcW w:w="2405"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An improved environment, supporting Biodiversity.</w:t>
            </w:r>
          </w:p>
        </w:tc>
        <w:tc>
          <w:tcPr>
            <w:tcW w:w="1736" w:type="dxa"/>
          </w:tcPr>
          <w:p w:rsidR="00105E95" w:rsidRPr="00105E95" w:rsidRDefault="00105E95" w:rsidP="00105E95">
            <w:pPr>
              <w:tabs>
                <w:tab w:val="clear" w:pos="851"/>
              </w:tabs>
              <w:spacing w:after="0"/>
              <w:ind w:left="0"/>
              <w:rPr>
                <w:rFonts w:eastAsia="MS Mincho" w:cs="Arial"/>
                <w:sz w:val="16"/>
                <w:szCs w:val="16"/>
                <w:lang w:val="en-US"/>
              </w:rPr>
            </w:pPr>
          </w:p>
        </w:tc>
        <w:tc>
          <w:tcPr>
            <w:tcW w:w="1843"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13.Catchment Management</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14. AIM</w:t>
            </w:r>
          </w:p>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16. Biodiversity</w:t>
            </w:r>
          </w:p>
        </w:tc>
        <w:tc>
          <w:tcPr>
            <w:tcW w:w="2516"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8956D2">
            <w:pPr>
              <w:tabs>
                <w:tab w:val="clear" w:pos="851"/>
              </w:tabs>
              <w:spacing w:after="0"/>
              <w:ind w:left="0"/>
              <w:jc w:val="left"/>
              <w:rPr>
                <w:rFonts w:eastAsia="MS Mincho" w:cs="Arial"/>
                <w:sz w:val="16"/>
                <w:szCs w:val="16"/>
                <w:lang w:val="en-US"/>
              </w:rPr>
            </w:pPr>
            <w:r w:rsidRPr="00105E95">
              <w:rPr>
                <w:rFonts w:eastAsia="MS Mincho" w:cs="Arial"/>
                <w:sz w:val="16"/>
                <w:szCs w:val="16"/>
                <w:lang w:val="en-US"/>
              </w:rPr>
              <w:t>20. Carbon</w:t>
            </w:r>
          </w:p>
        </w:tc>
      </w:tr>
      <w:tr w:rsidR="00105E95" w:rsidRPr="00105E95" w:rsidTr="00105E95">
        <w:tc>
          <w:tcPr>
            <w:tcW w:w="2405"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Being recognised by the community as a good corporate citizen</w:t>
            </w:r>
          </w:p>
        </w:tc>
        <w:tc>
          <w:tcPr>
            <w:tcW w:w="1736" w:type="dxa"/>
          </w:tcPr>
          <w:p w:rsidR="00105E95" w:rsidRPr="00105E95" w:rsidRDefault="00105E95" w:rsidP="00105E95">
            <w:pPr>
              <w:tabs>
                <w:tab w:val="clear" w:pos="851"/>
              </w:tabs>
              <w:spacing w:after="0"/>
              <w:ind w:left="0"/>
              <w:rPr>
                <w:rFonts w:eastAsia="MS Mincho" w:cs="Arial"/>
                <w:sz w:val="16"/>
                <w:szCs w:val="16"/>
                <w:lang w:val="en-US"/>
              </w:rPr>
            </w:pPr>
          </w:p>
        </w:tc>
        <w:tc>
          <w:tcPr>
            <w:tcW w:w="1843"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sz w:val="16"/>
                <w:szCs w:val="16"/>
                <w:lang w:val="en-US"/>
              </w:rPr>
              <w:t>12. Vulnerability</w:t>
            </w:r>
          </w:p>
        </w:tc>
        <w:tc>
          <w:tcPr>
            <w:tcW w:w="2516"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8956D2">
            <w:pPr>
              <w:tabs>
                <w:tab w:val="clear" w:pos="851"/>
              </w:tabs>
              <w:spacing w:after="0"/>
              <w:ind w:left="0"/>
              <w:jc w:val="left"/>
              <w:rPr>
                <w:rFonts w:eastAsia="MS Mincho" w:cs="Arial"/>
                <w:sz w:val="16"/>
                <w:szCs w:val="16"/>
                <w:lang w:val="en-US"/>
              </w:rPr>
            </w:pPr>
          </w:p>
        </w:tc>
      </w:tr>
      <w:tr w:rsidR="00105E95" w:rsidRPr="00105E95" w:rsidTr="00105E95">
        <w:tc>
          <w:tcPr>
            <w:tcW w:w="2405" w:type="dxa"/>
          </w:tcPr>
          <w:p w:rsidR="00105E95" w:rsidRPr="00105E95" w:rsidRDefault="00105E95" w:rsidP="00105E95">
            <w:pPr>
              <w:tabs>
                <w:tab w:val="clear" w:pos="851"/>
              </w:tabs>
              <w:spacing w:after="0"/>
              <w:ind w:left="0"/>
              <w:rPr>
                <w:rFonts w:eastAsia="MS Mincho" w:cs="Arial"/>
                <w:sz w:val="16"/>
                <w:szCs w:val="16"/>
                <w:lang w:val="en-US"/>
              </w:rPr>
            </w:pPr>
            <w:r w:rsidRPr="00105E95">
              <w:rPr>
                <w:rFonts w:eastAsia="MS Mincho" w:cs="Arial"/>
                <w:color w:val="4C4C4C"/>
                <w:sz w:val="16"/>
                <w:szCs w:val="16"/>
                <w:lang w:val="en-US"/>
              </w:rPr>
              <w:t>Recognised by stakeholders as having a culture of Health and Safety through all our activities</w:t>
            </w:r>
            <w:r w:rsidRPr="00105E95">
              <w:rPr>
                <w:rFonts w:eastAsia="MS Mincho" w:cs="Arial"/>
                <w:sz w:val="16"/>
                <w:szCs w:val="16"/>
                <w:lang w:val="en-US"/>
              </w:rPr>
              <w:t xml:space="preserve"> Health &amp; Safety</w:t>
            </w:r>
          </w:p>
        </w:tc>
        <w:tc>
          <w:tcPr>
            <w:tcW w:w="1736" w:type="dxa"/>
          </w:tcPr>
          <w:p w:rsidR="00105E95" w:rsidRPr="00105E95" w:rsidRDefault="00105E95" w:rsidP="00105E95">
            <w:pPr>
              <w:tabs>
                <w:tab w:val="clear" w:pos="851"/>
              </w:tabs>
              <w:spacing w:after="0"/>
              <w:ind w:left="0"/>
              <w:rPr>
                <w:rFonts w:eastAsia="MS Mincho" w:cs="Arial"/>
                <w:sz w:val="16"/>
                <w:szCs w:val="16"/>
                <w:lang w:val="en-US"/>
              </w:rPr>
            </w:pPr>
          </w:p>
        </w:tc>
        <w:tc>
          <w:tcPr>
            <w:tcW w:w="1843" w:type="dxa"/>
          </w:tcPr>
          <w:p w:rsidR="00105E95" w:rsidRPr="00105E95" w:rsidRDefault="00105E95" w:rsidP="00105E95">
            <w:pPr>
              <w:tabs>
                <w:tab w:val="clear" w:pos="851"/>
              </w:tabs>
              <w:spacing w:after="0"/>
              <w:ind w:left="0"/>
              <w:rPr>
                <w:rFonts w:eastAsia="MS Mincho" w:cs="Arial"/>
                <w:sz w:val="16"/>
                <w:szCs w:val="16"/>
                <w:lang w:val="en-US"/>
              </w:rPr>
            </w:pPr>
          </w:p>
        </w:tc>
        <w:tc>
          <w:tcPr>
            <w:tcW w:w="2516" w:type="dxa"/>
          </w:tcPr>
          <w:p w:rsidR="00105E95" w:rsidRPr="00105E95" w:rsidRDefault="00105E95" w:rsidP="00105E95">
            <w:pPr>
              <w:tabs>
                <w:tab w:val="clear" w:pos="851"/>
              </w:tabs>
              <w:spacing w:after="0"/>
              <w:ind w:left="0"/>
              <w:rPr>
                <w:rFonts w:eastAsia="MS Mincho" w:cs="Arial"/>
                <w:sz w:val="16"/>
                <w:szCs w:val="16"/>
                <w:lang w:val="en-US"/>
              </w:rPr>
            </w:pPr>
          </w:p>
        </w:tc>
        <w:tc>
          <w:tcPr>
            <w:tcW w:w="1418" w:type="dxa"/>
          </w:tcPr>
          <w:p w:rsidR="00105E95" w:rsidRPr="00105E95" w:rsidRDefault="00105E95" w:rsidP="008956D2">
            <w:pPr>
              <w:tabs>
                <w:tab w:val="clear" w:pos="851"/>
              </w:tabs>
              <w:spacing w:after="0"/>
              <w:ind w:left="0"/>
              <w:jc w:val="left"/>
              <w:rPr>
                <w:rFonts w:eastAsia="MS Mincho" w:cs="Arial"/>
                <w:sz w:val="16"/>
                <w:szCs w:val="16"/>
                <w:lang w:val="en-US"/>
              </w:rPr>
            </w:pPr>
            <w:r w:rsidRPr="00105E95">
              <w:rPr>
                <w:rFonts w:eastAsia="MS Mincho" w:cs="Arial"/>
                <w:sz w:val="16"/>
                <w:szCs w:val="16"/>
                <w:lang w:val="en-US"/>
              </w:rPr>
              <w:t>21.Health &amp; Safety</w:t>
            </w:r>
          </w:p>
        </w:tc>
      </w:tr>
    </w:tbl>
    <w:p w:rsidR="00105E95" w:rsidRDefault="00105E95" w:rsidP="008D2111">
      <w:pPr>
        <w:spacing w:after="0"/>
      </w:pPr>
    </w:p>
    <w:p w:rsidR="00BB506C" w:rsidRDefault="00BB506C" w:rsidP="00E80D1A"/>
    <w:p w:rsidR="00BB506C" w:rsidRDefault="00BB506C" w:rsidP="00E80D1A"/>
    <w:p w:rsidR="004132EC" w:rsidRDefault="004132EC" w:rsidP="00E80D1A">
      <w:r>
        <w:t xml:space="preserve">Our </w:t>
      </w:r>
      <w:r w:rsidR="00964B14">
        <w:t>Performance Commitments</w:t>
      </w:r>
      <w:r>
        <w:t xml:space="preserve"> have been ch</w:t>
      </w:r>
      <w:r w:rsidR="00AA4F8F">
        <w:t>osen for the following reasons:</w:t>
      </w:r>
    </w:p>
    <w:p w:rsidR="004132EC" w:rsidRDefault="004132EC" w:rsidP="00E80D1A">
      <w:r>
        <w:rPr>
          <w:b/>
        </w:rPr>
        <w:t>Common PCs</w:t>
      </w:r>
      <w:r>
        <w:t xml:space="preserve"> have been developed to comply with the Ofwat methodology.  In </w:t>
      </w:r>
      <w:r w:rsidR="00AA4F8F">
        <w:t>total,</w:t>
      </w:r>
      <w:r>
        <w:t xml:space="preserve"> there are 9 common PCs as listed above including mains repairs and unplanned outage, which are included in the </w:t>
      </w:r>
      <w:r w:rsidR="00A11EF3">
        <w:t>a</w:t>
      </w:r>
      <w:r>
        <w:t xml:space="preserve">sset </w:t>
      </w:r>
      <w:r w:rsidR="00A11EF3">
        <w:t>h</w:t>
      </w:r>
      <w:r>
        <w:t>ealth classification.</w:t>
      </w:r>
    </w:p>
    <w:p w:rsidR="004132EC" w:rsidRDefault="004132EC" w:rsidP="00E80D1A">
      <w:r>
        <w:rPr>
          <w:b/>
        </w:rPr>
        <w:t>Bespoke PCs</w:t>
      </w:r>
      <w:r>
        <w:t xml:space="preserve"> have been chosen to comply with the Ofwat methodology.  In </w:t>
      </w:r>
      <w:r w:rsidR="00AA4F8F">
        <w:t>total,</w:t>
      </w:r>
      <w:r>
        <w:t xml:space="preserve"> there are 7 bespoke PCs as listed above where we have proposed and designed the detail of the ODI to reflect customer and regulatory expectations.</w:t>
      </w:r>
    </w:p>
    <w:p w:rsidR="004132EC" w:rsidRDefault="004132EC" w:rsidP="00E80D1A">
      <w:r>
        <w:t>These cover, in particular</w:t>
      </w:r>
      <w:r w:rsidR="00F836B4">
        <w:t>,</w:t>
      </w:r>
      <w:r>
        <w:t xml:space="preserve"> vulnerability, the environment, resilience and abstraction.  AIM has been discussed</w:t>
      </w:r>
      <w:r w:rsidR="008D2111">
        <w:t xml:space="preserve"> with</w:t>
      </w:r>
      <w:r>
        <w:t xml:space="preserve"> the Environment Agency and Natural England in particular.</w:t>
      </w:r>
    </w:p>
    <w:p w:rsidR="004132EC" w:rsidRDefault="004132EC" w:rsidP="00E80D1A">
      <w:r w:rsidRPr="00D924AB">
        <w:rPr>
          <w:b/>
        </w:rPr>
        <w:t>Asset health PCs</w:t>
      </w:r>
      <w:r>
        <w:t xml:space="preserve"> (low pressure and water quality contacts) have been chosen from the Ofwat pick list because they</w:t>
      </w:r>
      <w:r w:rsidR="008956D2">
        <w:t xml:space="preserve"> best</w:t>
      </w:r>
      <w:r>
        <w:t xml:space="preserve"> reflect </w:t>
      </w:r>
      <w:r w:rsidR="008956D2">
        <w:t xml:space="preserve">adverse </w:t>
      </w:r>
      <w:r>
        <w:t xml:space="preserve">impact on customers.  We have chosen 2 measures of asset health in addition to the 2 required for mains repairs and unplanned outage on the common PC list. </w:t>
      </w:r>
    </w:p>
    <w:p w:rsidR="004132EC" w:rsidRDefault="004132EC" w:rsidP="00E80D1A">
      <w:r>
        <w:t xml:space="preserve">We consider that most of the other asset health PCs do not directly </w:t>
      </w:r>
      <w:r w:rsidR="00AA4F8F">
        <w:t>affect</w:t>
      </w:r>
      <w:r>
        <w:t xml:space="preserve"> customers</w:t>
      </w:r>
      <w:r w:rsidR="00AA4F8F">
        <w:t>; further</w:t>
      </w:r>
      <w:r>
        <w:t>, for our company the items on the pick list are not prevalent in our monitoring, and do not indicat</w:t>
      </w:r>
      <w:r w:rsidR="00F7309A">
        <w:t>e</w:t>
      </w:r>
      <w:r>
        <w:t xml:space="preserve"> issues relating to asset health for us as a company.  We have therefore concluded that using these as ODIs would not result in an improvement in asset health. </w:t>
      </w:r>
    </w:p>
    <w:p w:rsidR="00AA4F8F" w:rsidRDefault="004132EC" w:rsidP="00B34517">
      <w:r>
        <w:rPr>
          <w:b/>
        </w:rPr>
        <w:t>Carry forward from PR14</w:t>
      </w:r>
      <w:r>
        <w:t xml:space="preserve"> – we have chosen to retain 3 ODIs from the PR14 determination.  These have been tested with customers who not only understand them but consider they are directly relevant for the Company to be monitored against.</w:t>
      </w:r>
    </w:p>
    <w:p w:rsidR="009E44A6" w:rsidRDefault="009E44A6" w:rsidP="003F04DA">
      <w:pPr>
        <w:pStyle w:val="Heading3"/>
      </w:pPr>
      <w:bookmarkStart w:id="27" w:name="_Toc523651240"/>
      <w:r>
        <w:t>Determining Stretching Service Levels</w:t>
      </w:r>
      <w:bookmarkEnd w:id="27"/>
    </w:p>
    <w:p w:rsidR="004132EC" w:rsidRPr="00EC2F8C" w:rsidRDefault="004132EC" w:rsidP="00B34517">
      <w:pPr>
        <w:rPr>
          <w:b/>
        </w:rPr>
      </w:pPr>
      <w:r w:rsidRPr="00EC2F8C">
        <w:rPr>
          <w:b/>
        </w:rPr>
        <w:t xml:space="preserve">Step 2 - Determining </w:t>
      </w:r>
      <w:r w:rsidR="00B34517" w:rsidRPr="00EC2F8C">
        <w:rPr>
          <w:b/>
        </w:rPr>
        <w:t>s</w:t>
      </w:r>
      <w:r w:rsidRPr="00EC2F8C">
        <w:rPr>
          <w:b/>
        </w:rPr>
        <w:t>tretching Service Levels</w:t>
      </w:r>
    </w:p>
    <w:p w:rsidR="004132EC" w:rsidRPr="0038774E" w:rsidRDefault="004132EC" w:rsidP="00E80D1A">
      <w:r w:rsidRPr="0038774E">
        <w:t>The Company ha</w:t>
      </w:r>
      <w:r>
        <w:t>s</w:t>
      </w:r>
      <w:r w:rsidRPr="0038774E">
        <w:t xml:space="preserve"> </w:t>
      </w:r>
      <w:r>
        <w:t>used a combination of 7</w:t>
      </w:r>
      <w:r w:rsidRPr="0038774E">
        <w:t xml:space="preserve"> approaches to establish if the </w:t>
      </w:r>
      <w:r>
        <w:t>proposed service levels</w:t>
      </w:r>
      <w:r w:rsidRPr="0038774E">
        <w:t xml:space="preserve"> are stretching and likely to result in upper quartile performance</w:t>
      </w:r>
      <w:r>
        <w:t>,</w:t>
      </w:r>
      <w:r w:rsidRPr="0038774E">
        <w:t xml:space="preserve"> </w:t>
      </w:r>
      <w:r>
        <w:t xml:space="preserve">when compared to </w:t>
      </w:r>
      <w:r w:rsidR="008956D2">
        <w:t xml:space="preserve">our </w:t>
      </w:r>
      <w:r>
        <w:t>peers</w:t>
      </w:r>
      <w:r w:rsidRPr="0038774E">
        <w:t xml:space="preserve">.  </w:t>
      </w:r>
    </w:p>
    <w:p w:rsidR="004132EC" w:rsidRPr="0038774E" w:rsidRDefault="004132EC" w:rsidP="00E80D1A">
      <w:pPr>
        <w:pStyle w:val="Bullets"/>
      </w:pPr>
      <w:r w:rsidRPr="0038774E">
        <w:t>Comparisons of current industry performance, based on Discover Water data (and including 2017/18</w:t>
      </w:r>
      <w:r>
        <w:t xml:space="preserve"> Shadow data</w:t>
      </w:r>
      <w:r w:rsidRPr="0038774E">
        <w:t>)</w:t>
      </w:r>
      <w:r w:rsidR="00C533D4">
        <w:t xml:space="preserve"> to establish current upper quartile performance</w:t>
      </w:r>
    </w:p>
    <w:p w:rsidR="004132EC" w:rsidRPr="0038774E" w:rsidRDefault="004132EC" w:rsidP="00E80D1A">
      <w:pPr>
        <w:pStyle w:val="Bullets"/>
      </w:pPr>
      <w:r>
        <w:t>Cost benefit analysis</w:t>
      </w:r>
    </w:p>
    <w:p w:rsidR="004132EC" w:rsidRPr="0038774E" w:rsidRDefault="004132EC" w:rsidP="00E80D1A">
      <w:pPr>
        <w:pStyle w:val="Bullets"/>
      </w:pPr>
      <w:r w:rsidRPr="0038774E">
        <w:t>Review of historical trends in performance</w:t>
      </w:r>
    </w:p>
    <w:p w:rsidR="004132EC" w:rsidRPr="0038774E" w:rsidRDefault="004132EC" w:rsidP="00E80D1A">
      <w:pPr>
        <w:pStyle w:val="Bullets"/>
      </w:pPr>
      <w:r w:rsidRPr="0038774E">
        <w:t>Determining maximum potential improvement (up to 2024/25)</w:t>
      </w:r>
    </w:p>
    <w:p w:rsidR="004132EC" w:rsidRPr="0038774E" w:rsidRDefault="004132EC" w:rsidP="00E80D1A">
      <w:pPr>
        <w:pStyle w:val="Bullets"/>
      </w:pPr>
      <w:r w:rsidRPr="0038774E">
        <w:t>Determining minimum potential improvement  (</w:t>
      </w:r>
      <w:r>
        <w:t xml:space="preserve">up to </w:t>
      </w:r>
      <w:r w:rsidRPr="0038774E">
        <w:t>2024/25)</w:t>
      </w:r>
    </w:p>
    <w:p w:rsidR="004132EC" w:rsidRPr="0038774E" w:rsidRDefault="004132EC" w:rsidP="00E80D1A">
      <w:pPr>
        <w:pStyle w:val="Bullets"/>
      </w:pPr>
      <w:r w:rsidRPr="0038774E">
        <w:t>Independent expert review and challenge of the targets</w:t>
      </w:r>
    </w:p>
    <w:p w:rsidR="004132EC" w:rsidRDefault="004132EC" w:rsidP="00E80D1A">
      <w:pPr>
        <w:pStyle w:val="Bullets"/>
      </w:pPr>
      <w:r>
        <w:t>Regulatory and customer expectations.</w:t>
      </w:r>
    </w:p>
    <w:p w:rsidR="00C95E00" w:rsidRPr="0038774E" w:rsidRDefault="00C95E00" w:rsidP="00C95E00">
      <w:pPr>
        <w:pStyle w:val="Bullets"/>
        <w:numPr>
          <w:ilvl w:val="0"/>
          <w:numId w:val="0"/>
        </w:numPr>
        <w:ind w:left="1494"/>
      </w:pPr>
    </w:p>
    <w:p w:rsidR="00432633" w:rsidRDefault="00432633">
      <w:pPr>
        <w:tabs>
          <w:tab w:val="clear" w:pos="851"/>
        </w:tabs>
        <w:spacing w:after="0"/>
        <w:ind w:left="0"/>
        <w:jc w:val="left"/>
      </w:pPr>
      <w:r>
        <w:br w:type="page"/>
      </w:r>
    </w:p>
    <w:p w:rsidR="004132EC" w:rsidRDefault="004132EC" w:rsidP="00E80D1A">
      <w:r>
        <w:t>The table below shows where the seven methodologies have been applied in determining our PCs.  Not all approaches apply to each PC.</w:t>
      </w:r>
    </w:p>
    <w:tbl>
      <w:tblPr>
        <w:tblStyle w:val="TableGrid63"/>
        <w:tblW w:w="9918" w:type="dxa"/>
        <w:tblLayout w:type="fixed"/>
        <w:tblLook w:val="04A0" w:firstRow="1" w:lastRow="0" w:firstColumn="1" w:lastColumn="0" w:noHBand="0" w:noVBand="1"/>
      </w:tblPr>
      <w:tblGrid>
        <w:gridCol w:w="2689"/>
        <w:gridCol w:w="1032"/>
        <w:gridCol w:w="1033"/>
        <w:gridCol w:w="1033"/>
        <w:gridCol w:w="1032"/>
        <w:gridCol w:w="1033"/>
        <w:gridCol w:w="1033"/>
        <w:gridCol w:w="1033"/>
      </w:tblGrid>
      <w:tr w:rsidR="00B34517" w:rsidRPr="00B34517" w:rsidTr="00B34517">
        <w:trPr>
          <w:cantSplit/>
          <w:trHeight w:val="1577"/>
        </w:trPr>
        <w:tc>
          <w:tcPr>
            <w:tcW w:w="2689" w:type="dxa"/>
            <w:shd w:val="clear" w:color="auto" w:fill="2E74B5" w:themeFill="accent1" w:themeFillShade="BF"/>
            <w:textDirection w:val="btLr"/>
            <w:vAlign w:val="center"/>
          </w:tcPr>
          <w:p w:rsidR="00105E95" w:rsidRPr="00B34517" w:rsidRDefault="00105E95" w:rsidP="00B34517">
            <w:pPr>
              <w:tabs>
                <w:tab w:val="clear" w:pos="851"/>
              </w:tabs>
              <w:autoSpaceDE w:val="0"/>
              <w:autoSpaceDN w:val="0"/>
              <w:adjustRightInd w:val="0"/>
              <w:spacing w:after="0"/>
              <w:ind w:left="113" w:right="113"/>
              <w:jc w:val="center"/>
              <w:rPr>
                <w:rFonts w:cs="Arial"/>
                <w:b/>
                <w:color w:val="FFFFFF" w:themeColor="background1"/>
                <w:sz w:val="16"/>
                <w:szCs w:val="16"/>
                <w:lang w:val="en-US"/>
              </w:rPr>
            </w:pPr>
          </w:p>
        </w:tc>
        <w:tc>
          <w:tcPr>
            <w:tcW w:w="1032" w:type="dxa"/>
            <w:shd w:val="clear" w:color="auto" w:fill="2E74B5" w:themeFill="accent1" w:themeFillShade="BF"/>
            <w:textDirection w:val="btLr"/>
            <w:vAlign w:val="center"/>
          </w:tcPr>
          <w:p w:rsidR="00105E95" w:rsidRPr="00B34517" w:rsidRDefault="00105E95" w:rsidP="00B34517">
            <w:pPr>
              <w:tabs>
                <w:tab w:val="clear" w:pos="851"/>
              </w:tabs>
              <w:spacing w:after="0"/>
              <w:ind w:left="113" w:right="113"/>
              <w:jc w:val="center"/>
              <w:rPr>
                <w:rFonts w:eastAsia="MS Mincho" w:cs="Arial"/>
                <w:b/>
                <w:color w:val="FFFFFF" w:themeColor="background1"/>
                <w:sz w:val="16"/>
                <w:szCs w:val="16"/>
                <w:lang w:val="en-US"/>
              </w:rPr>
            </w:pPr>
            <w:r w:rsidRPr="00B34517">
              <w:rPr>
                <w:rFonts w:eastAsia="MS Mincho" w:cs="Arial"/>
                <w:b/>
                <w:color w:val="FFFFFF" w:themeColor="background1"/>
                <w:sz w:val="16"/>
                <w:szCs w:val="16"/>
                <w:lang w:val="en-US"/>
              </w:rPr>
              <w:t>Comparisons of current industry performance</w:t>
            </w:r>
          </w:p>
        </w:tc>
        <w:tc>
          <w:tcPr>
            <w:tcW w:w="1033" w:type="dxa"/>
            <w:shd w:val="clear" w:color="auto" w:fill="2E74B5" w:themeFill="accent1" w:themeFillShade="BF"/>
            <w:textDirection w:val="btLr"/>
            <w:vAlign w:val="center"/>
          </w:tcPr>
          <w:p w:rsidR="00105E95" w:rsidRPr="00B34517" w:rsidRDefault="00105E95" w:rsidP="00B34517">
            <w:pPr>
              <w:tabs>
                <w:tab w:val="clear" w:pos="851"/>
              </w:tabs>
              <w:spacing w:after="0"/>
              <w:ind w:left="113" w:right="113"/>
              <w:jc w:val="center"/>
              <w:rPr>
                <w:rFonts w:eastAsia="MS Mincho" w:cs="Arial"/>
                <w:b/>
                <w:color w:val="FFFFFF" w:themeColor="background1"/>
                <w:sz w:val="16"/>
                <w:szCs w:val="16"/>
                <w:lang w:val="en-US"/>
              </w:rPr>
            </w:pPr>
            <w:r w:rsidRPr="00B34517">
              <w:rPr>
                <w:rFonts w:eastAsia="MS Mincho" w:cs="Arial"/>
                <w:b/>
                <w:color w:val="FFFFFF" w:themeColor="background1"/>
                <w:sz w:val="16"/>
                <w:szCs w:val="16"/>
                <w:lang w:val="en-US"/>
              </w:rPr>
              <w:t>Cost benefit analysis</w:t>
            </w:r>
          </w:p>
        </w:tc>
        <w:tc>
          <w:tcPr>
            <w:tcW w:w="1033" w:type="dxa"/>
            <w:shd w:val="clear" w:color="auto" w:fill="2E74B5" w:themeFill="accent1" w:themeFillShade="BF"/>
            <w:textDirection w:val="btLr"/>
            <w:vAlign w:val="center"/>
          </w:tcPr>
          <w:p w:rsidR="00105E95" w:rsidRPr="00B34517" w:rsidRDefault="00105E95" w:rsidP="00B34517">
            <w:pPr>
              <w:tabs>
                <w:tab w:val="clear" w:pos="851"/>
              </w:tabs>
              <w:spacing w:after="0"/>
              <w:ind w:left="113" w:right="113"/>
              <w:jc w:val="center"/>
              <w:rPr>
                <w:rFonts w:eastAsia="MS Mincho" w:cs="Arial"/>
                <w:b/>
                <w:color w:val="FFFFFF" w:themeColor="background1"/>
                <w:sz w:val="16"/>
                <w:szCs w:val="16"/>
                <w:lang w:val="en-US"/>
              </w:rPr>
            </w:pPr>
            <w:r w:rsidRPr="00B34517">
              <w:rPr>
                <w:rFonts w:eastAsia="MS Mincho" w:cs="Arial"/>
                <w:b/>
                <w:color w:val="FFFFFF" w:themeColor="background1"/>
                <w:sz w:val="16"/>
                <w:szCs w:val="16"/>
                <w:lang w:val="en-US"/>
              </w:rPr>
              <w:t>Review of historical trends in performance</w:t>
            </w:r>
          </w:p>
        </w:tc>
        <w:tc>
          <w:tcPr>
            <w:tcW w:w="1032" w:type="dxa"/>
            <w:shd w:val="clear" w:color="auto" w:fill="2E74B5" w:themeFill="accent1" w:themeFillShade="BF"/>
            <w:textDirection w:val="btLr"/>
            <w:vAlign w:val="center"/>
          </w:tcPr>
          <w:p w:rsidR="00105E95" w:rsidRPr="00B34517" w:rsidRDefault="00105E95" w:rsidP="00B34517">
            <w:pPr>
              <w:tabs>
                <w:tab w:val="clear" w:pos="851"/>
              </w:tabs>
              <w:spacing w:after="0"/>
              <w:ind w:left="113" w:right="113"/>
              <w:jc w:val="center"/>
              <w:rPr>
                <w:rFonts w:eastAsia="MS Mincho" w:cs="Arial"/>
                <w:b/>
                <w:color w:val="FFFFFF" w:themeColor="background1"/>
                <w:sz w:val="16"/>
                <w:szCs w:val="16"/>
                <w:lang w:val="en-US"/>
              </w:rPr>
            </w:pPr>
            <w:r w:rsidRPr="00B34517">
              <w:rPr>
                <w:rFonts w:eastAsia="MS Mincho" w:cs="Arial"/>
                <w:b/>
                <w:color w:val="FFFFFF" w:themeColor="background1"/>
                <w:sz w:val="16"/>
                <w:szCs w:val="16"/>
                <w:lang w:val="en-US"/>
              </w:rPr>
              <w:t>Maximum potential improvement (up to 2024/25)</w:t>
            </w:r>
          </w:p>
        </w:tc>
        <w:tc>
          <w:tcPr>
            <w:tcW w:w="1033" w:type="dxa"/>
            <w:shd w:val="clear" w:color="auto" w:fill="2E74B5" w:themeFill="accent1" w:themeFillShade="BF"/>
            <w:textDirection w:val="btLr"/>
            <w:vAlign w:val="center"/>
          </w:tcPr>
          <w:p w:rsidR="00105E95" w:rsidRPr="00B34517" w:rsidRDefault="00B34517" w:rsidP="00B34517">
            <w:pPr>
              <w:tabs>
                <w:tab w:val="clear" w:pos="851"/>
              </w:tabs>
              <w:spacing w:after="0"/>
              <w:ind w:left="54" w:right="113"/>
              <w:jc w:val="center"/>
              <w:rPr>
                <w:rFonts w:eastAsia="MS Mincho" w:cs="Arial"/>
                <w:b/>
                <w:color w:val="FFFFFF" w:themeColor="background1"/>
                <w:sz w:val="16"/>
                <w:szCs w:val="16"/>
                <w:lang w:val="en-US"/>
              </w:rPr>
            </w:pPr>
            <w:r>
              <w:rPr>
                <w:rFonts w:eastAsia="MS Mincho" w:cs="Arial"/>
                <w:b/>
                <w:color w:val="FFFFFF" w:themeColor="background1"/>
                <w:sz w:val="16"/>
                <w:szCs w:val="16"/>
                <w:lang w:val="en-US"/>
              </w:rPr>
              <w:t>M</w:t>
            </w:r>
            <w:r w:rsidR="00105E95" w:rsidRPr="00B34517">
              <w:rPr>
                <w:rFonts w:eastAsia="MS Mincho" w:cs="Arial"/>
                <w:b/>
                <w:color w:val="FFFFFF" w:themeColor="background1"/>
                <w:sz w:val="16"/>
                <w:szCs w:val="16"/>
                <w:lang w:val="en-US"/>
              </w:rPr>
              <w:t>inimum potential improvement  (up to 2024/25)</w:t>
            </w:r>
          </w:p>
        </w:tc>
        <w:tc>
          <w:tcPr>
            <w:tcW w:w="1033" w:type="dxa"/>
            <w:shd w:val="clear" w:color="auto" w:fill="2E74B5" w:themeFill="accent1" w:themeFillShade="BF"/>
            <w:textDirection w:val="btLr"/>
            <w:vAlign w:val="center"/>
          </w:tcPr>
          <w:p w:rsidR="00105E95" w:rsidRPr="00B34517" w:rsidRDefault="00105E95" w:rsidP="00B34517">
            <w:pPr>
              <w:tabs>
                <w:tab w:val="clear" w:pos="851"/>
              </w:tabs>
              <w:spacing w:after="0"/>
              <w:ind w:left="113" w:right="113"/>
              <w:jc w:val="center"/>
              <w:rPr>
                <w:rFonts w:eastAsia="MS Mincho" w:cs="Arial"/>
                <w:b/>
                <w:color w:val="FFFFFF" w:themeColor="background1"/>
                <w:sz w:val="16"/>
                <w:szCs w:val="16"/>
                <w:lang w:val="en-US"/>
              </w:rPr>
            </w:pPr>
            <w:r w:rsidRPr="00B34517">
              <w:rPr>
                <w:rFonts w:eastAsia="MS Mincho" w:cs="Arial"/>
                <w:b/>
                <w:color w:val="FFFFFF" w:themeColor="background1"/>
                <w:sz w:val="16"/>
                <w:szCs w:val="16"/>
                <w:lang w:val="en-US"/>
              </w:rPr>
              <w:t>Independent expert review and challenge of the targets</w:t>
            </w:r>
          </w:p>
        </w:tc>
        <w:tc>
          <w:tcPr>
            <w:tcW w:w="1033" w:type="dxa"/>
            <w:shd w:val="clear" w:color="auto" w:fill="2E74B5" w:themeFill="accent1" w:themeFillShade="BF"/>
            <w:textDirection w:val="btLr"/>
            <w:vAlign w:val="center"/>
          </w:tcPr>
          <w:p w:rsidR="00105E95" w:rsidRPr="00B34517" w:rsidRDefault="00105E95" w:rsidP="00B34517">
            <w:pPr>
              <w:tabs>
                <w:tab w:val="clear" w:pos="851"/>
              </w:tabs>
              <w:spacing w:after="0"/>
              <w:ind w:left="-36" w:right="113"/>
              <w:jc w:val="center"/>
              <w:rPr>
                <w:rFonts w:eastAsia="MS Mincho" w:cs="Arial"/>
                <w:b/>
                <w:color w:val="FFFFFF" w:themeColor="background1"/>
                <w:sz w:val="16"/>
                <w:szCs w:val="16"/>
                <w:lang w:val="en-US"/>
              </w:rPr>
            </w:pPr>
            <w:r w:rsidRPr="00B34517">
              <w:rPr>
                <w:rFonts w:eastAsia="MS Mincho" w:cs="Arial"/>
                <w:b/>
                <w:color w:val="FFFFFF" w:themeColor="background1"/>
                <w:sz w:val="16"/>
                <w:szCs w:val="16"/>
                <w:lang w:val="en-US"/>
              </w:rPr>
              <w:t>Regulatory and customer expectations</w:t>
            </w:r>
          </w:p>
        </w:tc>
      </w:tr>
      <w:tr w:rsidR="00105E95" w:rsidRPr="00105E95" w:rsidTr="00B34517">
        <w:trPr>
          <w:trHeight w:val="198"/>
        </w:trPr>
        <w:tc>
          <w:tcPr>
            <w:tcW w:w="2689" w:type="dxa"/>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Per Capita Consumption</w:t>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r w:rsidR="00105E95" w:rsidRPr="00105E95" w:rsidTr="00B34517">
        <w:trPr>
          <w:trHeight w:val="198"/>
        </w:trPr>
        <w:tc>
          <w:tcPr>
            <w:tcW w:w="2689" w:type="dxa"/>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Leakage</w:t>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E9313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E2EFD9" w:themeFill="accent6" w:themeFillTint="33"/>
            <w:vAlign w:val="center"/>
          </w:tcPr>
          <w:p w:rsidR="00105E95" w:rsidRPr="00105E95" w:rsidRDefault="00E9313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r w:rsidR="00105E95" w:rsidRPr="00105E95" w:rsidTr="00B34517">
        <w:trPr>
          <w:trHeight w:val="198"/>
        </w:trPr>
        <w:tc>
          <w:tcPr>
            <w:tcW w:w="2689" w:type="dxa"/>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Compliance Risk Index</w:t>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r w:rsidR="00105E95" w:rsidRPr="00105E95" w:rsidTr="00B34517">
        <w:trPr>
          <w:trHeight w:val="198"/>
        </w:trPr>
        <w:tc>
          <w:tcPr>
            <w:tcW w:w="2689" w:type="dxa"/>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Interruptions</w:t>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sz w:val="16"/>
                <w:szCs w:val="16"/>
              </w:rPr>
              <w:t>Mains repairs</w:t>
            </w:r>
            <w:r w:rsidR="00F836B4">
              <w:rPr>
                <w:rFonts w:cs="Arial"/>
                <w:sz w:val="16"/>
                <w:szCs w:val="16"/>
              </w:rPr>
              <w:t xml:space="preserve"> (bursts)</w:t>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Unplanned Outage</w:t>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Severe Droughts</w:t>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r w:rsidR="00105E95" w:rsidRPr="00105E95" w:rsidTr="00B34517">
        <w:trPr>
          <w:trHeight w:val="198"/>
        </w:trPr>
        <w:tc>
          <w:tcPr>
            <w:tcW w:w="2689" w:type="dxa"/>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C-Mex</w:t>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r w:rsidR="00105E95" w:rsidRPr="00105E95" w:rsidTr="00B34517">
        <w:trPr>
          <w:trHeight w:val="198"/>
        </w:trPr>
        <w:tc>
          <w:tcPr>
            <w:tcW w:w="2689" w:type="dxa"/>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D-Mex</w:t>
            </w: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E2EFD9" w:themeFill="accent6"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r w:rsidR="00105E95" w:rsidRPr="00105E95" w:rsidTr="00B34517">
        <w:trPr>
          <w:trHeight w:val="198"/>
        </w:trPr>
        <w:tc>
          <w:tcPr>
            <w:tcW w:w="2689" w:type="dxa"/>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Voids</w:t>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Affordability</w:t>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Vulnerability</w:t>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Catchment Management</w:t>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AIM</w:t>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Resilience Schemes</w:t>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Biodiversity</w:t>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r w:rsidR="00105E95" w:rsidRPr="00105E95" w:rsidTr="00B34517">
        <w:trPr>
          <w:trHeight w:val="198"/>
        </w:trPr>
        <w:tc>
          <w:tcPr>
            <w:tcW w:w="2689" w:type="dxa"/>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Low Pressure</w:t>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Contacts (black / brown / orange)</w:t>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2"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FBE4D5" w:themeFill="accent2"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r>
      <w:tr w:rsidR="00105E95" w:rsidRPr="00105E95" w:rsidTr="00B34517">
        <w:trPr>
          <w:trHeight w:val="198"/>
        </w:trPr>
        <w:tc>
          <w:tcPr>
            <w:tcW w:w="2689" w:type="dxa"/>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Temporary Usage Ban</w:t>
            </w:r>
          </w:p>
        </w:tc>
        <w:tc>
          <w:tcPr>
            <w:tcW w:w="1032"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r w:rsidR="00105E95" w:rsidRPr="00105E95" w:rsidTr="00B34517">
        <w:trPr>
          <w:trHeight w:val="198"/>
        </w:trPr>
        <w:tc>
          <w:tcPr>
            <w:tcW w:w="2689" w:type="dxa"/>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Carbon</w:t>
            </w:r>
          </w:p>
        </w:tc>
        <w:tc>
          <w:tcPr>
            <w:tcW w:w="1032"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r w:rsidR="00105E95" w:rsidRPr="00105E95" w:rsidTr="00B34517">
        <w:trPr>
          <w:trHeight w:val="198"/>
        </w:trPr>
        <w:tc>
          <w:tcPr>
            <w:tcW w:w="2689" w:type="dxa"/>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cs="Arial"/>
                <w:color w:val="000000"/>
                <w:sz w:val="16"/>
                <w:szCs w:val="16"/>
                <w:lang w:val="en-US"/>
              </w:rPr>
            </w:pPr>
            <w:r w:rsidRPr="00105E95">
              <w:rPr>
                <w:rFonts w:cs="Arial"/>
                <w:color w:val="000000"/>
                <w:sz w:val="16"/>
                <w:szCs w:val="16"/>
                <w:lang w:val="en-US"/>
              </w:rPr>
              <w:t>Health &amp; Safety</w:t>
            </w:r>
          </w:p>
        </w:tc>
        <w:tc>
          <w:tcPr>
            <w:tcW w:w="1032"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p>
        </w:tc>
        <w:tc>
          <w:tcPr>
            <w:tcW w:w="1032"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c>
          <w:tcPr>
            <w:tcW w:w="1033" w:type="dxa"/>
            <w:shd w:val="clear" w:color="auto" w:fill="DEEAF6" w:themeFill="accent1" w:themeFillTint="33"/>
            <w:vAlign w:val="center"/>
          </w:tcPr>
          <w:p w:rsidR="00105E95" w:rsidRPr="00105E95" w:rsidRDefault="00105E95" w:rsidP="00105E95">
            <w:pPr>
              <w:tabs>
                <w:tab w:val="clear" w:pos="851"/>
              </w:tabs>
              <w:spacing w:after="0"/>
              <w:ind w:left="0"/>
              <w:jc w:val="center"/>
              <w:rPr>
                <w:rFonts w:eastAsia="MS Mincho" w:cs="Arial"/>
                <w:sz w:val="16"/>
                <w:szCs w:val="16"/>
                <w:lang w:val="en-US"/>
              </w:rPr>
            </w:pPr>
            <w:r w:rsidRPr="00105E95">
              <w:rPr>
                <w:rFonts w:eastAsia="MS Mincho" w:cs="Arial"/>
                <w:sz w:val="16"/>
                <w:szCs w:val="16"/>
                <w:lang w:val="en-US"/>
              </w:rPr>
              <w:sym w:font="Wingdings" w:char="F0FC"/>
            </w:r>
          </w:p>
        </w:tc>
      </w:tr>
    </w:tbl>
    <w:p w:rsidR="00B34517" w:rsidRPr="00A61F53" w:rsidRDefault="00A61F53" w:rsidP="00E80D1A">
      <w:pPr>
        <w:rPr>
          <w:sz w:val="16"/>
          <w:szCs w:val="16"/>
        </w:rPr>
      </w:pPr>
      <w:r w:rsidRPr="00A61F53">
        <w:rPr>
          <w:rFonts w:cs="Arial"/>
          <w:sz w:val="16"/>
          <w:szCs w:val="16"/>
        </w:rPr>
        <w:t xml:space="preserve">Key: </w:t>
      </w:r>
      <w:r w:rsidR="00AE1B77" w:rsidRPr="00A61F53">
        <w:rPr>
          <w:rFonts w:cs="Arial"/>
          <w:color w:val="C5E0B3" w:themeColor="accent6" w:themeTint="66"/>
          <w:sz w:val="32"/>
          <w:szCs w:val="32"/>
        </w:rPr>
        <w:t>■</w:t>
      </w:r>
      <w:r w:rsidRPr="00A61F53">
        <w:rPr>
          <w:rFonts w:cs="Arial"/>
          <w:color w:val="C5E0B3" w:themeColor="accent6" w:themeTint="66"/>
          <w:sz w:val="16"/>
          <w:szCs w:val="16"/>
        </w:rPr>
        <w:t xml:space="preserve"> </w:t>
      </w:r>
      <w:r w:rsidRPr="00A61F53">
        <w:rPr>
          <w:rFonts w:cs="Arial"/>
          <w:sz w:val="16"/>
          <w:szCs w:val="16"/>
        </w:rPr>
        <w:t xml:space="preserve">– common </w:t>
      </w:r>
      <w:r>
        <w:rPr>
          <w:rFonts w:cs="Arial"/>
          <w:sz w:val="16"/>
          <w:szCs w:val="16"/>
        </w:rPr>
        <w:t xml:space="preserve">     </w:t>
      </w:r>
      <w:r w:rsidRPr="00A61F53">
        <w:rPr>
          <w:rFonts w:cs="Arial"/>
          <w:sz w:val="16"/>
          <w:szCs w:val="16"/>
        </w:rPr>
        <w:t xml:space="preserve">        </w:t>
      </w:r>
      <w:r w:rsidRPr="00A61F53">
        <w:rPr>
          <w:rFonts w:cs="Arial"/>
          <w:color w:val="F7CAAC" w:themeColor="accent2" w:themeTint="66"/>
          <w:sz w:val="32"/>
          <w:szCs w:val="32"/>
        </w:rPr>
        <w:t>■</w:t>
      </w:r>
      <w:r w:rsidRPr="00A61F53">
        <w:rPr>
          <w:rFonts w:cs="Arial"/>
          <w:color w:val="C5E0B3" w:themeColor="accent6" w:themeTint="66"/>
          <w:sz w:val="16"/>
          <w:szCs w:val="16"/>
        </w:rPr>
        <w:t xml:space="preserve"> </w:t>
      </w:r>
      <w:r w:rsidRPr="00A61F53">
        <w:rPr>
          <w:rFonts w:cs="Arial"/>
          <w:sz w:val="16"/>
          <w:szCs w:val="16"/>
        </w:rPr>
        <w:t xml:space="preserve">– </w:t>
      </w:r>
      <w:r>
        <w:rPr>
          <w:rFonts w:cs="Arial"/>
          <w:sz w:val="16"/>
          <w:szCs w:val="16"/>
        </w:rPr>
        <w:t>bespoke</w:t>
      </w:r>
      <w:r w:rsidRPr="00A61F53">
        <w:rPr>
          <w:rFonts w:cs="Arial"/>
          <w:sz w:val="16"/>
          <w:szCs w:val="16"/>
        </w:rPr>
        <w:t xml:space="preserve">               </w:t>
      </w:r>
      <w:r w:rsidRPr="00A61F53">
        <w:rPr>
          <w:rFonts w:cs="Arial"/>
          <w:color w:val="D9E2F3" w:themeColor="accent5" w:themeTint="33"/>
          <w:sz w:val="32"/>
          <w:szCs w:val="32"/>
        </w:rPr>
        <w:t>■</w:t>
      </w:r>
      <w:r w:rsidRPr="00A61F53">
        <w:rPr>
          <w:rFonts w:cs="Arial"/>
          <w:color w:val="C5E0B3" w:themeColor="accent6" w:themeTint="66"/>
          <w:sz w:val="16"/>
          <w:szCs w:val="16"/>
        </w:rPr>
        <w:t xml:space="preserve"> </w:t>
      </w:r>
      <w:r>
        <w:rPr>
          <w:rFonts w:cs="Arial"/>
          <w:sz w:val="16"/>
          <w:szCs w:val="16"/>
        </w:rPr>
        <w:t>–</w:t>
      </w:r>
      <w:r w:rsidRPr="00A61F53">
        <w:rPr>
          <w:rFonts w:cs="Arial"/>
          <w:sz w:val="16"/>
          <w:szCs w:val="16"/>
        </w:rPr>
        <w:t xml:space="preserve"> </w:t>
      </w:r>
      <w:r>
        <w:rPr>
          <w:rFonts w:cs="Arial"/>
          <w:sz w:val="16"/>
          <w:szCs w:val="16"/>
        </w:rPr>
        <w:t>PR14 PC</w:t>
      </w:r>
    </w:p>
    <w:p w:rsidR="008956D2" w:rsidRDefault="008956D2" w:rsidP="008956D2">
      <w:r>
        <w:t>We followed a structured process in order to assess the appropriately challenging levels of performance. This involved:</w:t>
      </w:r>
    </w:p>
    <w:p w:rsidR="008956D2" w:rsidRPr="00D75FD6" w:rsidRDefault="008956D2" w:rsidP="008956D2">
      <w:pPr>
        <w:pStyle w:val="ICSParagraph"/>
        <w:numPr>
          <w:ilvl w:val="0"/>
          <w:numId w:val="17"/>
        </w:numPr>
        <w:spacing w:after="0"/>
        <w:ind w:left="1276" w:hanging="425"/>
        <w:rPr>
          <w:rFonts w:ascii="Arial" w:hAnsi="Arial" w:cs="Arial"/>
          <w:color w:val="000000" w:themeColor="text1"/>
        </w:rPr>
      </w:pPr>
      <w:r w:rsidRPr="00D75FD6">
        <w:rPr>
          <w:rFonts w:ascii="Arial" w:hAnsi="Arial" w:cs="Arial"/>
          <w:color w:val="000000" w:themeColor="text1"/>
        </w:rPr>
        <w:t>Establishing a baseline performance for 2019/20</w:t>
      </w:r>
    </w:p>
    <w:p w:rsidR="008956D2" w:rsidRPr="00D75FD6" w:rsidRDefault="008956D2" w:rsidP="008956D2">
      <w:pPr>
        <w:pStyle w:val="ICSParagraph"/>
        <w:numPr>
          <w:ilvl w:val="0"/>
          <w:numId w:val="17"/>
        </w:numPr>
        <w:spacing w:after="0"/>
        <w:ind w:left="1276" w:hanging="425"/>
        <w:rPr>
          <w:rFonts w:ascii="Arial" w:hAnsi="Arial" w:cs="Arial"/>
          <w:color w:val="000000" w:themeColor="text1"/>
        </w:rPr>
      </w:pPr>
      <w:r w:rsidRPr="00D75FD6">
        <w:rPr>
          <w:rFonts w:ascii="Arial" w:hAnsi="Arial" w:cs="Arial"/>
          <w:color w:val="000000" w:themeColor="text1"/>
        </w:rPr>
        <w:t>Using the methods set out above to establish stretching levels</w:t>
      </w:r>
    </w:p>
    <w:p w:rsidR="008956D2" w:rsidRPr="00D75FD6" w:rsidRDefault="008956D2" w:rsidP="008956D2">
      <w:pPr>
        <w:pStyle w:val="ICSParagraph"/>
        <w:numPr>
          <w:ilvl w:val="0"/>
          <w:numId w:val="17"/>
        </w:numPr>
        <w:spacing w:after="0"/>
        <w:ind w:left="1276" w:hanging="425"/>
        <w:rPr>
          <w:rFonts w:ascii="Arial" w:hAnsi="Arial" w:cs="Arial"/>
          <w:color w:val="000000" w:themeColor="text1"/>
        </w:rPr>
      </w:pPr>
      <w:r w:rsidRPr="00D75FD6">
        <w:rPr>
          <w:rFonts w:ascii="Arial" w:hAnsi="Arial" w:cs="Arial"/>
          <w:color w:val="000000" w:themeColor="text1"/>
        </w:rPr>
        <w:t xml:space="preserve">Engaging with </w:t>
      </w:r>
      <w:r w:rsidR="00A11EF3">
        <w:rPr>
          <w:rFonts w:ascii="Arial" w:hAnsi="Arial" w:cs="Arial"/>
          <w:color w:val="000000" w:themeColor="text1"/>
        </w:rPr>
        <w:t>c</w:t>
      </w:r>
      <w:r w:rsidRPr="00D75FD6">
        <w:rPr>
          <w:rFonts w:ascii="Arial" w:hAnsi="Arial" w:cs="Arial"/>
          <w:color w:val="000000" w:themeColor="text1"/>
        </w:rPr>
        <w:t>ustomers to understand their view on the propos</w:t>
      </w:r>
      <w:r>
        <w:rPr>
          <w:rFonts w:ascii="Arial" w:hAnsi="Arial" w:cs="Arial"/>
          <w:color w:val="000000" w:themeColor="text1"/>
        </w:rPr>
        <w:t>ed levels (with comparative data</w:t>
      </w:r>
      <w:r w:rsidRPr="00D75FD6">
        <w:rPr>
          <w:rFonts w:ascii="Arial" w:hAnsi="Arial" w:cs="Arial"/>
          <w:color w:val="000000" w:themeColor="text1"/>
        </w:rPr>
        <w:t xml:space="preserve"> where possible)</w:t>
      </w:r>
    </w:p>
    <w:p w:rsidR="008956D2" w:rsidRDefault="008956D2" w:rsidP="008956D2">
      <w:pPr>
        <w:pStyle w:val="ICSParagraph"/>
        <w:numPr>
          <w:ilvl w:val="0"/>
          <w:numId w:val="17"/>
        </w:numPr>
        <w:spacing w:after="0"/>
        <w:ind w:left="1276" w:hanging="425"/>
        <w:rPr>
          <w:rFonts w:ascii="Arial" w:hAnsi="Arial" w:cs="Arial"/>
          <w:color w:val="000000" w:themeColor="text1"/>
        </w:rPr>
      </w:pPr>
      <w:r w:rsidRPr="00D75FD6">
        <w:rPr>
          <w:rFonts w:ascii="Arial" w:hAnsi="Arial" w:cs="Arial"/>
          <w:color w:val="000000" w:themeColor="text1"/>
        </w:rPr>
        <w:t>Considering challenges from the Board and CCG and revising accordingly</w:t>
      </w:r>
    </w:p>
    <w:p w:rsidR="008956D2" w:rsidRDefault="008956D2" w:rsidP="008956D2">
      <w:pPr>
        <w:pStyle w:val="ICSParagraph"/>
        <w:spacing w:after="0"/>
        <w:ind w:left="851"/>
        <w:rPr>
          <w:rFonts w:ascii="Arial" w:hAnsi="Arial" w:cs="Arial"/>
          <w:color w:val="000000" w:themeColor="text1"/>
        </w:rPr>
      </w:pPr>
    </w:p>
    <w:p w:rsidR="004132EC" w:rsidRDefault="004132EC" w:rsidP="00E80D1A">
      <w:r>
        <w:t>A significant part of our review process was undertaken by Construction &amp; Utilitie</w:t>
      </w:r>
      <w:r w:rsidR="00DA0421">
        <w:t>s Solutions Partnership, (CUSP) -</w:t>
      </w:r>
      <w:r>
        <w:t xml:space="preserve"> an inde</w:t>
      </w:r>
      <w:r w:rsidR="00DA0421">
        <w:t>pendent consultancy advising</w:t>
      </w:r>
      <w:r>
        <w:t xml:space="preserve"> clients in the water industry on engineering and regulatory issues.  Given their </w:t>
      </w:r>
      <w:r w:rsidR="00DA0421">
        <w:t>background,</w:t>
      </w:r>
      <w:r>
        <w:t xml:space="preserve"> they were well placed to challenge if the proposed targets were stretching.  </w:t>
      </w:r>
    </w:p>
    <w:p w:rsidR="004132EC" w:rsidRDefault="004132EC" w:rsidP="00E80D1A">
      <w:r>
        <w:t xml:space="preserve">For example, the Company had proposed and tested with customers a PC for interruptions of 4 minutes per property.  After challenge from CUSP, the proposed PC is now 3 minutes per property.  Following review and challenge from CUSP, the revisions were also made to mains repairs, vulnerability, and low pressure.  All PCs were reviewed as part of this process, and their report is included as </w:t>
      </w:r>
      <w:r w:rsidRPr="00E93135">
        <w:t xml:space="preserve">Appendix </w:t>
      </w:r>
      <w:r w:rsidR="00E93135">
        <w:t>3.1.</w:t>
      </w:r>
    </w:p>
    <w:p w:rsidR="00C533D4" w:rsidRDefault="00C533D4" w:rsidP="00E80D1A">
      <w:r>
        <w:t>We believe our target for interruption to supply will reflect the upper quartile forecast in the industry.</w:t>
      </w:r>
    </w:p>
    <w:p w:rsidR="004132EC" w:rsidRDefault="004132EC" w:rsidP="00E80D1A">
      <w:r>
        <w:t>T</w:t>
      </w:r>
      <w:r w:rsidRPr="0038774E">
        <w:t xml:space="preserve">here has </w:t>
      </w:r>
      <w:r>
        <w:t xml:space="preserve">also </w:t>
      </w:r>
      <w:r w:rsidRPr="0038774E">
        <w:t xml:space="preserve">been </w:t>
      </w:r>
      <w:r>
        <w:t xml:space="preserve">Board and </w:t>
      </w:r>
      <w:r w:rsidRPr="0038774E">
        <w:t>CCG challenge throughout this process and</w:t>
      </w:r>
      <w:r>
        <w:t>,</w:t>
      </w:r>
      <w:r w:rsidRPr="0038774E">
        <w:t xml:space="preserve"> for the environmental </w:t>
      </w:r>
      <w:r>
        <w:t>PCs</w:t>
      </w:r>
      <w:r w:rsidRPr="0038774E">
        <w:t xml:space="preserve">, we have </w:t>
      </w:r>
      <w:r>
        <w:t xml:space="preserve">positively </w:t>
      </w:r>
      <w:r w:rsidRPr="0038774E">
        <w:t>engaged with Natural England</w:t>
      </w:r>
      <w:r>
        <w:t>, the</w:t>
      </w:r>
      <w:r w:rsidRPr="0038774E">
        <w:t xml:space="preserve"> Environment Agency</w:t>
      </w:r>
      <w:r>
        <w:t xml:space="preserve"> and South Downs National Park</w:t>
      </w:r>
      <w:r w:rsidRPr="0038774E">
        <w:t>.</w:t>
      </w:r>
      <w:r>
        <w:t xml:space="preserve">  </w:t>
      </w:r>
      <w:r w:rsidR="0006675D">
        <w:t>See Appendix 3.6.</w:t>
      </w:r>
    </w:p>
    <w:p w:rsidR="004132EC" w:rsidRDefault="004A6D36" w:rsidP="00E80D1A">
      <w:r>
        <w:t xml:space="preserve">The table </w:t>
      </w:r>
      <w:r w:rsidR="004132EC" w:rsidRPr="0038774E">
        <w:t xml:space="preserve">below lists the </w:t>
      </w:r>
      <w:r w:rsidR="004132EC">
        <w:t xml:space="preserve">service levels for the </w:t>
      </w:r>
      <w:r w:rsidR="004132EC" w:rsidRPr="0038774E">
        <w:t xml:space="preserve">21 </w:t>
      </w:r>
      <w:r w:rsidR="004132EC">
        <w:t>PC</w:t>
      </w:r>
      <w:r w:rsidR="004132EC" w:rsidRPr="0038774E">
        <w:t xml:space="preserve">s we are proposing and the results of </w:t>
      </w:r>
      <w:r w:rsidR="004132EC">
        <w:t xml:space="preserve">initial </w:t>
      </w:r>
      <w:r w:rsidR="004132EC" w:rsidRPr="0038774E">
        <w:t>qualitative research with customers, who were asked “how challenging do you consider the proposed targets to be?</w:t>
      </w:r>
      <w:r w:rsidR="004132EC">
        <w:t>”</w:t>
      </w:r>
    </w:p>
    <w:p w:rsidR="004132EC" w:rsidRDefault="004132EC" w:rsidP="00C95E00">
      <w:pPr>
        <w:rPr>
          <w:rFonts w:eastAsia="MS Mincho"/>
          <w:lang w:val="en-US"/>
        </w:rPr>
      </w:pPr>
      <w:r>
        <w:rPr>
          <w:rFonts w:eastAsia="MS Mincho"/>
          <w:lang w:val="en-US"/>
        </w:rPr>
        <w:t>This research was undertaken by ICS in April 2018.  It shows that customers felt the most challenging target to achieve is that of per capita consumption, closely followed by leakage. Similarly, customers view the target for void properties as least challenging.</w:t>
      </w:r>
    </w:p>
    <w:tbl>
      <w:tblPr>
        <w:tblW w:w="9528" w:type="dxa"/>
        <w:tblInd w:w="49" w:type="dxa"/>
        <w:tblLayout w:type="fixed"/>
        <w:tblCellMar>
          <w:left w:w="30" w:type="dxa"/>
          <w:right w:w="30" w:type="dxa"/>
        </w:tblCellMar>
        <w:tblLook w:val="0000" w:firstRow="0" w:lastRow="0" w:firstColumn="0" w:lastColumn="0" w:noHBand="0" w:noVBand="0"/>
      </w:tblPr>
      <w:tblGrid>
        <w:gridCol w:w="456"/>
        <w:gridCol w:w="1984"/>
        <w:gridCol w:w="740"/>
        <w:gridCol w:w="1386"/>
        <w:gridCol w:w="1015"/>
        <w:gridCol w:w="11"/>
        <w:gridCol w:w="982"/>
        <w:gridCol w:w="11"/>
        <w:gridCol w:w="1123"/>
        <w:gridCol w:w="11"/>
        <w:gridCol w:w="1809"/>
      </w:tblGrid>
      <w:tr w:rsidR="005F5B0C" w:rsidRPr="005F5B0C" w:rsidTr="00432633">
        <w:trPr>
          <w:trHeight w:val="300"/>
        </w:trPr>
        <w:tc>
          <w:tcPr>
            <w:tcW w:w="4566" w:type="dxa"/>
            <w:gridSpan w:val="4"/>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C95E00" w:rsidRPr="005F5B0C" w:rsidRDefault="00C95E00" w:rsidP="00C95E00">
            <w:pPr>
              <w:tabs>
                <w:tab w:val="clear" w:pos="851"/>
              </w:tabs>
              <w:autoSpaceDE w:val="0"/>
              <w:autoSpaceDN w:val="0"/>
              <w:adjustRightInd w:val="0"/>
              <w:spacing w:after="0"/>
              <w:ind w:left="0"/>
              <w:rPr>
                <w:rFonts w:eastAsiaTheme="minorHAnsi" w:cs="Arial"/>
                <w:color w:val="FFFFFF" w:themeColor="background1"/>
                <w:sz w:val="16"/>
                <w:szCs w:val="16"/>
                <w:lang w:val="en-US" w:eastAsia="en-US"/>
              </w:rPr>
            </w:pPr>
            <w:r w:rsidRPr="005F5B0C">
              <w:rPr>
                <w:rFonts w:eastAsiaTheme="minorHAnsi" w:cs="Arial"/>
                <w:b/>
                <w:bCs/>
                <w:color w:val="FFFFFF" w:themeColor="background1"/>
                <w:sz w:val="16"/>
                <w:szCs w:val="16"/>
                <w:lang w:val="en-US" w:eastAsia="en-US"/>
              </w:rPr>
              <w:t>AMP7 - Outcome Deliver Incentives - Targets</w:t>
            </w:r>
          </w:p>
          <w:p w:rsidR="00C95E00" w:rsidRPr="005F5B0C" w:rsidRDefault="00C95E00" w:rsidP="00C95E00">
            <w:pPr>
              <w:tabs>
                <w:tab w:val="clear" w:pos="851"/>
              </w:tabs>
              <w:autoSpaceDE w:val="0"/>
              <w:autoSpaceDN w:val="0"/>
              <w:adjustRightInd w:val="0"/>
              <w:spacing w:after="0"/>
              <w:ind w:left="0"/>
              <w:rPr>
                <w:rFonts w:eastAsiaTheme="minorHAnsi" w:cs="Arial"/>
                <w:color w:val="FFFFFF" w:themeColor="background1"/>
                <w:sz w:val="16"/>
                <w:szCs w:val="16"/>
                <w:lang w:val="en-US" w:eastAsia="en-US"/>
              </w:rPr>
            </w:pPr>
          </w:p>
        </w:tc>
        <w:tc>
          <w:tcPr>
            <w:tcW w:w="1015" w:type="dxa"/>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C95E00" w:rsidRPr="005F5B0C" w:rsidRDefault="00C95E00" w:rsidP="00C95E00">
            <w:pPr>
              <w:tabs>
                <w:tab w:val="clear" w:pos="851"/>
              </w:tabs>
              <w:autoSpaceDE w:val="0"/>
              <w:autoSpaceDN w:val="0"/>
              <w:adjustRightInd w:val="0"/>
              <w:spacing w:after="0"/>
              <w:ind w:left="0"/>
              <w:jc w:val="center"/>
              <w:rPr>
                <w:rFonts w:eastAsiaTheme="minorHAnsi" w:cs="Arial"/>
                <w:b/>
                <w:bCs/>
                <w:color w:val="FFFFFF" w:themeColor="background1"/>
                <w:sz w:val="16"/>
                <w:szCs w:val="16"/>
                <w:lang w:val="en-US" w:eastAsia="en-US"/>
              </w:rPr>
            </w:pPr>
            <w:r w:rsidRPr="005F5B0C">
              <w:rPr>
                <w:rFonts w:eastAsiaTheme="minorHAnsi" w:cs="Arial"/>
                <w:b/>
                <w:bCs/>
                <w:color w:val="FFFFFF" w:themeColor="background1"/>
                <w:sz w:val="16"/>
                <w:szCs w:val="16"/>
                <w:lang w:val="en-US" w:eastAsia="en-US"/>
              </w:rPr>
              <w:t>2017/18</w:t>
            </w:r>
          </w:p>
        </w:tc>
        <w:tc>
          <w:tcPr>
            <w:tcW w:w="993" w:type="dxa"/>
            <w:gridSpan w:val="2"/>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C95E00" w:rsidRPr="005F5B0C" w:rsidRDefault="00C95E00" w:rsidP="00C95E00">
            <w:pPr>
              <w:tabs>
                <w:tab w:val="clear" w:pos="851"/>
              </w:tabs>
              <w:autoSpaceDE w:val="0"/>
              <w:autoSpaceDN w:val="0"/>
              <w:adjustRightInd w:val="0"/>
              <w:spacing w:after="0"/>
              <w:ind w:left="0"/>
              <w:jc w:val="center"/>
              <w:rPr>
                <w:rFonts w:eastAsiaTheme="minorHAnsi" w:cs="Arial"/>
                <w:b/>
                <w:bCs/>
                <w:color w:val="FFFFFF" w:themeColor="background1"/>
                <w:sz w:val="16"/>
                <w:szCs w:val="16"/>
                <w:lang w:val="en-US" w:eastAsia="en-US"/>
              </w:rPr>
            </w:pPr>
            <w:r w:rsidRPr="005F5B0C">
              <w:rPr>
                <w:rFonts w:eastAsiaTheme="minorHAnsi" w:cs="Arial"/>
                <w:b/>
                <w:bCs/>
                <w:color w:val="FFFFFF" w:themeColor="background1"/>
                <w:sz w:val="16"/>
                <w:szCs w:val="16"/>
                <w:lang w:val="en-US" w:eastAsia="en-US"/>
              </w:rPr>
              <w:t>2019/20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C95E00" w:rsidRPr="005F5B0C" w:rsidRDefault="00C95E00" w:rsidP="00C95E00">
            <w:pPr>
              <w:tabs>
                <w:tab w:val="clear" w:pos="851"/>
              </w:tabs>
              <w:autoSpaceDE w:val="0"/>
              <w:autoSpaceDN w:val="0"/>
              <w:adjustRightInd w:val="0"/>
              <w:spacing w:after="0"/>
              <w:ind w:left="0"/>
              <w:jc w:val="center"/>
              <w:rPr>
                <w:rFonts w:eastAsiaTheme="minorHAnsi" w:cs="Arial"/>
                <w:b/>
                <w:bCs/>
                <w:color w:val="FFFFFF" w:themeColor="background1"/>
                <w:sz w:val="16"/>
                <w:szCs w:val="16"/>
                <w:lang w:val="en-US" w:eastAsia="en-US"/>
              </w:rPr>
            </w:pPr>
            <w:r w:rsidRPr="005F5B0C">
              <w:rPr>
                <w:rFonts w:eastAsiaTheme="minorHAnsi" w:cs="Arial"/>
                <w:b/>
                <w:bCs/>
                <w:color w:val="FFFFFF" w:themeColor="background1"/>
                <w:sz w:val="16"/>
                <w:szCs w:val="16"/>
                <w:lang w:val="en-US" w:eastAsia="en-US"/>
              </w:rPr>
              <w:t>2024/25</w:t>
            </w:r>
          </w:p>
        </w:tc>
        <w:tc>
          <w:tcPr>
            <w:tcW w:w="1820" w:type="dxa"/>
            <w:gridSpan w:val="2"/>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C95E00" w:rsidRPr="005F5B0C" w:rsidRDefault="00C95E00" w:rsidP="00C95E00">
            <w:pPr>
              <w:tabs>
                <w:tab w:val="clear" w:pos="851"/>
              </w:tabs>
              <w:autoSpaceDE w:val="0"/>
              <w:autoSpaceDN w:val="0"/>
              <w:adjustRightInd w:val="0"/>
              <w:spacing w:after="0"/>
              <w:ind w:left="0"/>
              <w:jc w:val="center"/>
              <w:rPr>
                <w:rFonts w:eastAsiaTheme="minorHAnsi" w:cs="Arial"/>
                <w:b/>
                <w:bCs/>
                <w:color w:val="FFFFFF" w:themeColor="background1"/>
                <w:sz w:val="16"/>
                <w:szCs w:val="16"/>
                <w:lang w:val="en-US" w:eastAsia="en-US"/>
              </w:rPr>
            </w:pPr>
            <w:r w:rsidRPr="005F5B0C">
              <w:rPr>
                <w:rFonts w:eastAsiaTheme="minorHAnsi" w:cs="Arial"/>
                <w:b/>
                <w:bCs/>
                <w:color w:val="FFFFFF" w:themeColor="background1"/>
                <w:sz w:val="16"/>
                <w:szCs w:val="16"/>
                <w:lang w:val="en-US" w:eastAsia="en-US"/>
              </w:rPr>
              <w:t>Is the target challenging?</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 xml:space="preserve">Per Capita Consumption </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ight="-11144"/>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l/h/d</w:t>
            </w:r>
          </w:p>
        </w:tc>
        <w:tc>
          <w:tcPr>
            <w:tcW w:w="102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140</w:t>
            </w:r>
          </w:p>
        </w:tc>
        <w:tc>
          <w:tcPr>
            <w:tcW w:w="9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139</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135</w:t>
            </w:r>
          </w:p>
        </w:tc>
        <w:tc>
          <w:tcPr>
            <w:tcW w:w="18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86.9% for 135 l/h/d</w:t>
            </w:r>
          </w:p>
        </w:tc>
      </w:tr>
      <w:tr w:rsidR="00C95E00" w:rsidRPr="005F5B0C" w:rsidTr="00432633">
        <w:trPr>
          <w:trHeight w:val="300"/>
        </w:trPr>
        <w:tc>
          <w:tcPr>
            <w:tcW w:w="456" w:type="dxa"/>
            <w:tcBorders>
              <w:top w:val="single" w:sz="6" w:space="0" w:color="auto"/>
              <w:left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2.</w:t>
            </w:r>
          </w:p>
        </w:tc>
        <w:tc>
          <w:tcPr>
            <w:tcW w:w="1984" w:type="dxa"/>
            <w:tcBorders>
              <w:top w:val="single" w:sz="6" w:space="0" w:color="auto"/>
              <w:left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 xml:space="preserve">Leakage </w:t>
            </w:r>
          </w:p>
        </w:tc>
        <w:tc>
          <w:tcPr>
            <w:tcW w:w="740" w:type="dxa"/>
            <w:tcBorders>
              <w:top w:val="single" w:sz="6" w:space="0" w:color="auto"/>
              <w:left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Ml/d</w:t>
            </w:r>
          </w:p>
        </w:tc>
        <w:tc>
          <w:tcPr>
            <w:tcW w:w="102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37</w:t>
            </w:r>
          </w:p>
        </w:tc>
        <w:tc>
          <w:tcPr>
            <w:tcW w:w="9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30</w:t>
            </w:r>
          </w:p>
        </w:tc>
        <w:tc>
          <w:tcPr>
            <w:tcW w:w="18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85.5% for 15% reduction</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3.</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Compliance Risk Index</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ranking excl NAVs</w:t>
            </w:r>
          </w:p>
        </w:tc>
        <w:tc>
          <w:tcPr>
            <w:tcW w:w="102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9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8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80.3% for UQ</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4.</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Interruptions</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 xml:space="preserve">mins </w:t>
            </w:r>
          </w:p>
        </w:tc>
        <w:tc>
          <w:tcPr>
            <w:tcW w:w="102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4.3</w:t>
            </w:r>
          </w:p>
        </w:tc>
        <w:tc>
          <w:tcPr>
            <w:tcW w:w="9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4.0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4.0</w:t>
            </w:r>
          </w:p>
        </w:tc>
        <w:tc>
          <w:tcPr>
            <w:tcW w:w="18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77.3% for 4 mins</w:t>
            </w:r>
          </w:p>
        </w:tc>
      </w:tr>
      <w:tr w:rsidR="00C95E00" w:rsidRPr="005F5B0C" w:rsidTr="00432633">
        <w:trPr>
          <w:trHeight w:val="300"/>
        </w:trPr>
        <w:tc>
          <w:tcPr>
            <w:tcW w:w="456" w:type="dxa"/>
            <w:tcBorders>
              <w:top w:val="single" w:sz="6" w:space="0" w:color="auto"/>
              <w:left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5.</w:t>
            </w:r>
          </w:p>
        </w:tc>
        <w:tc>
          <w:tcPr>
            <w:tcW w:w="1984" w:type="dxa"/>
            <w:tcBorders>
              <w:top w:val="single" w:sz="6" w:space="0" w:color="auto"/>
              <w:left w:val="single" w:sz="6" w:space="0" w:color="auto"/>
              <w:right w:val="single" w:sz="6" w:space="0" w:color="auto"/>
            </w:tcBorders>
            <w:shd w:val="clear" w:color="auto" w:fill="E2EFD9" w:themeFill="accent6" w:themeFillTint="33"/>
            <w:vAlign w:val="center"/>
          </w:tcPr>
          <w:p w:rsidR="00C95E00" w:rsidRPr="005F5B0C" w:rsidRDefault="0042456D"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Pr>
                <w:rFonts w:eastAsiaTheme="minorHAnsi" w:cs="Arial"/>
                <w:color w:val="000000"/>
                <w:sz w:val="16"/>
                <w:szCs w:val="16"/>
                <w:lang w:val="en-US" w:eastAsia="en-US"/>
              </w:rPr>
              <w:t>Mains repairs (b</w:t>
            </w:r>
            <w:r w:rsidR="00C95E00" w:rsidRPr="005F5B0C">
              <w:rPr>
                <w:rFonts w:eastAsiaTheme="minorHAnsi" w:cs="Arial"/>
                <w:color w:val="000000"/>
                <w:sz w:val="16"/>
                <w:szCs w:val="16"/>
                <w:lang w:val="en-US" w:eastAsia="en-US"/>
              </w:rPr>
              <w:t>ursts</w:t>
            </w:r>
            <w:r>
              <w:rPr>
                <w:rFonts w:eastAsiaTheme="minorHAnsi" w:cs="Arial"/>
                <w:color w:val="000000"/>
                <w:sz w:val="16"/>
                <w:szCs w:val="16"/>
                <w:lang w:val="en-US" w:eastAsia="en-US"/>
              </w:rPr>
              <w:t>)</w:t>
            </w:r>
          </w:p>
        </w:tc>
        <w:tc>
          <w:tcPr>
            <w:tcW w:w="740" w:type="dxa"/>
            <w:tcBorders>
              <w:top w:val="single" w:sz="6" w:space="0" w:color="auto"/>
              <w:left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cs="Arial"/>
                <w:sz w:val="16"/>
                <w:szCs w:val="16"/>
                <w:lang w:eastAsia="en-US"/>
              </w:rPr>
              <w:t>mains repairs</w:t>
            </w:r>
            <w:r w:rsidRPr="005F5B0C">
              <w:rPr>
                <w:rFonts w:eastAsiaTheme="minorHAnsi" w:cs="Arial"/>
                <w:color w:val="000000"/>
                <w:sz w:val="16"/>
                <w:szCs w:val="16"/>
                <w:lang w:val="en-US" w:eastAsia="en-US"/>
              </w:rPr>
              <w:t xml:space="preserve"> per 1,000 km</w:t>
            </w:r>
          </w:p>
        </w:tc>
        <w:tc>
          <w:tcPr>
            <w:tcW w:w="102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104</w:t>
            </w:r>
          </w:p>
        </w:tc>
        <w:tc>
          <w:tcPr>
            <w:tcW w:w="9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90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90</w:t>
            </w:r>
          </w:p>
        </w:tc>
        <w:tc>
          <w:tcPr>
            <w:tcW w:w="18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77.8% for 90 per 1,000 km</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6.</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Unplanned Outage</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 of works not available</w:t>
            </w:r>
          </w:p>
        </w:tc>
        <w:tc>
          <w:tcPr>
            <w:tcW w:w="102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w:t>
            </w:r>
          </w:p>
        </w:tc>
        <w:tc>
          <w:tcPr>
            <w:tcW w:w="18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72.3% for 3%</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7.</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Severe Droughts</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Ability to meet a 1 in 200 drought</w:t>
            </w:r>
          </w:p>
        </w:tc>
        <w:tc>
          <w:tcPr>
            <w:tcW w:w="102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Achieved</w:t>
            </w:r>
          </w:p>
        </w:tc>
        <w:tc>
          <w:tcPr>
            <w:tcW w:w="9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8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79.9% for achievement</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8.</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C-Mex</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ranking</w:t>
            </w:r>
          </w:p>
        </w:tc>
        <w:tc>
          <w:tcPr>
            <w:tcW w:w="102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9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8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78.8% for UQ</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9.</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D-Mex</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ranking</w:t>
            </w:r>
          </w:p>
        </w:tc>
        <w:tc>
          <w:tcPr>
            <w:tcW w:w="102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9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8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72.4% for UQ</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10.</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Voids</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 of total properties &gt; than council</w:t>
            </w:r>
          </w:p>
        </w:tc>
        <w:tc>
          <w:tcPr>
            <w:tcW w:w="1026"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9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&lt; 0.25%</w:t>
            </w:r>
          </w:p>
        </w:tc>
        <w:tc>
          <w:tcPr>
            <w:tcW w:w="1809"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67.8% for &lt; 0.25%</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11.</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Affordability</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Customers on social tariff</w:t>
            </w:r>
          </w:p>
        </w:tc>
        <w:tc>
          <w:tcPr>
            <w:tcW w:w="1026"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5,200</w:t>
            </w:r>
          </w:p>
        </w:tc>
        <w:tc>
          <w:tcPr>
            <w:tcW w:w="9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6,000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8,000</w:t>
            </w:r>
          </w:p>
        </w:tc>
        <w:tc>
          <w:tcPr>
            <w:tcW w:w="1809"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75.2% for 8,000</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12.</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Vulnerability</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Satisfaction survey</w:t>
            </w:r>
          </w:p>
        </w:tc>
        <w:tc>
          <w:tcPr>
            <w:tcW w:w="1026"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9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75%</w:t>
            </w:r>
          </w:p>
        </w:tc>
        <w:tc>
          <w:tcPr>
            <w:tcW w:w="1809"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76.2% for 75%</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13.</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Catchment Management</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Contact with non-priority farmers</w:t>
            </w:r>
          </w:p>
        </w:tc>
        <w:tc>
          <w:tcPr>
            <w:tcW w:w="1026"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9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66%</w:t>
            </w:r>
          </w:p>
        </w:tc>
        <w:tc>
          <w:tcPr>
            <w:tcW w:w="1809"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78% for 25% engagement</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14.</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AIM</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Maintain rivers above Q95</w:t>
            </w:r>
          </w:p>
        </w:tc>
        <w:tc>
          <w:tcPr>
            <w:tcW w:w="1026"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9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Hamble</w:t>
            </w:r>
          </w:p>
        </w:tc>
        <w:tc>
          <w:tcPr>
            <w:tcW w:w="1809"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70.1% for Hamble / Northbrook</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15.</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Resilience Schemes</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Investment to reduce risk of non-delivery</w:t>
            </w:r>
          </w:p>
        </w:tc>
        <w:tc>
          <w:tcPr>
            <w:tcW w:w="1026"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9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4 capital schemes</w:t>
            </w:r>
          </w:p>
        </w:tc>
        <w:tc>
          <w:tcPr>
            <w:tcW w:w="1809"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Not explicitly tested with customers</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16.</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Biodiversity</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Maintain sites and grant scheme</w:t>
            </w:r>
          </w:p>
        </w:tc>
        <w:tc>
          <w:tcPr>
            <w:tcW w:w="1026"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9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809"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Not explicitly tested with customers</w:t>
            </w:r>
            <w:r w:rsidR="00560D99">
              <w:rPr>
                <w:rFonts w:eastAsiaTheme="minorHAnsi" w:cs="Arial"/>
                <w:color w:val="000000"/>
                <w:sz w:val="16"/>
                <w:szCs w:val="16"/>
                <w:lang w:val="en-US" w:eastAsia="en-US"/>
              </w:rPr>
              <w:t xml:space="preserve"> in this research</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17.</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Low Pressure</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Reduce DG2 register to 18 by 2024/25</w:t>
            </w:r>
          </w:p>
        </w:tc>
        <w:tc>
          <w:tcPr>
            <w:tcW w:w="1026"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70</w:t>
            </w:r>
          </w:p>
        </w:tc>
        <w:tc>
          <w:tcPr>
            <w:tcW w:w="9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70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34</w:t>
            </w:r>
          </w:p>
        </w:tc>
        <w:tc>
          <w:tcPr>
            <w:tcW w:w="1809"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73.3% for 34</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18.</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Contacts (black / brown / orange)</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Customer contacts re water quality</w:t>
            </w:r>
          </w:p>
        </w:tc>
        <w:tc>
          <w:tcPr>
            <w:tcW w:w="1026"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9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809"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72.3% for 0.11 contacts per 1000 customers</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19.</w:t>
            </w:r>
          </w:p>
        </w:tc>
        <w:tc>
          <w:tcPr>
            <w:tcW w:w="198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19. Temporary Usage Ban</w:t>
            </w:r>
          </w:p>
        </w:tc>
        <w:tc>
          <w:tcPr>
            <w:tcW w:w="740"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TUBs in AMP7</w:t>
            </w:r>
          </w:p>
        </w:tc>
        <w:tc>
          <w:tcPr>
            <w:tcW w:w="1026"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None</w:t>
            </w:r>
          </w:p>
        </w:tc>
        <w:tc>
          <w:tcPr>
            <w:tcW w:w="993"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None</w:t>
            </w:r>
          </w:p>
        </w:tc>
        <w:tc>
          <w:tcPr>
            <w:tcW w:w="1134"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None</w:t>
            </w:r>
          </w:p>
        </w:tc>
        <w:tc>
          <w:tcPr>
            <w:tcW w:w="1809"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76.4% for no TUB</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20.</w:t>
            </w:r>
          </w:p>
        </w:tc>
        <w:tc>
          <w:tcPr>
            <w:tcW w:w="198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20. Carbon</w:t>
            </w:r>
          </w:p>
        </w:tc>
        <w:tc>
          <w:tcPr>
            <w:tcW w:w="740"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UQ  (Tonnes of CO2e / Ml/d)</w:t>
            </w:r>
          </w:p>
        </w:tc>
        <w:tc>
          <w:tcPr>
            <w:tcW w:w="1026"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993"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134"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809"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71.2% to remain UQ</w:t>
            </w:r>
          </w:p>
        </w:tc>
      </w:tr>
      <w:tr w:rsidR="00C95E00" w:rsidRPr="005F5B0C" w:rsidTr="00432633">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21.</w:t>
            </w:r>
          </w:p>
        </w:tc>
        <w:tc>
          <w:tcPr>
            <w:tcW w:w="198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21. Health &amp; Safety</w:t>
            </w:r>
          </w:p>
        </w:tc>
        <w:tc>
          <w:tcPr>
            <w:tcW w:w="740"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RoSPA awarded annually</w:t>
            </w:r>
          </w:p>
        </w:tc>
        <w:tc>
          <w:tcPr>
            <w:tcW w:w="1026"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993"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134"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C95E00" w:rsidRPr="005F5B0C" w:rsidRDefault="00C95E00" w:rsidP="00C95E00">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809"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C95E00" w:rsidRPr="005F5B0C" w:rsidRDefault="00C95E00" w:rsidP="005F5B0C">
            <w:pPr>
              <w:tabs>
                <w:tab w:val="clear" w:pos="851"/>
              </w:tabs>
              <w:autoSpaceDE w:val="0"/>
              <w:autoSpaceDN w:val="0"/>
              <w:adjustRightInd w:val="0"/>
              <w:spacing w:after="0"/>
              <w:ind w:left="0"/>
              <w:jc w:val="left"/>
              <w:rPr>
                <w:rFonts w:eastAsiaTheme="minorHAnsi" w:cs="Arial"/>
                <w:color w:val="000000"/>
                <w:sz w:val="16"/>
                <w:szCs w:val="16"/>
                <w:lang w:val="en-US" w:eastAsia="en-US"/>
              </w:rPr>
            </w:pPr>
            <w:r w:rsidRPr="005F5B0C">
              <w:rPr>
                <w:rFonts w:eastAsiaTheme="minorHAnsi" w:cs="Arial"/>
                <w:color w:val="000000"/>
                <w:sz w:val="16"/>
                <w:szCs w:val="16"/>
                <w:lang w:val="en-US" w:eastAsia="en-US"/>
              </w:rPr>
              <w:t>72.8% for RoSPA</w:t>
            </w:r>
          </w:p>
        </w:tc>
      </w:tr>
    </w:tbl>
    <w:p w:rsidR="005F5B0C" w:rsidRPr="00A61F53" w:rsidRDefault="005F5B0C" w:rsidP="005F5B0C">
      <w:pPr>
        <w:rPr>
          <w:sz w:val="16"/>
          <w:szCs w:val="16"/>
        </w:rPr>
      </w:pPr>
      <w:r w:rsidRPr="00A61F53">
        <w:rPr>
          <w:rFonts w:cs="Arial"/>
          <w:sz w:val="16"/>
          <w:szCs w:val="16"/>
        </w:rPr>
        <w:t xml:space="preserve">Key: </w:t>
      </w:r>
      <w:r w:rsidRPr="00A61F53">
        <w:rPr>
          <w:rFonts w:cs="Arial"/>
          <w:color w:val="C5E0B3" w:themeColor="accent6" w:themeTint="66"/>
          <w:sz w:val="32"/>
          <w:szCs w:val="32"/>
        </w:rPr>
        <w:t>■</w:t>
      </w:r>
      <w:r w:rsidRPr="00A61F53">
        <w:rPr>
          <w:rFonts w:cs="Arial"/>
          <w:color w:val="C5E0B3" w:themeColor="accent6" w:themeTint="66"/>
          <w:sz w:val="16"/>
          <w:szCs w:val="16"/>
        </w:rPr>
        <w:t xml:space="preserve"> </w:t>
      </w:r>
      <w:r w:rsidRPr="00A61F53">
        <w:rPr>
          <w:rFonts w:cs="Arial"/>
          <w:sz w:val="16"/>
          <w:szCs w:val="16"/>
        </w:rPr>
        <w:t xml:space="preserve">– common </w:t>
      </w:r>
      <w:r>
        <w:rPr>
          <w:rFonts w:cs="Arial"/>
          <w:sz w:val="16"/>
          <w:szCs w:val="16"/>
        </w:rPr>
        <w:t xml:space="preserve">     </w:t>
      </w:r>
      <w:r w:rsidRPr="00A61F53">
        <w:rPr>
          <w:rFonts w:cs="Arial"/>
          <w:sz w:val="16"/>
          <w:szCs w:val="16"/>
        </w:rPr>
        <w:t xml:space="preserve">        </w:t>
      </w:r>
      <w:r w:rsidRPr="00A61F53">
        <w:rPr>
          <w:rFonts w:cs="Arial"/>
          <w:color w:val="F7CAAC" w:themeColor="accent2" w:themeTint="66"/>
          <w:sz w:val="32"/>
          <w:szCs w:val="32"/>
        </w:rPr>
        <w:t>■</w:t>
      </w:r>
      <w:r w:rsidRPr="00A61F53">
        <w:rPr>
          <w:rFonts w:cs="Arial"/>
          <w:color w:val="C5E0B3" w:themeColor="accent6" w:themeTint="66"/>
          <w:sz w:val="16"/>
          <w:szCs w:val="16"/>
        </w:rPr>
        <w:t xml:space="preserve"> </w:t>
      </w:r>
      <w:r w:rsidRPr="00A61F53">
        <w:rPr>
          <w:rFonts w:cs="Arial"/>
          <w:sz w:val="16"/>
          <w:szCs w:val="16"/>
        </w:rPr>
        <w:t xml:space="preserve">– </w:t>
      </w:r>
      <w:r>
        <w:rPr>
          <w:rFonts w:cs="Arial"/>
          <w:sz w:val="16"/>
          <w:szCs w:val="16"/>
        </w:rPr>
        <w:t>bespoke</w:t>
      </w:r>
      <w:r w:rsidRPr="00A61F53">
        <w:rPr>
          <w:rFonts w:cs="Arial"/>
          <w:sz w:val="16"/>
          <w:szCs w:val="16"/>
        </w:rPr>
        <w:t xml:space="preserve">               </w:t>
      </w:r>
      <w:r w:rsidRPr="00A61F53">
        <w:rPr>
          <w:rFonts w:cs="Arial"/>
          <w:color w:val="D9E2F3" w:themeColor="accent5" w:themeTint="33"/>
          <w:sz w:val="32"/>
          <w:szCs w:val="32"/>
        </w:rPr>
        <w:t>■</w:t>
      </w:r>
      <w:r w:rsidRPr="00A61F53">
        <w:rPr>
          <w:rFonts w:cs="Arial"/>
          <w:color w:val="C5E0B3" w:themeColor="accent6" w:themeTint="66"/>
          <w:sz w:val="16"/>
          <w:szCs w:val="16"/>
        </w:rPr>
        <w:t xml:space="preserve"> </w:t>
      </w:r>
      <w:r>
        <w:rPr>
          <w:rFonts w:cs="Arial"/>
          <w:sz w:val="16"/>
          <w:szCs w:val="16"/>
        </w:rPr>
        <w:t>–</w:t>
      </w:r>
      <w:r w:rsidRPr="00A61F53">
        <w:rPr>
          <w:rFonts w:cs="Arial"/>
          <w:sz w:val="16"/>
          <w:szCs w:val="16"/>
        </w:rPr>
        <w:t xml:space="preserve"> </w:t>
      </w:r>
      <w:r>
        <w:rPr>
          <w:rFonts w:cs="Arial"/>
          <w:sz w:val="16"/>
          <w:szCs w:val="16"/>
        </w:rPr>
        <w:t>PR14 PC</w:t>
      </w:r>
    </w:p>
    <w:p w:rsidR="004132EC" w:rsidRDefault="004132EC" w:rsidP="00E80D1A">
      <w:r>
        <w:t xml:space="preserve">Some of the definitions of our ODIs changed subsequent to this research, as a result of Ofwat publishing the definitions for the </w:t>
      </w:r>
      <w:r w:rsidR="00A11EF3">
        <w:t>c</w:t>
      </w:r>
      <w:r>
        <w:t xml:space="preserve">ommon PCs at the end of March 2018, for example Bursts now excludes repairs of ferules and is called mains repairs.  </w:t>
      </w:r>
    </w:p>
    <w:p w:rsidR="004132EC" w:rsidRDefault="004132EC" w:rsidP="00E80D1A">
      <w:r>
        <w:t xml:space="preserve">Similarly, some of our PCs evolved as part of engagement processes and targets have been improved, for example our target for interruptions to supply from the </w:t>
      </w:r>
      <w:r w:rsidR="00CC31F6">
        <w:t xml:space="preserve">4 </w:t>
      </w:r>
      <w:r>
        <w:t>minutes</w:t>
      </w:r>
      <w:r w:rsidR="00560D99">
        <w:t xml:space="preserve"> to 3 minutes</w:t>
      </w:r>
      <w:r>
        <w:t xml:space="preserve"> per property as a result of challenge.</w:t>
      </w:r>
    </w:p>
    <w:p w:rsidR="004132EC" w:rsidRDefault="008956D2" w:rsidP="00E80D1A">
      <w:r>
        <w:t>Further d</w:t>
      </w:r>
      <w:r w:rsidR="004132EC" w:rsidRPr="0038774E">
        <w:t>iscussion on how we have determine</w:t>
      </w:r>
      <w:r w:rsidR="008D2111">
        <w:t>d</w:t>
      </w:r>
      <w:r w:rsidR="004132EC" w:rsidRPr="0038774E">
        <w:t xml:space="preserve"> the targets we are setting and how we have satisfied ourselves that each are stretching is given in </w:t>
      </w:r>
      <w:r w:rsidR="004A6D36" w:rsidRPr="00011B79">
        <w:t xml:space="preserve">Appendix </w:t>
      </w:r>
      <w:r w:rsidR="00011B79" w:rsidRPr="00011B79">
        <w:t>3.9</w:t>
      </w:r>
      <w:r w:rsidR="004132EC">
        <w:t xml:space="preserve">.  </w:t>
      </w:r>
      <w:r w:rsidR="00C533D4">
        <w:t xml:space="preserve">Our longer-term aspirations are also shown in this table, where we have considered </w:t>
      </w:r>
      <w:r w:rsidR="004132EC">
        <w:t>where we expect each of</w:t>
      </w:r>
      <w:r w:rsidR="00EC2F8C">
        <w:t xml:space="preserve"> the</w:t>
      </w:r>
      <w:r w:rsidR="004132EC">
        <w:t xml:space="preserve"> ODIs to be post 2025, based on revised definitions.  We provide a value for each ODI in the next table.  </w:t>
      </w:r>
      <w:r w:rsidR="004132EC" w:rsidRPr="00932375">
        <w:t xml:space="preserve">Detail </w:t>
      </w:r>
      <w:r w:rsidR="004132EC">
        <w:t>for each PC</w:t>
      </w:r>
      <w:r>
        <w:t xml:space="preserve"> target</w:t>
      </w:r>
      <w:r w:rsidR="004132EC">
        <w:t xml:space="preserve"> for each year </w:t>
      </w:r>
      <w:r w:rsidR="004132EC" w:rsidRPr="00932375">
        <w:t>is provided in</w:t>
      </w:r>
      <w:r>
        <w:t xml:space="preserve"> Ofwat table</w:t>
      </w:r>
      <w:r w:rsidR="004132EC" w:rsidRPr="00932375">
        <w:t xml:space="preserve"> APP1</w:t>
      </w:r>
      <w:r w:rsidR="004132EC">
        <w:t>.</w:t>
      </w:r>
    </w:p>
    <w:tbl>
      <w:tblPr>
        <w:tblW w:w="8677" w:type="dxa"/>
        <w:tblInd w:w="959" w:type="dxa"/>
        <w:tblLayout w:type="fixed"/>
        <w:tblCellMar>
          <w:left w:w="30" w:type="dxa"/>
          <w:right w:w="30" w:type="dxa"/>
        </w:tblCellMar>
        <w:tblLook w:val="0000" w:firstRow="0" w:lastRow="0" w:firstColumn="0" w:lastColumn="0" w:noHBand="0" w:noVBand="0"/>
      </w:tblPr>
      <w:tblGrid>
        <w:gridCol w:w="456"/>
        <w:gridCol w:w="1984"/>
        <w:gridCol w:w="740"/>
        <w:gridCol w:w="1386"/>
        <w:gridCol w:w="1276"/>
        <w:gridCol w:w="1242"/>
        <w:gridCol w:w="11"/>
        <w:gridCol w:w="1582"/>
      </w:tblGrid>
      <w:tr w:rsidR="005F5B0C" w:rsidRPr="005F5B0C" w:rsidTr="005F5B0C">
        <w:trPr>
          <w:trHeight w:val="300"/>
        </w:trPr>
        <w:tc>
          <w:tcPr>
            <w:tcW w:w="4566" w:type="dxa"/>
            <w:gridSpan w:val="4"/>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105E95">
            <w:pPr>
              <w:tabs>
                <w:tab w:val="clear" w:pos="851"/>
              </w:tabs>
              <w:autoSpaceDE w:val="0"/>
              <w:autoSpaceDN w:val="0"/>
              <w:adjustRightInd w:val="0"/>
              <w:spacing w:after="0"/>
              <w:ind w:left="0"/>
              <w:rPr>
                <w:rFonts w:eastAsiaTheme="minorHAnsi" w:cs="Arial"/>
                <w:color w:val="FFFFFF" w:themeColor="background1"/>
                <w:sz w:val="16"/>
                <w:szCs w:val="16"/>
                <w:lang w:val="en-US" w:eastAsia="en-US"/>
              </w:rPr>
            </w:pPr>
            <w:r w:rsidRPr="005F5B0C">
              <w:rPr>
                <w:rFonts w:eastAsiaTheme="minorHAnsi" w:cs="Arial"/>
                <w:b/>
                <w:bCs/>
                <w:color w:val="FFFFFF" w:themeColor="background1"/>
                <w:sz w:val="16"/>
                <w:szCs w:val="16"/>
                <w:lang w:val="en-US" w:eastAsia="en-US"/>
              </w:rPr>
              <w:t>Long term Targets for ODIs</w:t>
            </w:r>
          </w:p>
          <w:p w:rsidR="00105E95" w:rsidRPr="005F5B0C" w:rsidRDefault="00105E95" w:rsidP="00105E95">
            <w:pPr>
              <w:tabs>
                <w:tab w:val="clear" w:pos="851"/>
              </w:tabs>
              <w:autoSpaceDE w:val="0"/>
              <w:autoSpaceDN w:val="0"/>
              <w:adjustRightInd w:val="0"/>
              <w:spacing w:after="0"/>
              <w:ind w:left="0"/>
              <w:rPr>
                <w:rFonts w:eastAsiaTheme="minorHAnsi" w:cs="Arial"/>
                <w:color w:val="FFFFFF" w:themeColor="background1"/>
                <w:sz w:val="16"/>
                <w:szCs w:val="16"/>
                <w:lang w:val="en-US" w:eastAsia="en-US"/>
              </w:rPr>
            </w:pPr>
          </w:p>
        </w:tc>
        <w:tc>
          <w:tcPr>
            <w:tcW w:w="1276" w:type="dxa"/>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105E95">
            <w:pPr>
              <w:tabs>
                <w:tab w:val="clear" w:pos="851"/>
              </w:tabs>
              <w:autoSpaceDE w:val="0"/>
              <w:autoSpaceDN w:val="0"/>
              <w:adjustRightInd w:val="0"/>
              <w:spacing w:after="0"/>
              <w:ind w:left="0"/>
              <w:jc w:val="center"/>
              <w:rPr>
                <w:rFonts w:eastAsiaTheme="minorHAnsi" w:cs="Arial"/>
                <w:b/>
                <w:bCs/>
                <w:color w:val="FFFFFF" w:themeColor="background1"/>
                <w:sz w:val="16"/>
                <w:szCs w:val="16"/>
                <w:lang w:val="en-US" w:eastAsia="en-US"/>
              </w:rPr>
            </w:pPr>
            <w:r w:rsidRPr="005F5B0C">
              <w:rPr>
                <w:rFonts w:eastAsiaTheme="minorHAnsi" w:cs="Arial"/>
                <w:b/>
                <w:bCs/>
                <w:color w:val="FFFFFF" w:themeColor="background1"/>
                <w:sz w:val="16"/>
                <w:szCs w:val="16"/>
                <w:lang w:val="en-US" w:eastAsia="en-US"/>
              </w:rPr>
              <w:t>2019/20</w:t>
            </w:r>
          </w:p>
        </w:tc>
        <w:tc>
          <w:tcPr>
            <w:tcW w:w="1253" w:type="dxa"/>
            <w:gridSpan w:val="2"/>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105E95">
            <w:pPr>
              <w:tabs>
                <w:tab w:val="clear" w:pos="851"/>
              </w:tabs>
              <w:autoSpaceDE w:val="0"/>
              <w:autoSpaceDN w:val="0"/>
              <w:adjustRightInd w:val="0"/>
              <w:spacing w:after="0"/>
              <w:ind w:left="0"/>
              <w:jc w:val="center"/>
              <w:rPr>
                <w:rFonts w:eastAsiaTheme="minorHAnsi" w:cs="Arial"/>
                <w:b/>
                <w:bCs/>
                <w:color w:val="FFFFFF" w:themeColor="background1"/>
                <w:sz w:val="16"/>
                <w:szCs w:val="16"/>
                <w:lang w:val="en-US" w:eastAsia="en-US"/>
              </w:rPr>
            </w:pPr>
            <w:r w:rsidRPr="005F5B0C">
              <w:rPr>
                <w:rFonts w:eastAsiaTheme="minorHAnsi" w:cs="Arial"/>
                <w:b/>
                <w:bCs/>
                <w:color w:val="FFFFFF" w:themeColor="background1"/>
                <w:sz w:val="16"/>
                <w:szCs w:val="16"/>
                <w:lang w:val="en-US" w:eastAsia="en-US"/>
              </w:rPr>
              <w:t>2024/25</w:t>
            </w:r>
          </w:p>
        </w:tc>
        <w:tc>
          <w:tcPr>
            <w:tcW w:w="1582" w:type="dxa"/>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C51A49">
            <w:pPr>
              <w:tabs>
                <w:tab w:val="clear" w:pos="851"/>
              </w:tabs>
              <w:autoSpaceDE w:val="0"/>
              <w:autoSpaceDN w:val="0"/>
              <w:adjustRightInd w:val="0"/>
              <w:spacing w:after="0"/>
              <w:ind w:left="0"/>
              <w:jc w:val="center"/>
              <w:rPr>
                <w:rFonts w:eastAsiaTheme="minorHAnsi" w:cs="Arial"/>
                <w:b/>
                <w:bCs/>
                <w:color w:val="FFFFFF" w:themeColor="background1"/>
                <w:sz w:val="16"/>
                <w:szCs w:val="16"/>
                <w:lang w:val="en-US" w:eastAsia="en-US"/>
              </w:rPr>
            </w:pPr>
            <w:r w:rsidRPr="005F5B0C">
              <w:rPr>
                <w:rFonts w:eastAsiaTheme="minorHAnsi" w:cs="Arial"/>
                <w:b/>
                <w:bCs/>
                <w:color w:val="FFFFFF" w:themeColor="background1"/>
                <w:sz w:val="16"/>
                <w:szCs w:val="16"/>
                <w:lang w:val="en-US" w:eastAsia="en-US"/>
              </w:rPr>
              <w:t>203</w:t>
            </w:r>
            <w:r w:rsidR="00C51A49">
              <w:rPr>
                <w:rFonts w:eastAsiaTheme="minorHAnsi" w:cs="Arial"/>
                <w:b/>
                <w:bCs/>
                <w:color w:val="FFFFFF" w:themeColor="background1"/>
                <w:sz w:val="16"/>
                <w:szCs w:val="16"/>
                <w:lang w:val="en-US" w:eastAsia="en-US"/>
              </w:rPr>
              <w:t>4</w:t>
            </w:r>
            <w:r w:rsidRPr="005F5B0C">
              <w:rPr>
                <w:rFonts w:eastAsiaTheme="minorHAnsi" w:cs="Arial"/>
                <w:b/>
                <w:bCs/>
                <w:color w:val="FFFFFF" w:themeColor="background1"/>
                <w:sz w:val="16"/>
                <w:szCs w:val="16"/>
                <w:lang w:val="en-US" w:eastAsia="en-US"/>
              </w:rPr>
              <w:t>/</w:t>
            </w:r>
            <w:r w:rsidR="00C51A49">
              <w:rPr>
                <w:rFonts w:eastAsiaTheme="minorHAnsi" w:cs="Arial"/>
                <w:b/>
                <w:bCs/>
                <w:color w:val="FFFFFF" w:themeColor="background1"/>
                <w:sz w:val="16"/>
                <w:szCs w:val="16"/>
                <w:lang w:val="en-US" w:eastAsia="en-US"/>
              </w:rPr>
              <w:t>35</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 xml:space="preserve">Per Capita Consumption </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ight="-11144"/>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l/h/d</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14</w:t>
            </w:r>
            <w:r w:rsidR="00407E05">
              <w:rPr>
                <w:rFonts w:eastAsiaTheme="minorHAnsi" w:cs="Arial"/>
                <w:color w:val="000000"/>
                <w:sz w:val="16"/>
                <w:szCs w:val="16"/>
                <w:lang w:val="en-US" w:eastAsia="en-US"/>
              </w:rPr>
              <w:t>2</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135</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12</w:t>
            </w:r>
            <w:r w:rsidR="00C51A49">
              <w:rPr>
                <w:rFonts w:eastAsiaTheme="minorHAnsi" w:cs="Arial"/>
                <w:color w:val="000000"/>
                <w:sz w:val="16"/>
                <w:szCs w:val="16"/>
                <w:lang w:val="en-US" w:eastAsia="en-US"/>
              </w:rPr>
              <w:t>9</w:t>
            </w:r>
          </w:p>
        </w:tc>
      </w:tr>
      <w:tr w:rsidR="00105E95" w:rsidRPr="005F5B0C" w:rsidTr="00C95E00">
        <w:trPr>
          <w:trHeight w:val="300"/>
        </w:trPr>
        <w:tc>
          <w:tcPr>
            <w:tcW w:w="456" w:type="dxa"/>
            <w:vMerge w:val="restart"/>
            <w:tcBorders>
              <w:top w:val="single" w:sz="6" w:space="0" w:color="auto"/>
              <w:left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2.</w:t>
            </w:r>
          </w:p>
        </w:tc>
        <w:tc>
          <w:tcPr>
            <w:tcW w:w="1984" w:type="dxa"/>
            <w:vMerge w:val="restart"/>
            <w:tcBorders>
              <w:top w:val="single" w:sz="6" w:space="0" w:color="auto"/>
              <w:left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 xml:space="preserve">Leakage </w:t>
            </w:r>
          </w:p>
        </w:tc>
        <w:tc>
          <w:tcPr>
            <w:tcW w:w="740" w:type="dxa"/>
            <w:vMerge w:val="restart"/>
            <w:tcBorders>
              <w:top w:val="single" w:sz="6" w:space="0" w:color="auto"/>
              <w:left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Ml/d</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34.9</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29.6</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4E5AEA">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2</w:t>
            </w:r>
            <w:r w:rsidR="004E5AEA">
              <w:rPr>
                <w:rFonts w:eastAsiaTheme="minorHAnsi" w:cs="Arial"/>
                <w:color w:val="000000"/>
                <w:sz w:val="16"/>
                <w:szCs w:val="16"/>
                <w:lang w:val="en-US" w:eastAsia="en-US"/>
              </w:rPr>
              <w:t>6</w:t>
            </w:r>
            <w:r w:rsidRPr="005F5B0C">
              <w:rPr>
                <w:rFonts w:eastAsiaTheme="minorHAnsi" w:cs="Arial"/>
                <w:color w:val="000000"/>
                <w:sz w:val="16"/>
                <w:szCs w:val="16"/>
                <w:lang w:val="en-US" w:eastAsia="en-US"/>
              </w:rPr>
              <w:t>.</w:t>
            </w:r>
            <w:r w:rsidR="004E5AEA">
              <w:rPr>
                <w:rFonts w:eastAsiaTheme="minorHAnsi" w:cs="Arial"/>
                <w:color w:val="000000"/>
                <w:sz w:val="16"/>
                <w:szCs w:val="16"/>
                <w:lang w:val="en-US" w:eastAsia="en-US"/>
              </w:rPr>
              <w:t>1</w:t>
            </w:r>
          </w:p>
        </w:tc>
      </w:tr>
      <w:tr w:rsidR="00105E95" w:rsidRPr="005F5B0C" w:rsidTr="00C95E00">
        <w:trPr>
          <w:trHeight w:val="300"/>
        </w:trPr>
        <w:tc>
          <w:tcPr>
            <w:tcW w:w="456" w:type="dxa"/>
            <w:vMerge/>
            <w:tcBorders>
              <w:left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p>
        </w:tc>
        <w:tc>
          <w:tcPr>
            <w:tcW w:w="1984" w:type="dxa"/>
            <w:vMerge/>
            <w:tcBorders>
              <w:left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p>
        </w:tc>
        <w:tc>
          <w:tcPr>
            <w:tcW w:w="740" w:type="dxa"/>
            <w:vMerge/>
            <w:tcBorders>
              <w:left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l/p/d</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108</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407E0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Pr>
                <w:rFonts w:eastAsiaTheme="minorHAnsi" w:cs="Arial"/>
                <w:color w:val="000000"/>
                <w:sz w:val="16"/>
                <w:szCs w:val="16"/>
                <w:lang w:val="en-US" w:eastAsia="en-US"/>
              </w:rPr>
              <w:t>89</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407E05" w:rsidP="004E5AEA">
            <w:pPr>
              <w:tabs>
                <w:tab w:val="clear" w:pos="851"/>
              </w:tabs>
              <w:autoSpaceDE w:val="0"/>
              <w:autoSpaceDN w:val="0"/>
              <w:adjustRightInd w:val="0"/>
              <w:spacing w:after="0"/>
              <w:ind w:left="0"/>
              <w:jc w:val="center"/>
              <w:rPr>
                <w:rFonts w:eastAsiaTheme="minorHAnsi" w:cs="Arial"/>
                <w:color w:val="000000"/>
                <w:sz w:val="16"/>
                <w:szCs w:val="16"/>
                <w:lang w:val="en-US" w:eastAsia="en-US"/>
              </w:rPr>
            </w:pPr>
            <w:r>
              <w:rPr>
                <w:rFonts w:eastAsiaTheme="minorHAnsi" w:cs="Arial"/>
                <w:color w:val="000000"/>
                <w:sz w:val="16"/>
                <w:szCs w:val="16"/>
                <w:lang w:val="en-US" w:eastAsia="en-US"/>
              </w:rPr>
              <w:t>7</w:t>
            </w:r>
            <w:r w:rsidR="004E5AEA">
              <w:rPr>
                <w:rFonts w:eastAsiaTheme="minorHAnsi" w:cs="Arial"/>
                <w:color w:val="000000"/>
                <w:sz w:val="16"/>
                <w:szCs w:val="16"/>
                <w:lang w:val="en-US" w:eastAsia="en-US"/>
              </w:rPr>
              <w:t>5</w:t>
            </w:r>
          </w:p>
        </w:tc>
      </w:tr>
      <w:tr w:rsidR="00105E95" w:rsidRPr="005F5B0C" w:rsidTr="00C95E00">
        <w:trPr>
          <w:trHeight w:val="300"/>
        </w:trPr>
        <w:tc>
          <w:tcPr>
            <w:tcW w:w="456" w:type="dxa"/>
            <w:vMerge/>
            <w:tcBorders>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p>
        </w:tc>
        <w:tc>
          <w:tcPr>
            <w:tcW w:w="1984" w:type="dxa"/>
            <w:vMerge/>
            <w:tcBorders>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p>
        </w:tc>
        <w:tc>
          <w:tcPr>
            <w:tcW w:w="740" w:type="dxa"/>
            <w:vMerge/>
            <w:tcBorders>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m</w:t>
            </w:r>
            <w:r w:rsidRPr="005F5B0C">
              <w:rPr>
                <w:rFonts w:eastAsiaTheme="minorHAnsi" w:cs="Arial"/>
                <w:color w:val="000000"/>
                <w:sz w:val="16"/>
                <w:szCs w:val="16"/>
                <w:vertAlign w:val="superscript"/>
                <w:lang w:val="en-US" w:eastAsia="en-US"/>
              </w:rPr>
              <w:t>3</w:t>
            </w:r>
            <w:r w:rsidRPr="005F5B0C">
              <w:rPr>
                <w:rFonts w:eastAsiaTheme="minorHAnsi" w:cs="Arial"/>
                <w:color w:val="000000"/>
                <w:sz w:val="16"/>
                <w:szCs w:val="16"/>
                <w:lang w:val="en-US" w:eastAsia="en-US"/>
              </w:rPr>
              <w:t>/km/day</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10.4</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8.7</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C51A49" w:rsidP="004E5AEA">
            <w:pPr>
              <w:tabs>
                <w:tab w:val="clear" w:pos="851"/>
              </w:tabs>
              <w:autoSpaceDE w:val="0"/>
              <w:autoSpaceDN w:val="0"/>
              <w:adjustRightInd w:val="0"/>
              <w:spacing w:after="0"/>
              <w:ind w:left="0"/>
              <w:jc w:val="center"/>
              <w:rPr>
                <w:rFonts w:eastAsiaTheme="minorHAnsi" w:cs="Arial"/>
                <w:color w:val="000000"/>
                <w:sz w:val="16"/>
                <w:szCs w:val="16"/>
                <w:lang w:val="en-US" w:eastAsia="en-US"/>
              </w:rPr>
            </w:pPr>
            <w:r>
              <w:rPr>
                <w:rFonts w:eastAsiaTheme="minorHAnsi" w:cs="Arial"/>
                <w:color w:val="000000"/>
                <w:sz w:val="16"/>
                <w:szCs w:val="16"/>
                <w:lang w:val="en-US" w:eastAsia="en-US"/>
              </w:rPr>
              <w:t>7.</w:t>
            </w:r>
            <w:r w:rsidR="004E5AEA">
              <w:rPr>
                <w:rFonts w:eastAsiaTheme="minorHAnsi" w:cs="Arial"/>
                <w:color w:val="000000"/>
                <w:sz w:val="16"/>
                <w:szCs w:val="16"/>
                <w:lang w:val="en-US" w:eastAsia="en-US"/>
              </w:rPr>
              <w:t>5</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3.</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Compliance Risk Index</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ranking excl NAVs</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4.</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Interruptions</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 xml:space="preserve">mins </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4.0</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3.0</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2.0</w:t>
            </w:r>
          </w:p>
        </w:tc>
      </w:tr>
      <w:tr w:rsidR="00105E95" w:rsidRPr="005F5B0C" w:rsidTr="00C95E00">
        <w:trPr>
          <w:trHeight w:val="300"/>
        </w:trPr>
        <w:tc>
          <w:tcPr>
            <w:tcW w:w="456" w:type="dxa"/>
            <w:tcBorders>
              <w:top w:val="single" w:sz="6" w:space="0" w:color="auto"/>
              <w:left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5.</w:t>
            </w:r>
          </w:p>
        </w:tc>
        <w:tc>
          <w:tcPr>
            <w:tcW w:w="1984" w:type="dxa"/>
            <w:tcBorders>
              <w:top w:val="single" w:sz="6" w:space="0" w:color="auto"/>
              <w:left w:val="single" w:sz="6" w:space="0" w:color="auto"/>
              <w:right w:val="single" w:sz="6" w:space="0" w:color="auto"/>
            </w:tcBorders>
            <w:shd w:val="clear" w:color="auto" w:fill="E2EFD9" w:themeFill="accent6" w:themeFillTint="33"/>
          </w:tcPr>
          <w:p w:rsidR="00105E95" w:rsidRPr="005F5B0C" w:rsidRDefault="00105E95" w:rsidP="007C079B">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cs="Arial"/>
                <w:sz w:val="16"/>
                <w:szCs w:val="16"/>
                <w:lang w:eastAsia="en-US"/>
              </w:rPr>
              <w:t xml:space="preserve">Mains </w:t>
            </w:r>
            <w:r w:rsidR="007C079B">
              <w:rPr>
                <w:rFonts w:cs="Arial"/>
                <w:sz w:val="16"/>
                <w:szCs w:val="16"/>
                <w:lang w:eastAsia="en-US"/>
              </w:rPr>
              <w:t>repairs</w:t>
            </w:r>
            <w:r w:rsidR="0042456D">
              <w:rPr>
                <w:rFonts w:cs="Arial"/>
                <w:sz w:val="16"/>
                <w:szCs w:val="16"/>
                <w:lang w:eastAsia="en-US"/>
              </w:rPr>
              <w:t xml:space="preserve"> (bursts)</w:t>
            </w:r>
          </w:p>
        </w:tc>
        <w:tc>
          <w:tcPr>
            <w:tcW w:w="740" w:type="dxa"/>
            <w:tcBorders>
              <w:top w:val="single" w:sz="6" w:space="0" w:color="auto"/>
              <w:left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cs="Arial"/>
                <w:sz w:val="16"/>
                <w:szCs w:val="16"/>
                <w:lang w:eastAsia="en-US"/>
              </w:rPr>
              <w:t>mains repairs</w:t>
            </w:r>
            <w:r w:rsidRPr="005F5B0C">
              <w:rPr>
                <w:rFonts w:eastAsiaTheme="minorHAnsi" w:cs="Arial"/>
                <w:color w:val="000000"/>
                <w:sz w:val="16"/>
                <w:szCs w:val="16"/>
                <w:lang w:val="en-US" w:eastAsia="en-US"/>
              </w:rPr>
              <w:t xml:space="preserve"> per 1,000 km</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C51A49"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Pr>
                <w:rFonts w:eastAsiaTheme="minorHAnsi" w:cs="Arial"/>
                <w:color w:val="000000"/>
                <w:sz w:val="16"/>
                <w:szCs w:val="16"/>
                <w:lang w:val="en-US" w:eastAsia="en-US"/>
              </w:rPr>
              <w:t>69</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407E0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Pr>
                <w:rFonts w:eastAsiaTheme="minorHAnsi" w:cs="Arial"/>
                <w:color w:val="000000"/>
                <w:sz w:val="16"/>
                <w:szCs w:val="16"/>
                <w:lang w:val="en-US" w:eastAsia="en-US"/>
              </w:rPr>
              <w:t>6</w:t>
            </w:r>
            <w:r w:rsidR="00C51A49">
              <w:rPr>
                <w:rFonts w:eastAsiaTheme="minorHAnsi" w:cs="Arial"/>
                <w:color w:val="000000"/>
                <w:sz w:val="16"/>
                <w:szCs w:val="16"/>
                <w:lang w:val="en-US" w:eastAsia="en-US"/>
              </w:rPr>
              <w:t>7</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407E0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Pr>
                <w:rFonts w:eastAsiaTheme="minorHAnsi" w:cs="Arial"/>
                <w:color w:val="000000"/>
                <w:sz w:val="16"/>
                <w:szCs w:val="16"/>
                <w:lang w:val="en-US" w:eastAsia="en-US"/>
              </w:rPr>
              <w:t>6</w:t>
            </w:r>
            <w:r w:rsidR="00C51A49">
              <w:rPr>
                <w:rFonts w:eastAsiaTheme="minorHAnsi" w:cs="Arial"/>
                <w:color w:val="000000"/>
                <w:sz w:val="16"/>
                <w:szCs w:val="16"/>
                <w:lang w:val="en-US" w:eastAsia="en-US"/>
              </w:rPr>
              <w:t>4</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6.</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Unplanned Outage</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 of works not available</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C51A49"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Pr>
                <w:rFonts w:eastAsiaTheme="minorHAnsi" w:cs="Arial"/>
                <w:color w:val="000000"/>
                <w:sz w:val="16"/>
                <w:szCs w:val="16"/>
                <w:lang w:val="en-US" w:eastAsia="en-US"/>
              </w:rPr>
              <w:t>4</w:t>
            </w:r>
            <w:r w:rsidR="00105E95" w:rsidRPr="005F5B0C">
              <w:rPr>
                <w:rFonts w:eastAsiaTheme="minorHAnsi" w:cs="Arial"/>
                <w:color w:val="000000"/>
                <w:sz w:val="16"/>
                <w:szCs w:val="16"/>
                <w:lang w:val="en-US" w:eastAsia="en-US"/>
              </w:rPr>
              <w:t>%</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3%</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7.</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Severe Droughts</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Ability to meet a 1 in 200 drought</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8.</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C-Mex</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ranking</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9.</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D-Mex</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ranking</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2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593"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10.</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Voids</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 of properties &gt; than council</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2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&lt; 0.25%</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&lt; 0.25%</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11.</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Affordability</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Customers on social tariff</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6,000</w:t>
            </w:r>
          </w:p>
        </w:tc>
        <w:tc>
          <w:tcPr>
            <w:tcW w:w="12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8,000</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10,000</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12.</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Vulnerability</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Satisfaction survey</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2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85%</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90%</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13.</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Catchment Management</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Contact with non-priority farmers</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2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66%</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100%</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14.</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AIM</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Maintain rivers above Q95</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2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Hamble</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Hamble</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15.</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Resilience Schemes</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Investment to reduce risk of non-delivery</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2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4 capital schemes</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16.</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Biodiversity</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Maintain sites and grant scheme</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n/a</w:t>
            </w:r>
          </w:p>
        </w:tc>
        <w:tc>
          <w:tcPr>
            <w:tcW w:w="12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17.</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Low Pressure</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Reduce DG2 register to 18 by 2024/25</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70</w:t>
            </w:r>
          </w:p>
        </w:tc>
        <w:tc>
          <w:tcPr>
            <w:tcW w:w="12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18</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18</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18.</w:t>
            </w:r>
          </w:p>
        </w:tc>
        <w:tc>
          <w:tcPr>
            <w:tcW w:w="1984"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Contacts (black / brown / orange)</w:t>
            </w:r>
          </w:p>
        </w:tc>
        <w:tc>
          <w:tcPr>
            <w:tcW w:w="74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Customer contacts re water quality</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2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19.</w:t>
            </w:r>
          </w:p>
        </w:tc>
        <w:tc>
          <w:tcPr>
            <w:tcW w:w="1984"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19. Temporary Usage Ban</w:t>
            </w:r>
          </w:p>
        </w:tc>
        <w:tc>
          <w:tcPr>
            <w:tcW w:w="740"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TUBs in AMP7</w:t>
            </w:r>
          </w:p>
        </w:tc>
        <w:tc>
          <w:tcPr>
            <w:tcW w:w="127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None</w:t>
            </w:r>
          </w:p>
        </w:tc>
        <w:tc>
          <w:tcPr>
            <w:tcW w:w="1242"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None</w:t>
            </w:r>
          </w:p>
        </w:tc>
        <w:tc>
          <w:tcPr>
            <w:tcW w:w="1593"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None</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20.</w:t>
            </w:r>
          </w:p>
        </w:tc>
        <w:tc>
          <w:tcPr>
            <w:tcW w:w="1984"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20. Carbon</w:t>
            </w:r>
          </w:p>
        </w:tc>
        <w:tc>
          <w:tcPr>
            <w:tcW w:w="740"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UQ  (Tonnes of CO2e / Ml/d)</w:t>
            </w:r>
          </w:p>
        </w:tc>
        <w:tc>
          <w:tcPr>
            <w:tcW w:w="127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242"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c>
          <w:tcPr>
            <w:tcW w:w="1593"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UQ</w:t>
            </w:r>
          </w:p>
        </w:tc>
      </w:tr>
      <w:tr w:rsidR="00105E95" w:rsidRPr="005F5B0C" w:rsidTr="00C95E00">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21.</w:t>
            </w:r>
          </w:p>
        </w:tc>
        <w:tc>
          <w:tcPr>
            <w:tcW w:w="1984"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21. Health &amp; Safety</w:t>
            </w:r>
          </w:p>
        </w:tc>
        <w:tc>
          <w:tcPr>
            <w:tcW w:w="740"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Target</w:t>
            </w:r>
          </w:p>
        </w:tc>
        <w:tc>
          <w:tcPr>
            <w:tcW w:w="138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rPr>
                <w:rFonts w:eastAsiaTheme="minorHAnsi" w:cs="Arial"/>
                <w:color w:val="000000"/>
                <w:sz w:val="16"/>
                <w:szCs w:val="16"/>
                <w:lang w:val="en-US" w:eastAsia="en-US"/>
              </w:rPr>
            </w:pPr>
            <w:r w:rsidRPr="005F5B0C">
              <w:rPr>
                <w:rFonts w:eastAsiaTheme="minorHAnsi" w:cs="Arial"/>
                <w:color w:val="000000"/>
                <w:sz w:val="16"/>
                <w:szCs w:val="16"/>
                <w:lang w:val="en-US" w:eastAsia="en-US"/>
              </w:rPr>
              <w:t>RoSPA awarded annually</w:t>
            </w:r>
          </w:p>
        </w:tc>
        <w:tc>
          <w:tcPr>
            <w:tcW w:w="127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242"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c>
          <w:tcPr>
            <w:tcW w:w="1593"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5F5B0C" w:rsidRDefault="00105E95" w:rsidP="00105E95">
            <w:pPr>
              <w:tabs>
                <w:tab w:val="clear" w:pos="851"/>
              </w:tabs>
              <w:autoSpaceDE w:val="0"/>
              <w:autoSpaceDN w:val="0"/>
              <w:adjustRightInd w:val="0"/>
              <w:spacing w:after="0"/>
              <w:ind w:left="0"/>
              <w:jc w:val="center"/>
              <w:rPr>
                <w:rFonts w:eastAsiaTheme="minorHAnsi" w:cs="Arial"/>
                <w:color w:val="000000"/>
                <w:sz w:val="16"/>
                <w:szCs w:val="16"/>
                <w:lang w:val="en-US" w:eastAsia="en-US"/>
              </w:rPr>
            </w:pPr>
            <w:r w:rsidRPr="005F5B0C">
              <w:rPr>
                <w:rFonts w:eastAsiaTheme="minorHAnsi" w:cs="Arial"/>
                <w:color w:val="000000"/>
                <w:sz w:val="16"/>
                <w:szCs w:val="16"/>
                <w:lang w:val="en-US" w:eastAsia="en-US"/>
              </w:rPr>
              <w:t>Achieve</w:t>
            </w:r>
          </w:p>
        </w:tc>
      </w:tr>
    </w:tbl>
    <w:p w:rsidR="00105E95" w:rsidRDefault="00105E95" w:rsidP="007C079B">
      <w:pPr>
        <w:spacing w:after="0"/>
      </w:pPr>
    </w:p>
    <w:p w:rsidR="00C533D4" w:rsidRDefault="00C533D4" w:rsidP="00E80D1A">
      <w:r>
        <w:t>Our leakage will be reported annual, and also on a 3 year rolling average basis.  This latter measure will be the basis of our ODI.</w:t>
      </w:r>
    </w:p>
    <w:p w:rsidR="00C533D4" w:rsidRPr="00C533D4" w:rsidRDefault="00C533D4" w:rsidP="00E80D1A">
      <w:r>
        <w:t>Further, our leakage commitment is at the Company level.  We consider we have one water resource zone for planning purposes, as we can move water easily around our area.</w:t>
      </w:r>
    </w:p>
    <w:p w:rsidR="004132EC" w:rsidRPr="00E80D1A" w:rsidRDefault="004132EC" w:rsidP="00E80D1A">
      <w:pPr>
        <w:rPr>
          <w:b/>
        </w:rPr>
      </w:pPr>
      <w:r w:rsidRPr="00E80D1A">
        <w:rPr>
          <w:b/>
        </w:rPr>
        <w:t>Discussion on each Performance Commitment</w:t>
      </w:r>
    </w:p>
    <w:p w:rsidR="004132EC" w:rsidRPr="0038774E" w:rsidRDefault="004132EC" w:rsidP="00E80D1A">
      <w:pPr>
        <w:rPr>
          <w:rFonts w:cs="Arial"/>
        </w:rPr>
      </w:pPr>
      <w:r>
        <w:rPr>
          <w:rFonts w:cs="Arial"/>
          <w:color w:val="000000" w:themeColor="text1"/>
        </w:rPr>
        <w:t xml:space="preserve">A </w:t>
      </w:r>
      <w:r w:rsidR="008956D2">
        <w:rPr>
          <w:rFonts w:cs="Arial"/>
          <w:color w:val="000000" w:themeColor="text1"/>
        </w:rPr>
        <w:t xml:space="preserve">more </w:t>
      </w:r>
      <w:r>
        <w:rPr>
          <w:rFonts w:cs="Arial"/>
          <w:color w:val="000000" w:themeColor="text1"/>
        </w:rPr>
        <w:t xml:space="preserve">detailed discussion on how each </w:t>
      </w:r>
      <w:r w:rsidR="008956D2">
        <w:rPr>
          <w:rFonts w:cs="Arial"/>
          <w:color w:val="000000" w:themeColor="text1"/>
        </w:rPr>
        <w:t>P</w:t>
      </w:r>
      <w:r>
        <w:rPr>
          <w:rFonts w:cs="Arial"/>
          <w:color w:val="000000" w:themeColor="text1"/>
        </w:rPr>
        <w:t xml:space="preserve">erformance </w:t>
      </w:r>
      <w:r w:rsidR="008956D2">
        <w:rPr>
          <w:rFonts w:cs="Arial"/>
          <w:color w:val="000000" w:themeColor="text1"/>
        </w:rPr>
        <w:t>C</w:t>
      </w:r>
      <w:r>
        <w:rPr>
          <w:rFonts w:cs="Arial"/>
          <w:color w:val="000000" w:themeColor="text1"/>
        </w:rPr>
        <w:t xml:space="preserve">ommitment was established is given in Appendix </w:t>
      </w:r>
      <w:r w:rsidR="00011B79">
        <w:rPr>
          <w:rFonts w:cs="Arial"/>
          <w:color w:val="000000" w:themeColor="text1"/>
        </w:rPr>
        <w:t>3.9</w:t>
      </w:r>
      <w:r w:rsidRPr="00011B79">
        <w:rPr>
          <w:rFonts w:cs="Arial"/>
          <w:color w:val="000000" w:themeColor="text1"/>
        </w:rPr>
        <w:t>.</w:t>
      </w:r>
    </w:p>
    <w:p w:rsidR="004132EC" w:rsidRPr="00E80D1A" w:rsidRDefault="004132EC" w:rsidP="00E80D1A">
      <w:pPr>
        <w:rPr>
          <w:b/>
        </w:rPr>
      </w:pPr>
      <w:r w:rsidRPr="00E80D1A">
        <w:rPr>
          <w:b/>
        </w:rPr>
        <w:t>Data quality</w:t>
      </w:r>
    </w:p>
    <w:p w:rsidR="004132EC" w:rsidRDefault="004132EC" w:rsidP="00E80D1A">
      <w:pPr>
        <w:rPr>
          <w:rFonts w:cs="Arial"/>
        </w:rPr>
      </w:pPr>
      <w:r>
        <w:rPr>
          <w:rFonts w:cs="Arial"/>
        </w:rPr>
        <w:t xml:space="preserve">As part of the challenge process, our CCG asked the Company to classify the confidence around the data underpinning each service level target.  </w:t>
      </w:r>
      <w:r w:rsidR="00DA0421">
        <w:rPr>
          <w:rFonts w:cs="Arial"/>
        </w:rPr>
        <w:t>Consequently,</w:t>
      </w:r>
      <w:r>
        <w:rPr>
          <w:rFonts w:cs="Arial"/>
        </w:rPr>
        <w:t xml:space="preserve"> we have placed the following ODIs in the medium risk category, given the development of new reporting methodologies, which are significantly different to those of the past.  All other ODIs are classified as low risk in terms of data quality.</w:t>
      </w:r>
    </w:p>
    <w:p w:rsidR="004132EC" w:rsidRPr="008956D2" w:rsidRDefault="008956D2" w:rsidP="00E80D1A">
      <w:pPr>
        <w:rPr>
          <w:rFonts w:cs="Arial"/>
        </w:rPr>
      </w:pPr>
      <w:r w:rsidRPr="008956D2">
        <w:rPr>
          <w:rFonts w:cs="Arial"/>
        </w:rPr>
        <w:t xml:space="preserve">‘Medium Risk’ </w:t>
      </w:r>
      <w:r w:rsidR="004132EC" w:rsidRPr="008956D2">
        <w:rPr>
          <w:rFonts w:cs="Arial"/>
        </w:rPr>
        <w:t>Data quality classification</w:t>
      </w:r>
      <w:r>
        <w:rPr>
          <w:rFonts w:cs="Arial"/>
        </w:rPr>
        <w:t>.</w:t>
      </w:r>
    </w:p>
    <w:tbl>
      <w:tblPr>
        <w:tblStyle w:val="TableGrid64"/>
        <w:tblW w:w="8787" w:type="dxa"/>
        <w:tblInd w:w="846" w:type="dxa"/>
        <w:tblLook w:val="04A0" w:firstRow="1" w:lastRow="0" w:firstColumn="1" w:lastColumn="0" w:noHBand="0" w:noVBand="1"/>
      </w:tblPr>
      <w:tblGrid>
        <w:gridCol w:w="567"/>
        <w:gridCol w:w="992"/>
        <w:gridCol w:w="3697"/>
        <w:gridCol w:w="3531"/>
      </w:tblGrid>
      <w:tr w:rsidR="005F5B0C" w:rsidRPr="005F5B0C" w:rsidTr="005F5B0C">
        <w:tc>
          <w:tcPr>
            <w:tcW w:w="567" w:type="dxa"/>
            <w:shd w:val="clear" w:color="auto" w:fill="2E74B5" w:themeFill="accent1" w:themeFillShade="BF"/>
          </w:tcPr>
          <w:p w:rsidR="00105E95" w:rsidRPr="005F5B0C" w:rsidRDefault="00105E95" w:rsidP="00105E95">
            <w:pPr>
              <w:tabs>
                <w:tab w:val="clear" w:pos="851"/>
              </w:tabs>
              <w:spacing w:after="0"/>
              <w:ind w:left="0"/>
              <w:rPr>
                <w:rFonts w:cs="Arial"/>
                <w:b/>
                <w:color w:val="FFFFFF" w:themeColor="background1"/>
                <w:sz w:val="16"/>
                <w:szCs w:val="16"/>
              </w:rPr>
            </w:pPr>
            <w:r w:rsidRPr="005F5B0C">
              <w:rPr>
                <w:rFonts w:cs="Arial"/>
                <w:b/>
                <w:color w:val="FFFFFF" w:themeColor="background1"/>
                <w:sz w:val="16"/>
                <w:szCs w:val="16"/>
              </w:rPr>
              <w:t>No.</w:t>
            </w:r>
          </w:p>
        </w:tc>
        <w:tc>
          <w:tcPr>
            <w:tcW w:w="992" w:type="dxa"/>
            <w:shd w:val="clear" w:color="auto" w:fill="2E74B5" w:themeFill="accent1" w:themeFillShade="BF"/>
          </w:tcPr>
          <w:p w:rsidR="00105E95" w:rsidRPr="005F5B0C" w:rsidRDefault="00105E95" w:rsidP="00105E95">
            <w:pPr>
              <w:tabs>
                <w:tab w:val="clear" w:pos="851"/>
              </w:tabs>
              <w:spacing w:after="0"/>
              <w:ind w:left="0"/>
              <w:rPr>
                <w:rFonts w:cs="Arial"/>
                <w:b/>
                <w:color w:val="FFFFFF" w:themeColor="background1"/>
                <w:sz w:val="16"/>
                <w:szCs w:val="16"/>
              </w:rPr>
            </w:pPr>
            <w:r w:rsidRPr="005F5B0C">
              <w:rPr>
                <w:rFonts w:cs="Arial"/>
                <w:b/>
                <w:color w:val="FFFFFF" w:themeColor="background1"/>
                <w:sz w:val="16"/>
                <w:szCs w:val="16"/>
              </w:rPr>
              <w:t>PC</w:t>
            </w:r>
          </w:p>
        </w:tc>
        <w:tc>
          <w:tcPr>
            <w:tcW w:w="3697" w:type="dxa"/>
            <w:shd w:val="clear" w:color="auto" w:fill="2E74B5" w:themeFill="accent1" w:themeFillShade="BF"/>
          </w:tcPr>
          <w:p w:rsidR="00105E95" w:rsidRPr="005F5B0C" w:rsidRDefault="00105E95" w:rsidP="00105E95">
            <w:pPr>
              <w:tabs>
                <w:tab w:val="clear" w:pos="851"/>
              </w:tabs>
              <w:spacing w:after="0"/>
              <w:ind w:left="0"/>
              <w:rPr>
                <w:rFonts w:cs="Arial"/>
                <w:b/>
                <w:bCs/>
                <w:color w:val="FFFFFF" w:themeColor="background1"/>
                <w:sz w:val="16"/>
                <w:szCs w:val="16"/>
              </w:rPr>
            </w:pPr>
            <w:r w:rsidRPr="005F5B0C">
              <w:rPr>
                <w:rFonts w:cs="Arial"/>
                <w:b/>
                <w:bCs/>
                <w:color w:val="FFFFFF" w:themeColor="background1"/>
                <w:sz w:val="16"/>
                <w:szCs w:val="16"/>
              </w:rPr>
              <w:t>Reason</w:t>
            </w:r>
          </w:p>
        </w:tc>
        <w:tc>
          <w:tcPr>
            <w:tcW w:w="3531" w:type="dxa"/>
            <w:shd w:val="clear" w:color="auto" w:fill="2E74B5" w:themeFill="accent1" w:themeFillShade="BF"/>
          </w:tcPr>
          <w:p w:rsidR="00105E95" w:rsidRPr="005F5B0C" w:rsidRDefault="00105E95" w:rsidP="00105E95">
            <w:pPr>
              <w:tabs>
                <w:tab w:val="clear" w:pos="851"/>
              </w:tabs>
              <w:spacing w:after="0"/>
              <w:ind w:left="0"/>
              <w:rPr>
                <w:rFonts w:cs="Arial"/>
                <w:b/>
                <w:bCs/>
                <w:color w:val="FFFFFF" w:themeColor="background1"/>
                <w:sz w:val="16"/>
                <w:szCs w:val="16"/>
              </w:rPr>
            </w:pPr>
            <w:r w:rsidRPr="005F5B0C">
              <w:rPr>
                <w:rFonts w:cs="Arial"/>
                <w:b/>
                <w:bCs/>
                <w:color w:val="FFFFFF" w:themeColor="background1"/>
                <w:sz w:val="16"/>
                <w:szCs w:val="16"/>
              </w:rPr>
              <w:t>Comment</w:t>
            </w:r>
          </w:p>
          <w:p w:rsidR="00105E95" w:rsidRPr="005F5B0C" w:rsidRDefault="00105E95" w:rsidP="00105E95">
            <w:pPr>
              <w:tabs>
                <w:tab w:val="clear" w:pos="851"/>
              </w:tabs>
              <w:spacing w:after="0"/>
              <w:ind w:left="0"/>
              <w:rPr>
                <w:rFonts w:cs="Arial"/>
                <w:b/>
                <w:bCs/>
                <w:color w:val="FFFFFF" w:themeColor="background1"/>
                <w:sz w:val="16"/>
                <w:szCs w:val="16"/>
              </w:rPr>
            </w:pPr>
          </w:p>
        </w:tc>
      </w:tr>
      <w:tr w:rsidR="00105E95" w:rsidRPr="00105E95" w:rsidTr="005F5B0C">
        <w:tc>
          <w:tcPr>
            <w:tcW w:w="567"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1</w:t>
            </w:r>
          </w:p>
        </w:tc>
        <w:tc>
          <w:tcPr>
            <w:tcW w:w="992" w:type="dxa"/>
          </w:tcPr>
          <w:p w:rsidR="00105E95" w:rsidRPr="00105E95" w:rsidRDefault="009258ED" w:rsidP="00105E95">
            <w:pPr>
              <w:tabs>
                <w:tab w:val="clear" w:pos="851"/>
              </w:tabs>
              <w:spacing w:after="0"/>
              <w:ind w:left="0"/>
              <w:rPr>
                <w:rFonts w:cs="Arial"/>
                <w:sz w:val="16"/>
                <w:szCs w:val="16"/>
              </w:rPr>
            </w:pPr>
            <w:r>
              <w:rPr>
                <w:rFonts w:cs="Arial"/>
                <w:sz w:val="16"/>
                <w:szCs w:val="16"/>
              </w:rPr>
              <w:t>PCC</w:t>
            </w:r>
          </w:p>
        </w:tc>
        <w:tc>
          <w:tcPr>
            <w:tcW w:w="3697" w:type="dxa"/>
          </w:tcPr>
          <w:p w:rsidR="00105E95" w:rsidRPr="00105E95" w:rsidRDefault="00105E95" w:rsidP="00105E95">
            <w:pPr>
              <w:tabs>
                <w:tab w:val="clear" w:pos="851"/>
              </w:tabs>
              <w:spacing w:after="0"/>
              <w:ind w:left="0"/>
              <w:rPr>
                <w:rFonts w:cs="Arial"/>
                <w:color w:val="000000"/>
                <w:sz w:val="16"/>
                <w:szCs w:val="16"/>
              </w:rPr>
            </w:pPr>
            <w:r w:rsidRPr="00105E95">
              <w:rPr>
                <w:rFonts w:cs="Arial"/>
                <w:bCs/>
                <w:color w:val="000000"/>
                <w:sz w:val="16"/>
                <w:szCs w:val="16"/>
              </w:rPr>
              <w:t>New Ofwat methodology</w:t>
            </w:r>
          </w:p>
        </w:tc>
        <w:tc>
          <w:tcPr>
            <w:tcW w:w="3531" w:type="dxa"/>
          </w:tcPr>
          <w:p w:rsidR="00105E95" w:rsidRPr="00105E95" w:rsidRDefault="00105E95" w:rsidP="00105E95">
            <w:pPr>
              <w:tabs>
                <w:tab w:val="clear" w:pos="851"/>
              </w:tabs>
              <w:spacing w:after="0"/>
              <w:ind w:left="0"/>
              <w:rPr>
                <w:rFonts w:cs="Arial"/>
                <w:color w:val="000000"/>
                <w:sz w:val="16"/>
                <w:szCs w:val="16"/>
              </w:rPr>
            </w:pPr>
            <w:r w:rsidRPr="00105E95">
              <w:rPr>
                <w:rFonts w:cs="Arial"/>
                <w:color w:val="000000"/>
                <w:sz w:val="16"/>
                <w:szCs w:val="16"/>
              </w:rPr>
              <w:t>Uncertainty on reporting, given the need to develop Small Area Meters (SAMs)</w:t>
            </w:r>
          </w:p>
        </w:tc>
      </w:tr>
      <w:tr w:rsidR="00105E95" w:rsidRPr="00105E95" w:rsidTr="005F5B0C">
        <w:tc>
          <w:tcPr>
            <w:tcW w:w="567"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2</w:t>
            </w:r>
          </w:p>
        </w:tc>
        <w:tc>
          <w:tcPr>
            <w:tcW w:w="992"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Leakage</w:t>
            </w:r>
          </w:p>
        </w:tc>
        <w:tc>
          <w:tcPr>
            <w:tcW w:w="3697" w:type="dxa"/>
          </w:tcPr>
          <w:p w:rsidR="00105E95" w:rsidRPr="00105E95" w:rsidRDefault="00105E95" w:rsidP="00105E95">
            <w:pPr>
              <w:tabs>
                <w:tab w:val="clear" w:pos="851"/>
              </w:tabs>
              <w:spacing w:after="0"/>
              <w:ind w:left="0"/>
              <w:rPr>
                <w:rFonts w:cs="Arial"/>
                <w:color w:val="000000"/>
                <w:sz w:val="16"/>
                <w:szCs w:val="16"/>
              </w:rPr>
            </w:pPr>
            <w:r w:rsidRPr="00105E95">
              <w:rPr>
                <w:rFonts w:cs="Arial"/>
                <w:bCs/>
                <w:color w:val="000000"/>
                <w:sz w:val="16"/>
                <w:szCs w:val="16"/>
              </w:rPr>
              <w:t>New Ofwat methodology</w:t>
            </w:r>
          </w:p>
        </w:tc>
        <w:tc>
          <w:tcPr>
            <w:tcW w:w="3531" w:type="dxa"/>
          </w:tcPr>
          <w:p w:rsidR="00105E95" w:rsidRPr="00105E95" w:rsidRDefault="00105E95" w:rsidP="00105E95">
            <w:pPr>
              <w:tabs>
                <w:tab w:val="clear" w:pos="851"/>
              </w:tabs>
              <w:spacing w:after="0"/>
              <w:ind w:left="0"/>
              <w:rPr>
                <w:rFonts w:cs="Arial"/>
                <w:color w:val="000000"/>
                <w:sz w:val="16"/>
                <w:szCs w:val="16"/>
              </w:rPr>
            </w:pPr>
            <w:r w:rsidRPr="00105E95">
              <w:rPr>
                <w:rFonts w:cs="Arial"/>
                <w:color w:val="000000"/>
                <w:sz w:val="16"/>
                <w:szCs w:val="16"/>
              </w:rPr>
              <w:t>Significant work has been undertaken on meeting the new requirements there is still uncertainty in reporting.</w:t>
            </w:r>
          </w:p>
        </w:tc>
      </w:tr>
      <w:tr w:rsidR="00105E95" w:rsidRPr="00105E95" w:rsidTr="005F5B0C">
        <w:tc>
          <w:tcPr>
            <w:tcW w:w="567"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3</w:t>
            </w:r>
          </w:p>
        </w:tc>
        <w:tc>
          <w:tcPr>
            <w:tcW w:w="992"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CRI</w:t>
            </w:r>
          </w:p>
        </w:tc>
        <w:tc>
          <w:tcPr>
            <w:tcW w:w="3697" w:type="dxa"/>
          </w:tcPr>
          <w:p w:rsidR="00105E95" w:rsidRPr="00105E95" w:rsidRDefault="00105E95" w:rsidP="00105E95">
            <w:pPr>
              <w:tabs>
                <w:tab w:val="clear" w:pos="851"/>
              </w:tabs>
              <w:spacing w:after="0"/>
              <w:ind w:left="0"/>
              <w:rPr>
                <w:rFonts w:cs="Arial"/>
                <w:color w:val="000000"/>
                <w:sz w:val="16"/>
                <w:szCs w:val="16"/>
              </w:rPr>
            </w:pPr>
            <w:r w:rsidRPr="00105E95">
              <w:rPr>
                <w:rFonts w:cs="Arial"/>
                <w:bCs/>
                <w:color w:val="000000"/>
                <w:sz w:val="16"/>
                <w:szCs w:val="16"/>
              </w:rPr>
              <w:t>New DWI metric</w:t>
            </w:r>
            <w:r w:rsidRPr="00105E95">
              <w:rPr>
                <w:rFonts w:cs="Arial"/>
                <w:color w:val="000000"/>
                <w:sz w:val="16"/>
                <w:szCs w:val="16"/>
              </w:rPr>
              <w:t xml:space="preserve"> </w:t>
            </w:r>
          </w:p>
        </w:tc>
        <w:tc>
          <w:tcPr>
            <w:tcW w:w="3531" w:type="dxa"/>
          </w:tcPr>
          <w:p w:rsidR="00105E95" w:rsidRPr="00105E95" w:rsidRDefault="00105E95" w:rsidP="00105E95">
            <w:pPr>
              <w:tabs>
                <w:tab w:val="clear" w:pos="851"/>
              </w:tabs>
              <w:spacing w:after="0"/>
              <w:ind w:left="0"/>
              <w:rPr>
                <w:rFonts w:cs="Arial"/>
                <w:color w:val="000000"/>
                <w:sz w:val="16"/>
                <w:szCs w:val="16"/>
              </w:rPr>
            </w:pPr>
            <w:r w:rsidRPr="00105E95">
              <w:rPr>
                <w:rFonts w:cs="Arial"/>
                <w:color w:val="000000"/>
                <w:sz w:val="16"/>
                <w:szCs w:val="16"/>
              </w:rPr>
              <w:t>Clarity on calculation but limited data to determine target</w:t>
            </w:r>
          </w:p>
        </w:tc>
      </w:tr>
      <w:tr w:rsidR="00105E95" w:rsidRPr="00105E95" w:rsidTr="005F5B0C">
        <w:tc>
          <w:tcPr>
            <w:tcW w:w="567"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6</w:t>
            </w:r>
          </w:p>
        </w:tc>
        <w:tc>
          <w:tcPr>
            <w:tcW w:w="992"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Unplanned outage</w:t>
            </w:r>
          </w:p>
        </w:tc>
        <w:tc>
          <w:tcPr>
            <w:tcW w:w="3697" w:type="dxa"/>
          </w:tcPr>
          <w:p w:rsidR="00105E95" w:rsidRPr="00105E95" w:rsidRDefault="00105E95" w:rsidP="00105E95">
            <w:pPr>
              <w:tabs>
                <w:tab w:val="clear" w:pos="851"/>
              </w:tabs>
              <w:spacing w:after="0"/>
              <w:ind w:left="0"/>
              <w:rPr>
                <w:rFonts w:cs="Arial"/>
                <w:bCs/>
                <w:color w:val="000000"/>
                <w:sz w:val="16"/>
                <w:szCs w:val="16"/>
              </w:rPr>
            </w:pPr>
            <w:r w:rsidRPr="00105E95">
              <w:rPr>
                <w:rFonts w:cs="Arial"/>
                <w:bCs/>
                <w:color w:val="000000"/>
                <w:sz w:val="16"/>
                <w:szCs w:val="16"/>
              </w:rPr>
              <w:t>New Ofwat measure (different to that used in water resource planning)</w:t>
            </w:r>
          </w:p>
        </w:tc>
        <w:tc>
          <w:tcPr>
            <w:tcW w:w="3531" w:type="dxa"/>
          </w:tcPr>
          <w:p w:rsidR="00105E95" w:rsidRPr="00105E95" w:rsidRDefault="00105E95" w:rsidP="00105E95">
            <w:pPr>
              <w:tabs>
                <w:tab w:val="clear" w:pos="851"/>
              </w:tabs>
              <w:spacing w:after="0"/>
              <w:ind w:left="0"/>
              <w:rPr>
                <w:rFonts w:cs="Arial"/>
                <w:color w:val="000000"/>
                <w:sz w:val="16"/>
                <w:szCs w:val="16"/>
              </w:rPr>
            </w:pPr>
            <w:r w:rsidRPr="00105E95">
              <w:rPr>
                <w:rFonts w:cs="Arial"/>
                <w:color w:val="000000"/>
                <w:sz w:val="16"/>
                <w:szCs w:val="16"/>
              </w:rPr>
              <w:t xml:space="preserve">Clarity on calculation but limited data to determine target </w:t>
            </w:r>
          </w:p>
        </w:tc>
      </w:tr>
      <w:tr w:rsidR="00105E95" w:rsidRPr="00105E95" w:rsidTr="005F5B0C">
        <w:tc>
          <w:tcPr>
            <w:tcW w:w="567"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8</w:t>
            </w:r>
          </w:p>
        </w:tc>
        <w:tc>
          <w:tcPr>
            <w:tcW w:w="992"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C-Mex</w:t>
            </w:r>
          </w:p>
        </w:tc>
        <w:tc>
          <w:tcPr>
            <w:tcW w:w="3697" w:type="dxa"/>
          </w:tcPr>
          <w:p w:rsidR="00105E95" w:rsidRPr="00105E95" w:rsidRDefault="00105E95" w:rsidP="00105E95">
            <w:pPr>
              <w:tabs>
                <w:tab w:val="clear" w:pos="851"/>
              </w:tabs>
              <w:spacing w:after="0"/>
              <w:ind w:left="0"/>
              <w:rPr>
                <w:rFonts w:cs="Arial"/>
                <w:color w:val="000000"/>
                <w:sz w:val="16"/>
                <w:szCs w:val="16"/>
              </w:rPr>
            </w:pPr>
            <w:r w:rsidRPr="00105E95">
              <w:rPr>
                <w:rFonts w:cs="Arial"/>
                <w:bCs/>
                <w:color w:val="000000"/>
                <w:sz w:val="16"/>
                <w:szCs w:val="16"/>
              </w:rPr>
              <w:t>New Ofwat methodology</w:t>
            </w:r>
            <w:r w:rsidRPr="00105E95">
              <w:rPr>
                <w:rFonts w:cs="Arial"/>
                <w:color w:val="000000"/>
                <w:sz w:val="16"/>
                <w:szCs w:val="16"/>
              </w:rPr>
              <w:t xml:space="preserve"> </w:t>
            </w:r>
          </w:p>
          <w:p w:rsidR="00105E95" w:rsidRPr="00105E95" w:rsidRDefault="00105E95" w:rsidP="00105E95">
            <w:pPr>
              <w:tabs>
                <w:tab w:val="clear" w:pos="851"/>
              </w:tabs>
              <w:spacing w:after="0"/>
              <w:ind w:left="0"/>
              <w:rPr>
                <w:rFonts w:cs="Arial"/>
                <w:color w:val="000000"/>
                <w:sz w:val="16"/>
                <w:szCs w:val="16"/>
              </w:rPr>
            </w:pPr>
          </w:p>
        </w:tc>
        <w:tc>
          <w:tcPr>
            <w:tcW w:w="3531" w:type="dxa"/>
          </w:tcPr>
          <w:p w:rsidR="00105E95" w:rsidRPr="00105E95" w:rsidRDefault="00105E95" w:rsidP="00105E95">
            <w:pPr>
              <w:tabs>
                <w:tab w:val="clear" w:pos="851"/>
              </w:tabs>
              <w:spacing w:after="0"/>
              <w:ind w:left="0"/>
              <w:rPr>
                <w:rFonts w:cs="Arial"/>
                <w:color w:val="000000"/>
                <w:sz w:val="16"/>
                <w:szCs w:val="16"/>
              </w:rPr>
            </w:pPr>
            <w:r w:rsidRPr="00105E95">
              <w:rPr>
                <w:rFonts w:cs="Arial"/>
                <w:color w:val="000000"/>
                <w:sz w:val="16"/>
                <w:szCs w:val="16"/>
              </w:rPr>
              <w:t>No comparable data to help set target</w:t>
            </w:r>
          </w:p>
        </w:tc>
      </w:tr>
      <w:tr w:rsidR="00105E95" w:rsidRPr="00105E95" w:rsidTr="005F5B0C">
        <w:tc>
          <w:tcPr>
            <w:tcW w:w="567"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9</w:t>
            </w:r>
          </w:p>
        </w:tc>
        <w:tc>
          <w:tcPr>
            <w:tcW w:w="992"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D-Mex</w:t>
            </w:r>
          </w:p>
        </w:tc>
        <w:tc>
          <w:tcPr>
            <w:tcW w:w="3697" w:type="dxa"/>
          </w:tcPr>
          <w:p w:rsidR="00105E95" w:rsidRPr="00105E95" w:rsidRDefault="00105E95" w:rsidP="00105E95">
            <w:pPr>
              <w:tabs>
                <w:tab w:val="clear" w:pos="851"/>
              </w:tabs>
              <w:spacing w:after="0"/>
              <w:ind w:left="0"/>
              <w:rPr>
                <w:rFonts w:cs="Arial"/>
                <w:bCs/>
                <w:color w:val="000000"/>
                <w:sz w:val="16"/>
                <w:szCs w:val="16"/>
              </w:rPr>
            </w:pPr>
            <w:r w:rsidRPr="00105E95">
              <w:rPr>
                <w:rFonts w:cs="Arial"/>
                <w:bCs/>
                <w:color w:val="000000"/>
                <w:sz w:val="16"/>
                <w:szCs w:val="16"/>
              </w:rPr>
              <w:t>New Ofwat methodology</w:t>
            </w:r>
          </w:p>
          <w:p w:rsidR="00105E95" w:rsidRPr="00105E95" w:rsidRDefault="00105E95" w:rsidP="00105E95">
            <w:pPr>
              <w:tabs>
                <w:tab w:val="clear" w:pos="851"/>
              </w:tabs>
              <w:spacing w:after="0"/>
              <w:ind w:left="0"/>
              <w:rPr>
                <w:rFonts w:cs="Arial"/>
                <w:color w:val="000000"/>
                <w:sz w:val="16"/>
                <w:szCs w:val="16"/>
              </w:rPr>
            </w:pPr>
          </w:p>
        </w:tc>
        <w:tc>
          <w:tcPr>
            <w:tcW w:w="3531" w:type="dxa"/>
          </w:tcPr>
          <w:p w:rsidR="00105E95" w:rsidRPr="00105E95" w:rsidRDefault="00105E95" w:rsidP="00105E95">
            <w:pPr>
              <w:tabs>
                <w:tab w:val="clear" w:pos="851"/>
              </w:tabs>
              <w:spacing w:after="0"/>
              <w:ind w:left="0"/>
              <w:rPr>
                <w:rFonts w:cs="Arial"/>
                <w:color w:val="000000"/>
                <w:sz w:val="16"/>
                <w:szCs w:val="16"/>
              </w:rPr>
            </w:pPr>
            <w:r w:rsidRPr="00105E95">
              <w:rPr>
                <w:rFonts w:cs="Arial"/>
                <w:color w:val="000000"/>
                <w:sz w:val="16"/>
                <w:szCs w:val="16"/>
              </w:rPr>
              <w:t>No comparable data to help set target</w:t>
            </w:r>
          </w:p>
        </w:tc>
      </w:tr>
      <w:tr w:rsidR="00105E95" w:rsidRPr="00105E95" w:rsidTr="005F5B0C">
        <w:tc>
          <w:tcPr>
            <w:tcW w:w="567"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10</w:t>
            </w:r>
          </w:p>
        </w:tc>
        <w:tc>
          <w:tcPr>
            <w:tcW w:w="992" w:type="dxa"/>
          </w:tcPr>
          <w:p w:rsidR="00105E95" w:rsidRPr="00105E95" w:rsidRDefault="00105E95" w:rsidP="00105E95">
            <w:pPr>
              <w:tabs>
                <w:tab w:val="clear" w:pos="851"/>
              </w:tabs>
              <w:spacing w:after="0"/>
              <w:ind w:left="0"/>
              <w:rPr>
                <w:rFonts w:cs="Arial"/>
                <w:sz w:val="16"/>
                <w:szCs w:val="16"/>
              </w:rPr>
            </w:pPr>
            <w:r w:rsidRPr="00105E95">
              <w:rPr>
                <w:rFonts w:cs="Arial"/>
                <w:sz w:val="16"/>
                <w:szCs w:val="16"/>
              </w:rPr>
              <w:t>Voids</w:t>
            </w:r>
          </w:p>
        </w:tc>
        <w:tc>
          <w:tcPr>
            <w:tcW w:w="3697" w:type="dxa"/>
          </w:tcPr>
          <w:p w:rsidR="00105E95" w:rsidRPr="00105E95" w:rsidRDefault="00105E95" w:rsidP="00105E95">
            <w:pPr>
              <w:tabs>
                <w:tab w:val="clear" w:pos="851"/>
              </w:tabs>
              <w:spacing w:after="0"/>
              <w:ind w:left="0"/>
              <w:rPr>
                <w:rFonts w:cs="Arial"/>
                <w:bCs/>
                <w:color w:val="000000"/>
                <w:sz w:val="16"/>
                <w:szCs w:val="16"/>
              </w:rPr>
            </w:pPr>
            <w:r w:rsidRPr="00105E95">
              <w:rPr>
                <w:rFonts w:cs="Arial"/>
                <w:bCs/>
                <w:color w:val="000000"/>
                <w:sz w:val="16"/>
                <w:szCs w:val="16"/>
              </w:rPr>
              <w:t xml:space="preserve">Company designed ODI </w:t>
            </w:r>
          </w:p>
        </w:tc>
        <w:tc>
          <w:tcPr>
            <w:tcW w:w="3531" w:type="dxa"/>
          </w:tcPr>
          <w:p w:rsidR="00105E95" w:rsidRPr="00105E95" w:rsidRDefault="00105E95" w:rsidP="00105E95">
            <w:pPr>
              <w:tabs>
                <w:tab w:val="clear" w:pos="851"/>
              </w:tabs>
              <w:spacing w:after="0"/>
              <w:ind w:left="0"/>
              <w:rPr>
                <w:rFonts w:cs="Arial"/>
                <w:bCs/>
                <w:color w:val="000000"/>
                <w:sz w:val="16"/>
                <w:szCs w:val="16"/>
              </w:rPr>
            </w:pPr>
            <w:r w:rsidRPr="00105E95">
              <w:rPr>
                <w:rFonts w:cs="Arial"/>
                <w:color w:val="000000"/>
                <w:sz w:val="16"/>
                <w:szCs w:val="16"/>
              </w:rPr>
              <w:t>Need to determine robust process to establish Council value of voids</w:t>
            </w:r>
          </w:p>
        </w:tc>
      </w:tr>
    </w:tbl>
    <w:p w:rsidR="005F5B0C" w:rsidRDefault="005F5B0C" w:rsidP="008956D2">
      <w:pPr>
        <w:spacing w:after="0"/>
      </w:pPr>
    </w:p>
    <w:p w:rsidR="004132EC" w:rsidRDefault="004132EC" w:rsidP="00E80D1A">
      <w:r>
        <w:t xml:space="preserve">We believe this classification should give Ofwat and stakeholders an understanding of the risks we perceive around the quality of our data when </w:t>
      </w:r>
      <w:r w:rsidR="00FA3F79">
        <w:t xml:space="preserve">establishing service level </w:t>
      </w:r>
      <w:r>
        <w:t>target</w:t>
      </w:r>
      <w:r w:rsidR="00CC31F6">
        <w:t>s</w:t>
      </w:r>
      <w:r>
        <w:t>.</w:t>
      </w:r>
    </w:p>
    <w:p w:rsidR="00C533D4" w:rsidRDefault="00407E05" w:rsidP="00E80D1A">
      <w:r>
        <w:t xml:space="preserve">Further, we commit to keeping the definitions of our </w:t>
      </w:r>
      <w:r w:rsidR="00964B14">
        <w:t>Performance Commitments</w:t>
      </w:r>
      <w:r>
        <w:t xml:space="preserve"> </w:t>
      </w:r>
      <w:r w:rsidR="00CA54C7">
        <w:t>unchanged during 2020-25 and to follow Ofwat procedures for any changes.</w:t>
      </w:r>
    </w:p>
    <w:p w:rsidR="00CA54C7" w:rsidRDefault="00CA54C7" w:rsidP="00E80D1A">
      <w:r>
        <w:t>Our ODI payments will relate only to real performance changes, not definitional, methodological or data changes in the Performance Commitment.</w:t>
      </w:r>
    </w:p>
    <w:p w:rsidR="004132EC" w:rsidRDefault="004132EC" w:rsidP="005F5B0C">
      <w:pPr>
        <w:pStyle w:val="Heading3"/>
      </w:pPr>
      <w:bookmarkStart w:id="28" w:name="_Toc523651241"/>
      <w:r>
        <w:t>Determining rewards &amp; penalties (Outcome Delivery Incentives)</w:t>
      </w:r>
      <w:bookmarkEnd w:id="28"/>
    </w:p>
    <w:p w:rsidR="004132EC" w:rsidRPr="007C079B" w:rsidRDefault="004132EC" w:rsidP="005F5B0C">
      <w:pPr>
        <w:rPr>
          <w:b/>
        </w:rPr>
      </w:pPr>
      <w:r w:rsidRPr="007C079B">
        <w:rPr>
          <w:b/>
        </w:rPr>
        <w:t>Step 3 - Rewards &amp; Penalties</w:t>
      </w:r>
    </w:p>
    <w:p w:rsidR="004132EC" w:rsidRPr="0038774E" w:rsidRDefault="004132EC" w:rsidP="007077FC">
      <w:r>
        <w:t>As discussed in detail in Step 2 w</w:t>
      </w:r>
      <w:r w:rsidRPr="0038774E">
        <w:t xml:space="preserve">e </w:t>
      </w:r>
      <w:r>
        <w:t>have proposed</w:t>
      </w:r>
      <w:r w:rsidRPr="0038774E">
        <w:t xml:space="preserve"> 21 Performance Commitments.  </w:t>
      </w:r>
      <w:r w:rsidR="00DA0421" w:rsidRPr="0038774E">
        <w:t>Strictly,</w:t>
      </w:r>
      <w:r w:rsidRPr="0038774E">
        <w:t xml:space="preserve"> C-Mex and D-Mex (the new customer service metrics) are not part of the ODI package, so the total ODIs is 19.</w:t>
      </w:r>
      <w:r>
        <w:t xml:space="preserve">  </w:t>
      </w:r>
      <w:r w:rsidRPr="0038774E">
        <w:t xml:space="preserve">We tested all </w:t>
      </w:r>
      <w:r>
        <w:t xml:space="preserve">PCs </w:t>
      </w:r>
      <w:r w:rsidRPr="0038774E">
        <w:t xml:space="preserve">we thought would be </w:t>
      </w:r>
      <w:r>
        <w:t xml:space="preserve">linked to financial </w:t>
      </w:r>
      <w:r w:rsidRPr="0038774E">
        <w:t>ODIs as part of the quantita</w:t>
      </w:r>
      <w:r>
        <w:t xml:space="preserve">tive research undertaken by ICS in February 2018 </w:t>
      </w:r>
      <w:r w:rsidRPr="00E93135">
        <w:t xml:space="preserve">(Appendix </w:t>
      </w:r>
      <w:r w:rsidR="00E93135" w:rsidRPr="00E93135">
        <w:t>2.17</w:t>
      </w:r>
      <w:r w:rsidRPr="00E93135">
        <w:t>)</w:t>
      </w:r>
      <w:r w:rsidR="00E93135">
        <w:t>.</w:t>
      </w:r>
    </w:p>
    <w:p w:rsidR="004132EC" w:rsidRDefault="004132EC" w:rsidP="007077FC">
      <w:r w:rsidRPr="0038774E">
        <w:t xml:space="preserve">To calculate </w:t>
      </w:r>
      <w:r>
        <w:t xml:space="preserve">the </w:t>
      </w:r>
      <w:r w:rsidRPr="0038774E">
        <w:t xml:space="preserve">rewards and penalties we have undertaken three steps as follows:- </w:t>
      </w:r>
    </w:p>
    <w:p w:rsidR="004132EC" w:rsidRPr="0038774E" w:rsidRDefault="004132EC" w:rsidP="007077FC">
      <w:r w:rsidRPr="0038774E">
        <w:rPr>
          <w:b/>
        </w:rPr>
        <w:t xml:space="preserve">Step </w:t>
      </w:r>
      <w:r>
        <w:rPr>
          <w:b/>
        </w:rPr>
        <w:t>A</w:t>
      </w:r>
      <w:r w:rsidRPr="0038774E">
        <w:rPr>
          <w:b/>
        </w:rPr>
        <w:t xml:space="preserve"> </w:t>
      </w:r>
      <w:r w:rsidRPr="0038774E">
        <w:t xml:space="preserve">– Customer research was used to value rewards and penalties resulting in various valuations across the different </w:t>
      </w:r>
      <w:r>
        <w:t>PCs</w:t>
      </w:r>
      <w:r w:rsidRPr="0038774E">
        <w:t>.  The findings</w:t>
      </w:r>
      <w:r>
        <w:t xml:space="preserve"> from customer engagement</w:t>
      </w:r>
      <w:r w:rsidRPr="0038774E">
        <w:t xml:space="preserve"> were as follows:-</w:t>
      </w:r>
    </w:p>
    <w:p w:rsidR="004132EC" w:rsidRPr="0038774E" w:rsidRDefault="004132EC" w:rsidP="007077FC">
      <w:pPr>
        <w:pStyle w:val="Bullets"/>
      </w:pPr>
      <w:r w:rsidRPr="0038774E">
        <w:t xml:space="preserve">In general terms, whilst our customers </w:t>
      </w:r>
      <w:r>
        <w:t xml:space="preserve">highly </w:t>
      </w:r>
      <w:r w:rsidRPr="0038774E">
        <w:t>value (and expect) a safe secure and reliable supply of drinking water, they do not want to pay extra for outperformance</w:t>
      </w:r>
      <w:r>
        <w:t xml:space="preserve"> as they see this is a primary deliverable for the business</w:t>
      </w:r>
      <w:r w:rsidRPr="0038774E">
        <w:t>.  This finding is consistent with previous attitudes to rewards we found at PR14 in particular.</w:t>
      </w:r>
      <w:r>
        <w:t xml:space="preserve">  They did support penalties for under performance.</w:t>
      </w:r>
    </w:p>
    <w:p w:rsidR="004132EC" w:rsidRPr="0038774E" w:rsidRDefault="004132EC" w:rsidP="007077FC">
      <w:pPr>
        <w:pStyle w:val="Bullets"/>
      </w:pPr>
      <w:r w:rsidRPr="0038774E">
        <w:t xml:space="preserve">With the exception of </w:t>
      </w:r>
      <w:r w:rsidRPr="003527CF">
        <w:t>mains repairs</w:t>
      </w:r>
      <w:r w:rsidRPr="0038774E">
        <w:t xml:space="preserve">, there was no support for rewards for </w:t>
      </w:r>
      <w:r>
        <w:t>PC</w:t>
      </w:r>
      <w:r w:rsidRPr="0038774E">
        <w:t xml:space="preserve">s relating to the provision of safe, secure, reliable water.  </w:t>
      </w:r>
      <w:r>
        <w:t>However, b</w:t>
      </w:r>
      <w:r w:rsidRPr="0038774E">
        <w:t xml:space="preserve">y far the largest penalty is for not achieving the commitment on the CRI.  There is potentially a reward for out-performance on </w:t>
      </w:r>
      <w:r w:rsidRPr="003527CF">
        <w:t>mains repairs</w:t>
      </w:r>
      <w:r w:rsidRPr="0038774E">
        <w:t>.</w:t>
      </w:r>
    </w:p>
    <w:p w:rsidR="004132EC" w:rsidRPr="0038774E" w:rsidRDefault="008D2111" w:rsidP="007077FC">
      <w:pPr>
        <w:pStyle w:val="Bullets"/>
      </w:pPr>
      <w:r>
        <w:t>S</w:t>
      </w:r>
      <w:r w:rsidR="004132EC" w:rsidRPr="0038774E">
        <w:t xml:space="preserve">ymmetric rewards and penalties are proposed for </w:t>
      </w:r>
      <w:r w:rsidR="00DA0421">
        <w:t>“an Improved Environment, S</w:t>
      </w:r>
      <w:r w:rsidR="004132EC" w:rsidRPr="0038774E">
        <w:t>upporting Biodiversity</w:t>
      </w:r>
      <w:r w:rsidR="00DA0421">
        <w:t>”</w:t>
      </w:r>
      <w:r w:rsidR="004132EC" w:rsidRPr="0038774E">
        <w:t xml:space="preserve"> and </w:t>
      </w:r>
      <w:r w:rsidR="00DA0421">
        <w:t>“</w:t>
      </w:r>
      <w:r w:rsidR="004132EC" w:rsidRPr="0038774E">
        <w:t>a Service Tailored to Individual Needs</w:t>
      </w:r>
      <w:r w:rsidR="00DA0421">
        <w:t>”</w:t>
      </w:r>
      <w:r w:rsidR="004132EC" w:rsidRPr="0038774E">
        <w:t xml:space="preserve">.  </w:t>
      </w:r>
      <w:r w:rsidR="00DA0421">
        <w:t>Customers highly valued</w:t>
      </w:r>
      <w:r w:rsidR="004132EC">
        <w:t xml:space="preserve"> incremental performance in this area as they saw it as “over and above” expected business activity.</w:t>
      </w:r>
    </w:p>
    <w:p w:rsidR="004132EC" w:rsidRPr="0038774E" w:rsidRDefault="004132EC" w:rsidP="007077FC">
      <w:pPr>
        <w:pStyle w:val="Bullets"/>
      </w:pPr>
      <w:r w:rsidRPr="0038774E">
        <w:t xml:space="preserve">The </w:t>
      </w:r>
      <w:r w:rsidR="00F7309A">
        <w:t xml:space="preserve">value customers place on a leakage penalty was low </w:t>
      </w:r>
      <w:r w:rsidRPr="0038774E">
        <w:t>considering the strength of feeling surrounding this issue.</w:t>
      </w:r>
    </w:p>
    <w:p w:rsidR="004132EC" w:rsidRPr="0038774E" w:rsidRDefault="004132EC" w:rsidP="007077FC">
      <w:pPr>
        <w:pStyle w:val="Bullets"/>
      </w:pPr>
      <w:r w:rsidRPr="0038774E">
        <w:t xml:space="preserve">The commitment on affordability and vulnerability are not seen as </w:t>
      </w:r>
      <w:r w:rsidR="00DA0421" w:rsidRPr="0038774E">
        <w:t>measures that</w:t>
      </w:r>
      <w:r w:rsidRPr="0038774E">
        <w:t xml:space="preserve"> should attract a reward. </w:t>
      </w:r>
    </w:p>
    <w:p w:rsidR="004132EC" w:rsidRPr="0038774E" w:rsidRDefault="004132EC" w:rsidP="007077FC">
      <w:pPr>
        <w:pStyle w:val="Bullets"/>
        <w:numPr>
          <w:ilvl w:val="0"/>
          <w:numId w:val="0"/>
        </w:numPr>
        <w:ind w:left="1494"/>
      </w:pPr>
    </w:p>
    <w:p w:rsidR="004132EC" w:rsidRDefault="004132EC" w:rsidP="007077FC">
      <w:r>
        <w:t xml:space="preserve">We used the Ofwat methodology to quantify rewards and penalties.  This </w:t>
      </w:r>
      <w:r w:rsidR="00DA0421">
        <w:t>is simplified in the box below:</w:t>
      </w:r>
    </w:p>
    <w:tbl>
      <w:tblPr>
        <w:tblStyle w:val="TableGrid"/>
        <w:tblW w:w="0" w:type="auto"/>
        <w:tblInd w:w="851" w:type="dxa"/>
        <w:shd w:val="clear" w:color="auto" w:fill="EDEDED" w:themeFill="accent3" w:themeFillTint="33"/>
        <w:tblLook w:val="04A0" w:firstRow="1" w:lastRow="0" w:firstColumn="1" w:lastColumn="0" w:noHBand="0" w:noVBand="1"/>
      </w:tblPr>
      <w:tblGrid>
        <w:gridCol w:w="8777"/>
      </w:tblGrid>
      <w:tr w:rsidR="005F5B0C" w:rsidTr="009E44A6">
        <w:tc>
          <w:tcPr>
            <w:tcW w:w="9628" w:type="dxa"/>
            <w:shd w:val="clear" w:color="auto" w:fill="EDEDED" w:themeFill="accent3" w:themeFillTint="33"/>
          </w:tcPr>
          <w:p w:rsidR="005F5B0C" w:rsidRPr="009E44A6" w:rsidRDefault="009E44A6" w:rsidP="007077FC">
            <w:pPr>
              <w:ind w:left="0"/>
              <w:rPr>
                <w:b/>
              </w:rPr>
            </w:pPr>
            <w:r w:rsidRPr="009E44A6">
              <w:rPr>
                <w:b/>
              </w:rPr>
              <w:t>Formula to establish Rewards and Penalties</w:t>
            </w:r>
          </w:p>
          <w:p w:rsidR="009E44A6" w:rsidRPr="009E44A6" w:rsidRDefault="009E44A6" w:rsidP="007077FC">
            <w:pPr>
              <w:ind w:left="0"/>
            </w:pPr>
            <w:r w:rsidRPr="009E44A6">
              <w:t>Reward = 0.5 * marginal benefit</w:t>
            </w:r>
          </w:p>
          <w:p w:rsidR="009E44A6" w:rsidRPr="009E44A6" w:rsidRDefault="009E44A6" w:rsidP="007077FC">
            <w:pPr>
              <w:ind w:left="0"/>
              <w:rPr>
                <w:color w:val="FF0000"/>
              </w:rPr>
            </w:pPr>
            <w:r w:rsidRPr="009E44A6">
              <w:t>Penalty = marginal benefit – 0.5 * marginal cost</w:t>
            </w:r>
          </w:p>
        </w:tc>
      </w:tr>
    </w:tbl>
    <w:p w:rsidR="005F5B0C" w:rsidRDefault="005F5B0C" w:rsidP="009E44A6">
      <w:pPr>
        <w:spacing w:after="0"/>
      </w:pPr>
    </w:p>
    <w:p w:rsidR="004132EC" w:rsidRDefault="004132EC" w:rsidP="007077FC">
      <w:r>
        <w:t>The marginal benefit (to customers) is derived from customer research undertaken by ICS in February 2018.</w:t>
      </w:r>
      <w:r w:rsidR="0006675D">
        <w:t xml:space="preserve">  Please see Appendix 2.24 and 2.28.</w:t>
      </w:r>
    </w:p>
    <w:p w:rsidR="004132EC" w:rsidRDefault="004132EC" w:rsidP="007077FC">
      <w:r>
        <w:t xml:space="preserve">The marginal cost is the cost to the Company of achieving the improvement in the performance commitment.  This is multiplied by 0.5, given the current Ofwat </w:t>
      </w:r>
      <w:r w:rsidR="00560B22">
        <w:t>Totex</w:t>
      </w:r>
      <w:r>
        <w:t xml:space="preserve"> sharing </w:t>
      </w:r>
      <w:r w:rsidR="00432633">
        <w:t>rules, which</w:t>
      </w:r>
      <w:r>
        <w:t xml:space="preserve"> recogni</w:t>
      </w:r>
      <w:r w:rsidR="00FA3F79">
        <w:t>s</w:t>
      </w:r>
      <w:r>
        <w:t>es 50% of any additional expenditure at the next review through higher charges to customers.  We have applied the rule to both wholesale and retail ODIs.</w:t>
      </w:r>
    </w:p>
    <w:p w:rsidR="004132EC" w:rsidRDefault="004132EC" w:rsidP="007077FC">
      <w:r>
        <w:t xml:space="preserve">However, when we looked at the costs of achieving the stretch targets to determine any penalties, we </w:t>
      </w:r>
      <w:r w:rsidR="008D2111">
        <w:t xml:space="preserve">found </w:t>
      </w:r>
      <w:r>
        <w:t>the penalty formula results in a negative penalty (i.e. a payment to the Company), given costs are significantly higher than the customer valuations for improvement.  We have therefore revised the penalty formula and it is the same as the reward formula in many cases.</w:t>
      </w:r>
    </w:p>
    <w:p w:rsidR="004132EC" w:rsidRDefault="004132EC" w:rsidP="007077FC">
      <w:r>
        <w:t xml:space="preserve">Further, when we applied the resultant rewards / penalties we concluded that the implied RoRE </w:t>
      </w:r>
      <w:r w:rsidRPr="0038774E">
        <w:t xml:space="preserve">range </w:t>
      </w:r>
      <w:r>
        <w:t xml:space="preserve">was </w:t>
      </w:r>
      <w:r w:rsidRPr="0038774E">
        <w:t>significantly below Ofwat’s expected ± 1-3%.</w:t>
      </w:r>
    </w:p>
    <w:p w:rsidR="004132EC" w:rsidRDefault="004132EC" w:rsidP="007077FC">
      <w:r w:rsidRPr="0038774E">
        <w:rPr>
          <w:b/>
        </w:rPr>
        <w:t xml:space="preserve">Step </w:t>
      </w:r>
      <w:r>
        <w:rPr>
          <w:b/>
        </w:rPr>
        <w:t>B</w:t>
      </w:r>
      <w:r w:rsidRPr="0038774E">
        <w:rPr>
          <w:b/>
        </w:rPr>
        <w:t xml:space="preserve"> - </w:t>
      </w:r>
      <w:r w:rsidRPr="0038774E">
        <w:t xml:space="preserve">Given the </w:t>
      </w:r>
      <w:r>
        <w:t xml:space="preserve">low customer </w:t>
      </w:r>
      <w:r w:rsidRPr="0038774E">
        <w:t>valuations received we revisited the data set, and imposed a reward and penalty structure on the data which uplifted the rewards and penalties.  This increased the value of reward</w:t>
      </w:r>
      <w:r>
        <w:t>s</w:t>
      </w:r>
      <w:r w:rsidRPr="0038774E">
        <w:t xml:space="preserve"> as well as increasing the associated compensation payment required.  </w:t>
      </w:r>
    </w:p>
    <w:p w:rsidR="00CA54C7" w:rsidRDefault="004132EC" w:rsidP="007077FC">
      <w:r>
        <w:t xml:space="preserve">The table below shows the </w:t>
      </w:r>
      <w:r w:rsidR="00DA0421">
        <w:t>5-year</w:t>
      </w:r>
      <w:r>
        <w:t xml:space="preserve"> valuations customers placed on each </w:t>
      </w:r>
      <w:r w:rsidR="00CA54C7">
        <w:t>P</w:t>
      </w:r>
      <w:r>
        <w:t xml:space="preserve">erformance </w:t>
      </w:r>
      <w:r w:rsidR="00CA54C7">
        <w:t>C</w:t>
      </w:r>
      <w:r>
        <w:t>ommitment.</w:t>
      </w:r>
      <w:r w:rsidR="004541F0">
        <w:t xml:space="preserve"> </w:t>
      </w:r>
      <w:r w:rsidR="00CA54C7">
        <w:t>It shows the maximum willingness to pay for a given change in service.  So for example, customers would be willing to pay an extra £0.03 per household for a 10 l/h/d</w:t>
      </w:r>
      <w:r w:rsidR="00F91CAE">
        <w:t xml:space="preserve"> reduction</w:t>
      </w:r>
      <w:r w:rsidR="00CA54C7">
        <w:t xml:space="preserve"> in PCC.</w:t>
      </w:r>
      <w:r w:rsidR="004541F0">
        <w:t xml:space="preserve"> </w:t>
      </w:r>
      <w:r w:rsidR="00432633">
        <w:t xml:space="preserve"> </w:t>
      </w:r>
      <w:r w:rsidR="00CA54C7">
        <w:t xml:space="preserve">These valuations underpin our rewards and penalties and are documented in </w:t>
      </w:r>
      <w:r w:rsidR="00982C97">
        <w:t xml:space="preserve">Ofwat table </w:t>
      </w:r>
      <w:r w:rsidR="00CA54C7">
        <w:t>APP1.</w:t>
      </w:r>
    </w:p>
    <w:p w:rsidR="004132EC" w:rsidRPr="00DA4C37" w:rsidRDefault="006D5E0A" w:rsidP="007077FC">
      <w:pPr>
        <w:rPr>
          <w:b/>
        </w:rPr>
      </w:pPr>
      <w:r>
        <w:rPr>
          <w:b/>
        </w:rPr>
        <w:t>V</w:t>
      </w:r>
      <w:r w:rsidR="004132EC">
        <w:rPr>
          <w:b/>
        </w:rPr>
        <w:t>aluations for rewards and penalties</w:t>
      </w:r>
    </w:p>
    <w:tbl>
      <w:tblPr>
        <w:tblW w:w="10236" w:type="dxa"/>
        <w:tblInd w:w="-38" w:type="dxa"/>
        <w:tblLayout w:type="fixed"/>
        <w:tblCellMar>
          <w:left w:w="30" w:type="dxa"/>
          <w:right w:w="30" w:type="dxa"/>
        </w:tblCellMar>
        <w:tblLook w:val="0000" w:firstRow="0" w:lastRow="0" w:firstColumn="0" w:lastColumn="0" w:noHBand="0" w:noVBand="0"/>
      </w:tblPr>
      <w:tblGrid>
        <w:gridCol w:w="456"/>
        <w:gridCol w:w="1842"/>
        <w:gridCol w:w="2409"/>
        <w:gridCol w:w="1276"/>
        <w:gridCol w:w="1277"/>
        <w:gridCol w:w="2976"/>
      </w:tblGrid>
      <w:tr w:rsidR="005F5B0C" w:rsidRPr="005F5B0C" w:rsidTr="005F5B0C">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105E95">
            <w:pPr>
              <w:tabs>
                <w:tab w:val="clear" w:pos="851"/>
              </w:tabs>
              <w:autoSpaceDE w:val="0"/>
              <w:autoSpaceDN w:val="0"/>
              <w:adjustRightInd w:val="0"/>
              <w:spacing w:after="0"/>
              <w:ind w:left="0"/>
              <w:rPr>
                <w:rFonts w:eastAsiaTheme="minorHAnsi" w:cs="Arial"/>
                <w:b/>
                <w:color w:val="FFFFFF" w:themeColor="background1"/>
                <w:sz w:val="18"/>
                <w:szCs w:val="18"/>
                <w:lang w:val="en-US"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105E95">
            <w:pPr>
              <w:tabs>
                <w:tab w:val="clear" w:pos="851"/>
              </w:tabs>
              <w:autoSpaceDE w:val="0"/>
              <w:autoSpaceDN w:val="0"/>
              <w:adjustRightInd w:val="0"/>
              <w:spacing w:after="0"/>
              <w:ind w:left="0"/>
              <w:rPr>
                <w:rFonts w:eastAsiaTheme="minorHAnsi" w:cs="Arial"/>
                <w:b/>
                <w:color w:val="FFFFFF" w:themeColor="background1"/>
                <w:sz w:val="18"/>
                <w:szCs w:val="18"/>
                <w:lang w:val="en-US" w:eastAsia="en-US"/>
              </w:rPr>
            </w:pPr>
          </w:p>
        </w:tc>
        <w:tc>
          <w:tcPr>
            <w:tcW w:w="2409" w:type="dxa"/>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105E95">
            <w:pPr>
              <w:tabs>
                <w:tab w:val="clear" w:pos="851"/>
              </w:tabs>
              <w:autoSpaceDE w:val="0"/>
              <w:autoSpaceDN w:val="0"/>
              <w:adjustRightInd w:val="0"/>
              <w:spacing w:after="0"/>
              <w:ind w:left="0"/>
              <w:rPr>
                <w:rFonts w:eastAsiaTheme="minorHAnsi" w:cs="Arial"/>
                <w:b/>
                <w:color w:val="FFFFFF" w:themeColor="background1"/>
                <w:sz w:val="18"/>
                <w:szCs w:val="18"/>
                <w:lang w:val="en-US" w:eastAsia="en-US"/>
              </w:rPr>
            </w:pPr>
          </w:p>
        </w:tc>
        <w:tc>
          <w:tcPr>
            <w:tcW w:w="1276" w:type="dxa"/>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105E95">
            <w:pPr>
              <w:tabs>
                <w:tab w:val="clear" w:pos="851"/>
              </w:tabs>
              <w:autoSpaceDE w:val="0"/>
              <w:autoSpaceDN w:val="0"/>
              <w:adjustRightInd w:val="0"/>
              <w:spacing w:after="0"/>
              <w:ind w:left="0"/>
              <w:jc w:val="center"/>
              <w:rPr>
                <w:rFonts w:eastAsiaTheme="minorHAnsi" w:cs="Arial"/>
                <w:b/>
                <w:color w:val="FFFFFF" w:themeColor="background1"/>
                <w:sz w:val="18"/>
                <w:szCs w:val="18"/>
                <w:lang w:val="en-US" w:eastAsia="en-US"/>
              </w:rPr>
            </w:pPr>
            <w:r w:rsidRPr="005F5B0C">
              <w:rPr>
                <w:rFonts w:eastAsiaTheme="minorHAnsi" w:cs="Arial"/>
                <w:b/>
                <w:color w:val="FFFFFF" w:themeColor="background1"/>
                <w:sz w:val="18"/>
                <w:szCs w:val="18"/>
                <w:lang w:val="en-US" w:eastAsia="en-US"/>
              </w:rPr>
              <w:t>Max penalty (£/property)</w:t>
            </w:r>
          </w:p>
        </w:tc>
        <w:tc>
          <w:tcPr>
            <w:tcW w:w="1277" w:type="dxa"/>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105E95">
            <w:pPr>
              <w:tabs>
                <w:tab w:val="clear" w:pos="851"/>
              </w:tabs>
              <w:autoSpaceDE w:val="0"/>
              <w:autoSpaceDN w:val="0"/>
              <w:adjustRightInd w:val="0"/>
              <w:spacing w:after="0"/>
              <w:ind w:left="0"/>
              <w:jc w:val="center"/>
              <w:rPr>
                <w:rFonts w:eastAsiaTheme="minorHAnsi" w:cs="Arial"/>
                <w:b/>
                <w:color w:val="FFFFFF" w:themeColor="background1"/>
                <w:sz w:val="18"/>
                <w:szCs w:val="18"/>
                <w:lang w:val="en-US" w:eastAsia="en-US"/>
              </w:rPr>
            </w:pPr>
            <w:r w:rsidRPr="005F5B0C">
              <w:rPr>
                <w:rFonts w:eastAsiaTheme="minorHAnsi" w:cs="Arial"/>
                <w:b/>
                <w:color w:val="FFFFFF" w:themeColor="background1"/>
                <w:sz w:val="18"/>
                <w:szCs w:val="18"/>
                <w:lang w:val="en-US" w:eastAsia="en-US"/>
              </w:rPr>
              <w:t>Max reward (£/property)</w:t>
            </w:r>
          </w:p>
        </w:tc>
        <w:tc>
          <w:tcPr>
            <w:tcW w:w="2976" w:type="dxa"/>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105E95" w:rsidRPr="005F5B0C" w:rsidRDefault="00105E95" w:rsidP="00105E95">
            <w:pPr>
              <w:tabs>
                <w:tab w:val="clear" w:pos="851"/>
              </w:tabs>
              <w:autoSpaceDE w:val="0"/>
              <w:autoSpaceDN w:val="0"/>
              <w:adjustRightInd w:val="0"/>
              <w:spacing w:after="0"/>
              <w:ind w:left="0"/>
              <w:rPr>
                <w:rFonts w:eastAsiaTheme="minorHAnsi" w:cs="Arial"/>
                <w:b/>
                <w:color w:val="FFFFFF" w:themeColor="background1"/>
                <w:sz w:val="18"/>
                <w:szCs w:val="18"/>
                <w:lang w:val="en-US" w:eastAsia="en-US"/>
              </w:rPr>
            </w:pPr>
            <w:r w:rsidRPr="005F5B0C">
              <w:rPr>
                <w:rFonts w:eastAsiaTheme="minorHAnsi" w:cs="Arial"/>
                <w:b/>
                <w:color w:val="FFFFFF" w:themeColor="background1"/>
                <w:sz w:val="18"/>
                <w:szCs w:val="18"/>
                <w:lang w:val="en-US" w:eastAsia="en-US"/>
              </w:rPr>
              <w:t>Comment</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w:t>
            </w:r>
          </w:p>
        </w:tc>
        <w:tc>
          <w:tcPr>
            <w:tcW w:w="18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Per Capita Consumption </w:t>
            </w:r>
          </w:p>
        </w:tc>
        <w:tc>
          <w:tcPr>
            <w:tcW w:w="240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l/h/d</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-0.06</w:t>
            </w:r>
          </w:p>
        </w:tc>
        <w:tc>
          <w:tcPr>
            <w:tcW w:w="127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0.03</w:t>
            </w:r>
          </w:p>
        </w:tc>
        <w:tc>
          <w:tcPr>
            <w:tcW w:w="29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penalty at 145 l/h/d</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reward at 125 l/h/d</w:t>
            </w:r>
          </w:p>
        </w:tc>
      </w:tr>
      <w:tr w:rsidR="00105E95" w:rsidRPr="00105E95" w:rsidTr="00105E95">
        <w:trPr>
          <w:trHeight w:val="300"/>
        </w:trPr>
        <w:tc>
          <w:tcPr>
            <w:tcW w:w="456" w:type="dxa"/>
            <w:tcBorders>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2. </w:t>
            </w:r>
          </w:p>
        </w:tc>
        <w:tc>
          <w:tcPr>
            <w:tcW w:w="1842" w:type="dxa"/>
            <w:tcBorders>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Leakage </w:t>
            </w:r>
          </w:p>
        </w:tc>
        <w:tc>
          <w:tcPr>
            <w:tcW w:w="240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l/p/d</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-0.26</w:t>
            </w:r>
          </w:p>
        </w:tc>
        <w:tc>
          <w:tcPr>
            <w:tcW w:w="127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0.13</w:t>
            </w:r>
          </w:p>
        </w:tc>
        <w:tc>
          <w:tcPr>
            <w:tcW w:w="29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penalty at 95 l/p/d</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reward at 80 l/p/d</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3.</w:t>
            </w:r>
          </w:p>
        </w:tc>
        <w:tc>
          <w:tcPr>
            <w:tcW w:w="18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Compliance Risk Index</w:t>
            </w:r>
          </w:p>
        </w:tc>
        <w:tc>
          <w:tcPr>
            <w:tcW w:w="240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ranking excl NAVs</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-1.51</w:t>
            </w:r>
          </w:p>
        </w:tc>
        <w:tc>
          <w:tcPr>
            <w:tcW w:w="127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1.51</w:t>
            </w:r>
          </w:p>
        </w:tc>
        <w:tc>
          <w:tcPr>
            <w:tcW w:w="29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penalty for &lt; UQ</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reward for being 1st</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4.</w:t>
            </w:r>
          </w:p>
        </w:tc>
        <w:tc>
          <w:tcPr>
            <w:tcW w:w="18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Interruptions</w:t>
            </w:r>
          </w:p>
        </w:tc>
        <w:tc>
          <w:tcPr>
            <w:tcW w:w="240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mins </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-0.34</w:t>
            </w:r>
          </w:p>
        </w:tc>
        <w:tc>
          <w:tcPr>
            <w:tcW w:w="127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0.34</w:t>
            </w:r>
          </w:p>
        </w:tc>
        <w:tc>
          <w:tcPr>
            <w:tcW w:w="29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penalty at 5 mins</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reward at 3 mins</w:t>
            </w:r>
          </w:p>
        </w:tc>
      </w:tr>
      <w:tr w:rsidR="00105E95" w:rsidRPr="00105E95" w:rsidTr="00105E95">
        <w:trPr>
          <w:trHeight w:val="300"/>
        </w:trPr>
        <w:tc>
          <w:tcPr>
            <w:tcW w:w="456" w:type="dxa"/>
            <w:tcBorders>
              <w:top w:val="single" w:sz="6" w:space="0" w:color="auto"/>
              <w:left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5.</w:t>
            </w:r>
          </w:p>
        </w:tc>
        <w:tc>
          <w:tcPr>
            <w:tcW w:w="1842" w:type="dxa"/>
            <w:tcBorders>
              <w:top w:val="single" w:sz="6" w:space="0" w:color="auto"/>
              <w:left w:val="single" w:sz="6" w:space="0" w:color="auto"/>
              <w:right w:val="single" w:sz="6" w:space="0" w:color="auto"/>
            </w:tcBorders>
            <w:shd w:val="clear" w:color="auto" w:fill="E2EFD9" w:themeFill="accent6"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cs="Arial"/>
                <w:sz w:val="18"/>
                <w:szCs w:val="18"/>
                <w:lang w:eastAsia="en-US"/>
              </w:rPr>
              <w:t>Mains repairs</w:t>
            </w:r>
            <w:r w:rsidR="00E93135">
              <w:rPr>
                <w:rFonts w:cs="Arial"/>
                <w:sz w:val="18"/>
                <w:szCs w:val="18"/>
                <w:lang w:eastAsia="en-US"/>
              </w:rPr>
              <w:t xml:space="preserve"> (bursts)</w:t>
            </w:r>
          </w:p>
        </w:tc>
        <w:tc>
          <w:tcPr>
            <w:tcW w:w="240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cs="Arial"/>
                <w:sz w:val="18"/>
                <w:szCs w:val="18"/>
                <w:lang w:eastAsia="en-US"/>
              </w:rPr>
              <w:t>mains repairs</w:t>
            </w:r>
            <w:r w:rsidRPr="00105E95">
              <w:rPr>
                <w:rFonts w:eastAsiaTheme="minorHAnsi" w:cs="Arial"/>
                <w:color w:val="000000"/>
                <w:sz w:val="18"/>
                <w:szCs w:val="18"/>
                <w:lang w:val="en-US" w:eastAsia="en-US"/>
              </w:rPr>
              <w:t xml:space="preserve"> per 1,000 km</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-1.76</w:t>
            </w:r>
          </w:p>
        </w:tc>
        <w:tc>
          <w:tcPr>
            <w:tcW w:w="127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1.76</w:t>
            </w:r>
          </w:p>
        </w:tc>
        <w:tc>
          <w:tcPr>
            <w:tcW w:w="29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Max penalty at 65 </w:t>
            </w:r>
            <w:r w:rsidRPr="00105E95">
              <w:rPr>
                <w:rFonts w:cs="Arial"/>
                <w:sz w:val="18"/>
                <w:szCs w:val="18"/>
                <w:lang w:eastAsia="en-US"/>
              </w:rPr>
              <w:t>mains repairs</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Max reward at 115 </w:t>
            </w:r>
            <w:r w:rsidRPr="00105E95">
              <w:rPr>
                <w:rFonts w:cs="Arial"/>
                <w:sz w:val="18"/>
                <w:szCs w:val="18"/>
                <w:lang w:eastAsia="en-US"/>
              </w:rPr>
              <w:t>mains repairs</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6.</w:t>
            </w:r>
          </w:p>
        </w:tc>
        <w:tc>
          <w:tcPr>
            <w:tcW w:w="18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Unplanned Outage</w:t>
            </w:r>
          </w:p>
        </w:tc>
        <w:tc>
          <w:tcPr>
            <w:tcW w:w="240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of works not available</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w:t>
            </w:r>
          </w:p>
        </w:tc>
        <w:tc>
          <w:tcPr>
            <w:tcW w:w="127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w:t>
            </w:r>
          </w:p>
        </w:tc>
        <w:tc>
          <w:tcPr>
            <w:tcW w:w="29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penalty at 3.5%</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reward at 2.5%</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7.</w:t>
            </w:r>
          </w:p>
        </w:tc>
        <w:tc>
          <w:tcPr>
            <w:tcW w:w="18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Severe Droughts</w:t>
            </w:r>
          </w:p>
        </w:tc>
        <w:tc>
          <w:tcPr>
            <w:tcW w:w="240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Ability to meet a 1 in 200 drought</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-2.42</w:t>
            </w:r>
          </w:p>
        </w:tc>
        <w:tc>
          <w:tcPr>
            <w:tcW w:w="127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w:t>
            </w:r>
          </w:p>
        </w:tc>
        <w:tc>
          <w:tcPr>
            <w:tcW w:w="29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Penalty only if customers at risk in 1:200 year drought</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8.</w:t>
            </w:r>
          </w:p>
        </w:tc>
        <w:tc>
          <w:tcPr>
            <w:tcW w:w="18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C-Mex</w:t>
            </w:r>
          </w:p>
        </w:tc>
        <w:tc>
          <w:tcPr>
            <w:tcW w:w="240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Ranking</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127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29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Not tested as valuations will be Ofwat defined </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9.</w:t>
            </w:r>
          </w:p>
        </w:tc>
        <w:tc>
          <w:tcPr>
            <w:tcW w:w="1842"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D-Mex</w:t>
            </w:r>
          </w:p>
        </w:tc>
        <w:tc>
          <w:tcPr>
            <w:tcW w:w="240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Ranking</w:t>
            </w:r>
          </w:p>
        </w:tc>
        <w:tc>
          <w:tcPr>
            <w:tcW w:w="12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127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297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Not tested as valuations will be Ofwat defined </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10.</w:t>
            </w:r>
          </w:p>
        </w:tc>
        <w:tc>
          <w:tcPr>
            <w:tcW w:w="18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Voids</w:t>
            </w:r>
          </w:p>
        </w:tc>
        <w:tc>
          <w:tcPr>
            <w:tcW w:w="2409"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of total properties &gt; than council</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1277"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29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Not tested in research as a late requirement from Ofwat</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11.</w:t>
            </w:r>
          </w:p>
        </w:tc>
        <w:tc>
          <w:tcPr>
            <w:tcW w:w="18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Affordability</w:t>
            </w:r>
          </w:p>
        </w:tc>
        <w:tc>
          <w:tcPr>
            <w:tcW w:w="2409"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Customers on social tariff</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-0.41</w:t>
            </w:r>
          </w:p>
        </w:tc>
        <w:tc>
          <w:tcPr>
            <w:tcW w:w="1277"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0.41</w:t>
            </w:r>
          </w:p>
        </w:tc>
        <w:tc>
          <w:tcPr>
            <w:tcW w:w="29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Max penalty at 7,000 </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Max reward at 9,000</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12.</w:t>
            </w:r>
          </w:p>
        </w:tc>
        <w:tc>
          <w:tcPr>
            <w:tcW w:w="18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Vulnerability</w:t>
            </w:r>
          </w:p>
        </w:tc>
        <w:tc>
          <w:tcPr>
            <w:tcW w:w="2409"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Satisfaction survey</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-0.47</w:t>
            </w:r>
          </w:p>
        </w:tc>
        <w:tc>
          <w:tcPr>
            <w:tcW w:w="1277"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w:t>
            </w:r>
          </w:p>
        </w:tc>
        <w:tc>
          <w:tcPr>
            <w:tcW w:w="29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 xml:space="preserve">Penalty only for score less than 75 </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13.</w:t>
            </w:r>
          </w:p>
        </w:tc>
        <w:tc>
          <w:tcPr>
            <w:tcW w:w="18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Catchment Management</w:t>
            </w:r>
          </w:p>
        </w:tc>
        <w:tc>
          <w:tcPr>
            <w:tcW w:w="2409"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Contact with non-priority farmers</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1277"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29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Not tested with customers</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14.</w:t>
            </w:r>
          </w:p>
        </w:tc>
        <w:tc>
          <w:tcPr>
            <w:tcW w:w="18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AIM</w:t>
            </w:r>
          </w:p>
        </w:tc>
        <w:tc>
          <w:tcPr>
            <w:tcW w:w="2409"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Maintain rivers above Q95</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-0.89</w:t>
            </w:r>
          </w:p>
        </w:tc>
        <w:tc>
          <w:tcPr>
            <w:tcW w:w="1277"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0.89</w:t>
            </w:r>
          </w:p>
        </w:tc>
        <w:tc>
          <w:tcPr>
            <w:tcW w:w="29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Reward for plan being delivered</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Penalty for non-delivery</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15.</w:t>
            </w:r>
          </w:p>
        </w:tc>
        <w:tc>
          <w:tcPr>
            <w:tcW w:w="18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Resilience Schemes</w:t>
            </w:r>
          </w:p>
        </w:tc>
        <w:tc>
          <w:tcPr>
            <w:tcW w:w="2409"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Investment to reduce risk of non-delivery</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1277"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29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Not tested with customers</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16.</w:t>
            </w:r>
          </w:p>
        </w:tc>
        <w:tc>
          <w:tcPr>
            <w:tcW w:w="18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Biodiversity</w:t>
            </w:r>
          </w:p>
        </w:tc>
        <w:tc>
          <w:tcPr>
            <w:tcW w:w="2409"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Maintain sites and grant scheme</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-0.29</w:t>
            </w:r>
          </w:p>
        </w:tc>
        <w:tc>
          <w:tcPr>
            <w:tcW w:w="1277"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0.29</w:t>
            </w:r>
          </w:p>
        </w:tc>
        <w:tc>
          <w:tcPr>
            <w:tcW w:w="29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Reward for plan being delivered</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Penalty for non-delivery</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17.</w:t>
            </w:r>
          </w:p>
        </w:tc>
        <w:tc>
          <w:tcPr>
            <w:tcW w:w="18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Low Pressure</w:t>
            </w:r>
          </w:p>
        </w:tc>
        <w:tc>
          <w:tcPr>
            <w:tcW w:w="2409"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Reduce DG2 register to 18 by 2024/25</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1277"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29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Not tested with customers given low number affected.</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18.</w:t>
            </w:r>
          </w:p>
        </w:tc>
        <w:tc>
          <w:tcPr>
            <w:tcW w:w="184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Contacts (black / brown / orange)</w:t>
            </w:r>
          </w:p>
        </w:tc>
        <w:tc>
          <w:tcPr>
            <w:tcW w:w="2409"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Customer contacts re water quality</w:t>
            </w:r>
          </w:p>
        </w:tc>
        <w:tc>
          <w:tcPr>
            <w:tcW w:w="12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-0.29</w:t>
            </w:r>
          </w:p>
        </w:tc>
        <w:tc>
          <w:tcPr>
            <w:tcW w:w="1277"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0.29</w:t>
            </w:r>
          </w:p>
        </w:tc>
        <w:tc>
          <w:tcPr>
            <w:tcW w:w="297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Reward for UQ</w:t>
            </w:r>
          </w:p>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Penalty for &lt; UQ</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19.</w:t>
            </w:r>
          </w:p>
        </w:tc>
        <w:tc>
          <w:tcPr>
            <w:tcW w:w="1842"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19. TUBs</w:t>
            </w:r>
          </w:p>
        </w:tc>
        <w:tc>
          <w:tcPr>
            <w:tcW w:w="2409"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TUBs in AMP7</w:t>
            </w:r>
          </w:p>
        </w:tc>
        <w:tc>
          <w:tcPr>
            <w:tcW w:w="127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1277"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297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Not tested as non-financial</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20.</w:t>
            </w:r>
          </w:p>
        </w:tc>
        <w:tc>
          <w:tcPr>
            <w:tcW w:w="1842"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20. Carbon</w:t>
            </w:r>
          </w:p>
        </w:tc>
        <w:tc>
          <w:tcPr>
            <w:tcW w:w="2409"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UQ  (Tonnes of CO2e / Ml/d)</w:t>
            </w:r>
          </w:p>
        </w:tc>
        <w:tc>
          <w:tcPr>
            <w:tcW w:w="127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1277"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297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Not tested as non-financial</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21.</w:t>
            </w:r>
          </w:p>
        </w:tc>
        <w:tc>
          <w:tcPr>
            <w:tcW w:w="1842"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21. Health &amp; Safety</w:t>
            </w:r>
          </w:p>
        </w:tc>
        <w:tc>
          <w:tcPr>
            <w:tcW w:w="2409"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RoSPA awarded annually</w:t>
            </w:r>
          </w:p>
        </w:tc>
        <w:tc>
          <w:tcPr>
            <w:tcW w:w="127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1277"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n/a</w:t>
            </w:r>
          </w:p>
        </w:tc>
        <w:tc>
          <w:tcPr>
            <w:tcW w:w="2976"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Not tested as non-financial</w:t>
            </w:r>
          </w:p>
        </w:tc>
      </w:tr>
      <w:tr w:rsidR="00105E95" w:rsidRPr="00105E95" w:rsidTr="00105E95">
        <w:trPr>
          <w:trHeight w:val="300"/>
        </w:trPr>
        <w:tc>
          <w:tcPr>
            <w:tcW w:w="45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105E95" w:rsidRPr="00105E95" w:rsidRDefault="00105E95" w:rsidP="007C079B">
            <w:pPr>
              <w:tabs>
                <w:tab w:val="clear" w:pos="851"/>
              </w:tabs>
              <w:autoSpaceDE w:val="0"/>
              <w:autoSpaceDN w:val="0"/>
              <w:adjustRightInd w:val="0"/>
              <w:spacing w:after="0"/>
              <w:ind w:left="0"/>
              <w:jc w:val="left"/>
              <w:rPr>
                <w:rFonts w:eastAsiaTheme="minorHAnsi" w:cs="Arial"/>
                <w:color w:val="000000"/>
                <w:sz w:val="18"/>
                <w:szCs w:val="18"/>
                <w:lang w:val="en-US" w:eastAsia="en-US"/>
              </w:rPr>
            </w:pPr>
            <w:r w:rsidRPr="00105E95">
              <w:rPr>
                <w:rFonts w:eastAsiaTheme="minorHAnsi" w:cs="Arial"/>
                <w:color w:val="000000"/>
                <w:sz w:val="18"/>
                <w:szCs w:val="18"/>
                <w:lang w:val="en-US" w:eastAsia="en-US"/>
              </w:rPr>
              <w:t>Valuation</w:t>
            </w:r>
          </w:p>
        </w:tc>
        <w:tc>
          <w:tcPr>
            <w:tcW w:w="24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r w:rsidRPr="00105E95">
              <w:rPr>
                <w:rFonts w:eastAsiaTheme="minorHAnsi" w:cs="Arial"/>
                <w:color w:val="000000"/>
                <w:sz w:val="18"/>
                <w:szCs w:val="18"/>
                <w:lang w:val="en-US" w:eastAsia="en-US"/>
              </w:rPr>
              <w:t>£/customer</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8.70</w:t>
            </w:r>
          </w:p>
        </w:tc>
        <w:tc>
          <w:tcPr>
            <w:tcW w:w="127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105E95" w:rsidRPr="00105E95" w:rsidRDefault="00105E95" w:rsidP="00105E95">
            <w:pPr>
              <w:tabs>
                <w:tab w:val="clear" w:pos="851"/>
              </w:tabs>
              <w:autoSpaceDE w:val="0"/>
              <w:autoSpaceDN w:val="0"/>
              <w:adjustRightInd w:val="0"/>
              <w:spacing w:after="0"/>
              <w:ind w:left="0"/>
              <w:jc w:val="center"/>
              <w:rPr>
                <w:rFonts w:eastAsiaTheme="minorHAnsi" w:cs="Arial"/>
                <w:color w:val="000000"/>
                <w:sz w:val="18"/>
                <w:szCs w:val="18"/>
                <w:lang w:val="en-US" w:eastAsia="en-US"/>
              </w:rPr>
            </w:pPr>
            <w:r w:rsidRPr="00105E95">
              <w:rPr>
                <w:rFonts w:eastAsiaTheme="minorHAnsi" w:cs="Arial"/>
                <w:color w:val="000000"/>
                <w:sz w:val="18"/>
                <w:szCs w:val="18"/>
                <w:lang w:val="en-US" w:eastAsia="en-US"/>
              </w:rPr>
              <w:t>5.65</w:t>
            </w:r>
          </w:p>
        </w:tc>
        <w:tc>
          <w:tcPr>
            <w:tcW w:w="297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105E95" w:rsidRPr="00105E95" w:rsidRDefault="00105E95" w:rsidP="00105E95">
            <w:pPr>
              <w:tabs>
                <w:tab w:val="clear" w:pos="851"/>
              </w:tabs>
              <w:autoSpaceDE w:val="0"/>
              <w:autoSpaceDN w:val="0"/>
              <w:adjustRightInd w:val="0"/>
              <w:spacing w:after="0"/>
              <w:ind w:left="0"/>
              <w:rPr>
                <w:rFonts w:eastAsiaTheme="minorHAnsi" w:cs="Arial"/>
                <w:color w:val="000000"/>
                <w:sz w:val="18"/>
                <w:szCs w:val="18"/>
                <w:lang w:val="en-US" w:eastAsia="en-US"/>
              </w:rPr>
            </w:pPr>
          </w:p>
        </w:tc>
      </w:tr>
    </w:tbl>
    <w:p w:rsidR="005F5B0C" w:rsidRPr="00A61F53" w:rsidRDefault="005F5B0C" w:rsidP="005F5B0C">
      <w:pPr>
        <w:rPr>
          <w:sz w:val="16"/>
          <w:szCs w:val="16"/>
        </w:rPr>
      </w:pPr>
      <w:r w:rsidRPr="00A61F53">
        <w:rPr>
          <w:rFonts w:cs="Arial"/>
          <w:sz w:val="16"/>
          <w:szCs w:val="16"/>
        </w:rPr>
        <w:t xml:space="preserve">Key: </w:t>
      </w:r>
      <w:r w:rsidRPr="00A61F53">
        <w:rPr>
          <w:rFonts w:cs="Arial"/>
          <w:color w:val="C5E0B3" w:themeColor="accent6" w:themeTint="66"/>
          <w:sz w:val="32"/>
          <w:szCs w:val="32"/>
        </w:rPr>
        <w:t>■</w:t>
      </w:r>
      <w:r w:rsidRPr="00A61F53">
        <w:rPr>
          <w:rFonts w:cs="Arial"/>
          <w:color w:val="C5E0B3" w:themeColor="accent6" w:themeTint="66"/>
          <w:sz w:val="16"/>
          <w:szCs w:val="16"/>
        </w:rPr>
        <w:t xml:space="preserve"> </w:t>
      </w:r>
      <w:r w:rsidRPr="00A61F53">
        <w:rPr>
          <w:rFonts w:cs="Arial"/>
          <w:sz w:val="16"/>
          <w:szCs w:val="16"/>
        </w:rPr>
        <w:t xml:space="preserve">– common </w:t>
      </w:r>
      <w:r>
        <w:rPr>
          <w:rFonts w:cs="Arial"/>
          <w:sz w:val="16"/>
          <w:szCs w:val="16"/>
        </w:rPr>
        <w:t xml:space="preserve">     </w:t>
      </w:r>
      <w:r w:rsidRPr="00A61F53">
        <w:rPr>
          <w:rFonts w:cs="Arial"/>
          <w:sz w:val="16"/>
          <w:szCs w:val="16"/>
        </w:rPr>
        <w:t xml:space="preserve">        </w:t>
      </w:r>
      <w:r w:rsidRPr="00A61F53">
        <w:rPr>
          <w:rFonts w:cs="Arial"/>
          <w:color w:val="F7CAAC" w:themeColor="accent2" w:themeTint="66"/>
          <w:sz w:val="32"/>
          <w:szCs w:val="32"/>
        </w:rPr>
        <w:t>■</w:t>
      </w:r>
      <w:r w:rsidRPr="00A61F53">
        <w:rPr>
          <w:rFonts w:cs="Arial"/>
          <w:color w:val="C5E0B3" w:themeColor="accent6" w:themeTint="66"/>
          <w:sz w:val="16"/>
          <w:szCs w:val="16"/>
        </w:rPr>
        <w:t xml:space="preserve"> </w:t>
      </w:r>
      <w:r w:rsidRPr="00A61F53">
        <w:rPr>
          <w:rFonts w:cs="Arial"/>
          <w:sz w:val="16"/>
          <w:szCs w:val="16"/>
        </w:rPr>
        <w:t xml:space="preserve">– </w:t>
      </w:r>
      <w:r>
        <w:rPr>
          <w:rFonts w:cs="Arial"/>
          <w:sz w:val="16"/>
          <w:szCs w:val="16"/>
        </w:rPr>
        <w:t>bespoke</w:t>
      </w:r>
      <w:r w:rsidRPr="00A61F53">
        <w:rPr>
          <w:rFonts w:cs="Arial"/>
          <w:sz w:val="16"/>
          <w:szCs w:val="16"/>
        </w:rPr>
        <w:t xml:space="preserve">               </w:t>
      </w:r>
      <w:r w:rsidRPr="00A61F53">
        <w:rPr>
          <w:rFonts w:cs="Arial"/>
          <w:color w:val="D9E2F3" w:themeColor="accent5" w:themeTint="33"/>
          <w:sz w:val="32"/>
          <w:szCs w:val="32"/>
        </w:rPr>
        <w:t>■</w:t>
      </w:r>
      <w:r w:rsidRPr="00A61F53">
        <w:rPr>
          <w:rFonts w:cs="Arial"/>
          <w:color w:val="C5E0B3" w:themeColor="accent6" w:themeTint="66"/>
          <w:sz w:val="16"/>
          <w:szCs w:val="16"/>
        </w:rPr>
        <w:t xml:space="preserve"> </w:t>
      </w:r>
      <w:r>
        <w:rPr>
          <w:rFonts w:cs="Arial"/>
          <w:sz w:val="16"/>
          <w:szCs w:val="16"/>
        </w:rPr>
        <w:t>–</w:t>
      </w:r>
      <w:r w:rsidRPr="00A61F53">
        <w:rPr>
          <w:rFonts w:cs="Arial"/>
          <w:sz w:val="16"/>
          <w:szCs w:val="16"/>
        </w:rPr>
        <w:t xml:space="preserve"> </w:t>
      </w:r>
      <w:r>
        <w:rPr>
          <w:rFonts w:cs="Arial"/>
          <w:sz w:val="16"/>
          <w:szCs w:val="16"/>
        </w:rPr>
        <w:t>PR14 PC</w:t>
      </w:r>
    </w:p>
    <w:p w:rsidR="004132EC" w:rsidRDefault="004132EC" w:rsidP="007077FC">
      <w:r>
        <w:t xml:space="preserve">The Ofwat methodology </w:t>
      </w:r>
      <w:r w:rsidRPr="0038774E">
        <w:t xml:space="preserve">for </w:t>
      </w:r>
      <w:r>
        <w:t xml:space="preserve">the </w:t>
      </w:r>
      <w:r w:rsidRPr="0038774E">
        <w:t xml:space="preserve">severe drought </w:t>
      </w:r>
      <w:r>
        <w:t xml:space="preserve">requires this to be a </w:t>
      </w:r>
      <w:r w:rsidRPr="0038774E">
        <w:t>reputational ODI.  However</w:t>
      </w:r>
      <w:r>
        <w:t>,</w:t>
      </w:r>
      <w:r w:rsidRPr="0038774E">
        <w:t xml:space="preserve"> customers expressed significant value in the Company ensuring it could meet demands in such a scenario.  This will be achieved through greater leakage performance and reducing the </w:t>
      </w:r>
      <w:r w:rsidR="009258ED">
        <w:t>PCC</w:t>
      </w:r>
      <w:r w:rsidRPr="0038774E">
        <w:t xml:space="preserve">.  We have therefore chosen to allocate the valuation for severe droughts to </w:t>
      </w:r>
      <w:r w:rsidR="009258ED">
        <w:t>PCC</w:t>
      </w:r>
      <w:r w:rsidRPr="0038774E">
        <w:t xml:space="preserve"> and leakage in proportion to the initial customer valuations.</w:t>
      </w:r>
    </w:p>
    <w:p w:rsidR="004132EC" w:rsidRDefault="004132EC" w:rsidP="007077FC">
      <w:r>
        <w:t xml:space="preserve">Similarly, we reallocated some of the customer valuation on </w:t>
      </w:r>
      <w:r w:rsidRPr="003527CF">
        <w:t>mains repairs</w:t>
      </w:r>
      <w:r>
        <w:t xml:space="preserve"> to interruptions, given our interpretation that while customers could easily understand what a burst was, the concept of supply interruption was less obvious to them, given most customers have not experienced such an event.  This is also consistent on focusing any ODI on the Outcome (i.e. the loss of supply) rather than the cause, (the burst).</w:t>
      </w:r>
    </w:p>
    <w:p w:rsidR="004132EC" w:rsidRPr="0038774E" w:rsidRDefault="004132EC" w:rsidP="007077FC">
      <w:r w:rsidRPr="0038774E">
        <w:t>We calculate</w:t>
      </w:r>
      <w:r w:rsidR="00FA3F79">
        <w:t>d</w:t>
      </w:r>
      <w:r w:rsidRPr="0038774E">
        <w:t xml:space="preserve"> the resultant rewards and penalties have a </w:t>
      </w:r>
      <w:r>
        <w:t xml:space="preserve">RoRE </w:t>
      </w:r>
      <w:r w:rsidRPr="0038774E">
        <w:t>range of 0.4% to -0.6 %, which still f</w:t>
      </w:r>
      <w:r>
        <w:t>e</w:t>
      </w:r>
      <w:r w:rsidRPr="0038774E">
        <w:t>ll short of the Ofwat expectation.</w:t>
      </w:r>
    </w:p>
    <w:p w:rsidR="004132EC" w:rsidRDefault="004132EC" w:rsidP="007077FC">
      <w:r w:rsidRPr="0038774E">
        <w:rPr>
          <w:b/>
        </w:rPr>
        <w:t xml:space="preserve">Step </w:t>
      </w:r>
      <w:r>
        <w:rPr>
          <w:b/>
        </w:rPr>
        <w:t>C</w:t>
      </w:r>
      <w:r w:rsidRPr="0038774E">
        <w:rPr>
          <w:b/>
        </w:rPr>
        <w:t xml:space="preserve"> </w:t>
      </w:r>
      <w:r w:rsidRPr="0038774E">
        <w:t xml:space="preserve">– Following </w:t>
      </w:r>
      <w:r>
        <w:t>further consideration of the Ofwat methodology</w:t>
      </w:r>
      <w:r w:rsidRPr="0038774E">
        <w:t xml:space="preserve">, we have introduced four enhanced rewards and penalties for “extremely stretching” performance.  </w:t>
      </w:r>
      <w:r>
        <w:t xml:space="preserve">Whilst this </w:t>
      </w:r>
      <w:r w:rsidRPr="0038774E">
        <w:t>is perm</w:t>
      </w:r>
      <w:r>
        <w:t xml:space="preserve">itted in the Ofwat </w:t>
      </w:r>
      <w:r w:rsidR="00DA0421">
        <w:t>methodology,</w:t>
      </w:r>
      <w:r>
        <w:t xml:space="preserve"> it was not a decision the </w:t>
      </w:r>
      <w:r w:rsidR="00964B14">
        <w:t>Board</w:t>
      </w:r>
      <w:r>
        <w:t xml:space="preserve"> took lightly.  </w:t>
      </w:r>
    </w:p>
    <w:p w:rsidR="004132EC" w:rsidRDefault="004132EC" w:rsidP="007077FC">
      <w:r>
        <w:t xml:space="preserve">The </w:t>
      </w:r>
      <w:r w:rsidR="00964B14">
        <w:t>Board</w:t>
      </w:r>
      <w:r>
        <w:t xml:space="preserve"> noted the Ofwat guidance</w:t>
      </w:r>
      <w:r w:rsidR="007C079B">
        <w:t>,</w:t>
      </w:r>
      <w:r>
        <w:t xml:space="preserve"> that calculating outperformance and underperformance payments purely on customer valuations</w:t>
      </w:r>
      <w:r w:rsidR="007C079B">
        <w:t>,</w:t>
      </w:r>
      <w:r>
        <w:t xml:space="preserve"> does not take into account the wider benefits that customers would obtain from the kind of significant shifts in performance that would set a new benchmark for industry performance.  Ofwat are therefore encouraging companies to propose higher outperformance payments for very high levels of performance against the common </w:t>
      </w:r>
      <w:r w:rsidR="00A11EF3">
        <w:t>P</w:t>
      </w:r>
      <w:r>
        <w:t xml:space="preserve">erformance </w:t>
      </w:r>
      <w:r w:rsidR="00A11EF3">
        <w:t>C</w:t>
      </w:r>
      <w:r>
        <w:t>ommitments.</w:t>
      </w:r>
    </w:p>
    <w:p w:rsidR="004132EC" w:rsidRDefault="00FA3F79" w:rsidP="007077FC">
      <w:r>
        <w:t xml:space="preserve">Accordingly, we </w:t>
      </w:r>
      <w:r w:rsidR="004132EC">
        <w:t xml:space="preserve">have chosen to apply enhanced payments against 4 of the 9 common </w:t>
      </w:r>
      <w:r w:rsidR="00A11EF3">
        <w:t>P</w:t>
      </w:r>
      <w:r w:rsidR="004132EC">
        <w:t xml:space="preserve">erformance </w:t>
      </w:r>
      <w:r w:rsidR="00A11EF3">
        <w:t>C</w:t>
      </w:r>
      <w:r w:rsidR="004132EC">
        <w:t>ommitments</w:t>
      </w:r>
      <w:r>
        <w:t>;</w:t>
      </w:r>
      <w:r w:rsidR="004132EC">
        <w:t xml:space="preserve"> </w:t>
      </w:r>
      <w:r w:rsidR="009258ED">
        <w:t>PCC</w:t>
      </w:r>
      <w:r w:rsidR="004132EC">
        <w:t xml:space="preserve">, leakage, interruptions and mains repairs.  It did not consider C-Mex or D-Mex, as these are Ofwat defined.  </w:t>
      </w:r>
      <w:r>
        <w:t xml:space="preserve">Nor </w:t>
      </w:r>
      <w:r w:rsidR="004132EC">
        <w:t xml:space="preserve">did </w:t>
      </w:r>
      <w:r>
        <w:t xml:space="preserve">we </w:t>
      </w:r>
      <w:r w:rsidR="004132EC">
        <w:t xml:space="preserve">consider </w:t>
      </w:r>
      <w:r w:rsidR="00DA0421">
        <w:t>CRI,</w:t>
      </w:r>
      <w:r w:rsidR="004132EC">
        <w:t xml:space="preserve"> as this is penalty only.  </w:t>
      </w:r>
      <w:r w:rsidR="00A35834">
        <w:t>Finally,</w:t>
      </w:r>
      <w:r>
        <w:t xml:space="preserve"> we did not </w:t>
      </w:r>
      <w:r w:rsidR="004132EC">
        <w:t xml:space="preserve">consider unplanned outage or severe droughts as we propose that these are reputational.  </w:t>
      </w:r>
    </w:p>
    <w:p w:rsidR="004132EC" w:rsidRDefault="004132EC" w:rsidP="007077FC">
      <w:r>
        <w:t xml:space="preserve">Enhanced payments are accompanied by an enhanced under performance penalty rate for below standard or poor performance.  </w:t>
      </w:r>
      <w:r w:rsidR="00A35834">
        <w:t>Similarly,</w:t>
      </w:r>
      <w:r>
        <w:t xml:space="preserve"> we have set the threshold for the enhanced outperformance at the</w:t>
      </w:r>
      <w:r w:rsidR="00FA3F79">
        <w:t xml:space="preserve"> level of the</w:t>
      </w:r>
      <w:r>
        <w:t xml:space="preserve"> current leading company or higher.</w:t>
      </w:r>
    </w:p>
    <w:p w:rsidR="004132EC" w:rsidRDefault="004132EC" w:rsidP="007077FC">
      <w:r w:rsidRPr="0038774E">
        <w:t xml:space="preserve">The table below provides the breakdown of the ODI package by reward mechanism; green </w:t>
      </w:r>
      <w:r>
        <w:t xml:space="preserve">are </w:t>
      </w:r>
      <w:r w:rsidRPr="0038774E">
        <w:t>common ODIs</w:t>
      </w:r>
      <w:r>
        <w:t xml:space="preserve">, </w:t>
      </w:r>
      <w:r w:rsidRPr="0038774E">
        <w:t>orange are bespoke</w:t>
      </w:r>
      <w:r>
        <w:t xml:space="preserve"> and blue are existing</w:t>
      </w:r>
      <w:r w:rsidRPr="0038774E">
        <w:t>.</w:t>
      </w:r>
      <w:r>
        <w:t xml:space="preserve">  Specifically our three current reputational ODIs</w:t>
      </w:r>
      <w:r w:rsidR="00B34DD5">
        <w:t>, TUBs, Carbon and Health and Safety,</w:t>
      </w:r>
      <w:r>
        <w:t xml:space="preserve"> remain.  </w:t>
      </w:r>
      <w:r w:rsidR="00A35834">
        <w:t>Similarly,</w:t>
      </w:r>
      <w:r w:rsidR="00EE35F6">
        <w:t xml:space="preserve"> our two </w:t>
      </w:r>
      <w:r w:rsidR="00A35834">
        <w:t>forward-looking</w:t>
      </w:r>
      <w:r w:rsidR="00EE35F6">
        <w:t xml:space="preserve"> resilience metrics are reputational, because they are at relatively early stages of development and lack historical and comparative data.  This is in line with the Ofwat methodology</w:t>
      </w:r>
      <w:r w:rsidR="00772AFC">
        <w:t>.  Further, we have chosen that unplanned outage is also a reputational measure – for exactly the same reasoning</w:t>
      </w:r>
      <w:r w:rsidR="00B34DD5">
        <w:t>, given its stage of development</w:t>
      </w:r>
      <w:r w:rsidR="00772AFC">
        <w:t>.</w:t>
      </w:r>
    </w:p>
    <w:p w:rsidR="00011B79" w:rsidRDefault="00011B79">
      <w:pPr>
        <w:tabs>
          <w:tab w:val="clear" w:pos="851"/>
        </w:tabs>
        <w:spacing w:after="0"/>
        <w:ind w:left="0"/>
        <w:jc w:val="left"/>
        <w:rPr>
          <w:b/>
        </w:rPr>
      </w:pPr>
      <w:r>
        <w:rPr>
          <w:b/>
        </w:rPr>
        <w:br w:type="page"/>
      </w:r>
    </w:p>
    <w:p w:rsidR="004132EC" w:rsidRPr="008B7D2A" w:rsidRDefault="004132EC" w:rsidP="007077FC">
      <w:pPr>
        <w:rPr>
          <w:b/>
        </w:rPr>
      </w:pPr>
      <w:r w:rsidRPr="008B7D2A">
        <w:rPr>
          <w:b/>
        </w:rPr>
        <w:t>Incentive structure</w:t>
      </w:r>
    </w:p>
    <w:tbl>
      <w:tblPr>
        <w:tblStyle w:val="TableGrid65"/>
        <w:tblW w:w="9209" w:type="dxa"/>
        <w:tblInd w:w="946" w:type="dxa"/>
        <w:tblLayout w:type="fixed"/>
        <w:tblLook w:val="04A0" w:firstRow="1" w:lastRow="0" w:firstColumn="1" w:lastColumn="0" w:noHBand="0" w:noVBand="1"/>
      </w:tblPr>
      <w:tblGrid>
        <w:gridCol w:w="279"/>
        <w:gridCol w:w="1134"/>
        <w:gridCol w:w="283"/>
        <w:gridCol w:w="1276"/>
        <w:gridCol w:w="284"/>
        <w:gridCol w:w="1275"/>
        <w:gridCol w:w="284"/>
        <w:gridCol w:w="1134"/>
        <w:gridCol w:w="283"/>
        <w:gridCol w:w="1985"/>
        <w:gridCol w:w="283"/>
        <w:gridCol w:w="709"/>
      </w:tblGrid>
      <w:tr w:rsidR="005F5B0C" w:rsidRPr="005F5B0C" w:rsidTr="005F5B0C">
        <w:tc>
          <w:tcPr>
            <w:tcW w:w="1413" w:type="dxa"/>
            <w:gridSpan w:val="2"/>
            <w:shd w:val="clear" w:color="auto" w:fill="2E74B5" w:themeFill="accent1" w:themeFillShade="BF"/>
          </w:tcPr>
          <w:p w:rsidR="00105E95" w:rsidRPr="005F5B0C" w:rsidRDefault="00105E95" w:rsidP="00105E95">
            <w:pPr>
              <w:tabs>
                <w:tab w:val="clear" w:pos="851"/>
              </w:tabs>
              <w:spacing w:after="0"/>
              <w:ind w:left="0"/>
              <w:rPr>
                <w:rFonts w:cs="Arial"/>
                <w:b/>
                <w:color w:val="FFFFFF" w:themeColor="background1"/>
                <w:sz w:val="18"/>
                <w:szCs w:val="18"/>
              </w:rPr>
            </w:pPr>
            <w:r w:rsidRPr="005F5B0C">
              <w:rPr>
                <w:rFonts w:cs="Arial"/>
                <w:b/>
                <w:color w:val="FFFFFF" w:themeColor="background1"/>
                <w:sz w:val="18"/>
                <w:szCs w:val="18"/>
              </w:rPr>
              <w:t>Enhanced rewards and penalties</w:t>
            </w:r>
          </w:p>
        </w:tc>
        <w:tc>
          <w:tcPr>
            <w:tcW w:w="1559" w:type="dxa"/>
            <w:gridSpan w:val="2"/>
            <w:shd w:val="clear" w:color="auto" w:fill="2E74B5" w:themeFill="accent1" w:themeFillShade="BF"/>
          </w:tcPr>
          <w:p w:rsidR="00105E95" w:rsidRPr="005F5B0C" w:rsidRDefault="00105E95" w:rsidP="00105E95">
            <w:pPr>
              <w:tabs>
                <w:tab w:val="clear" w:pos="851"/>
              </w:tabs>
              <w:spacing w:after="0"/>
              <w:ind w:left="0"/>
              <w:rPr>
                <w:rFonts w:cs="Arial"/>
                <w:b/>
                <w:color w:val="FFFFFF" w:themeColor="background1"/>
                <w:sz w:val="18"/>
                <w:szCs w:val="18"/>
              </w:rPr>
            </w:pPr>
            <w:r w:rsidRPr="005F5B0C">
              <w:rPr>
                <w:rFonts w:cs="Arial"/>
                <w:b/>
                <w:color w:val="FFFFFF" w:themeColor="background1"/>
                <w:sz w:val="18"/>
                <w:szCs w:val="18"/>
              </w:rPr>
              <w:t>Rewards and penalties</w:t>
            </w:r>
          </w:p>
        </w:tc>
        <w:tc>
          <w:tcPr>
            <w:tcW w:w="1559" w:type="dxa"/>
            <w:gridSpan w:val="2"/>
            <w:shd w:val="clear" w:color="auto" w:fill="2E74B5" w:themeFill="accent1" w:themeFillShade="BF"/>
          </w:tcPr>
          <w:p w:rsidR="00105E95" w:rsidRPr="005F5B0C" w:rsidRDefault="00105E95" w:rsidP="00105E95">
            <w:pPr>
              <w:tabs>
                <w:tab w:val="clear" w:pos="851"/>
              </w:tabs>
              <w:spacing w:after="0"/>
              <w:ind w:left="0"/>
              <w:rPr>
                <w:rFonts w:cs="Arial"/>
                <w:b/>
                <w:color w:val="FFFFFF" w:themeColor="background1"/>
                <w:sz w:val="18"/>
                <w:szCs w:val="18"/>
              </w:rPr>
            </w:pPr>
            <w:r w:rsidRPr="005F5B0C">
              <w:rPr>
                <w:rFonts w:cs="Arial"/>
                <w:b/>
                <w:color w:val="FFFFFF" w:themeColor="background1"/>
                <w:sz w:val="18"/>
                <w:szCs w:val="18"/>
              </w:rPr>
              <w:t>Reward only</w:t>
            </w:r>
          </w:p>
        </w:tc>
        <w:tc>
          <w:tcPr>
            <w:tcW w:w="1418" w:type="dxa"/>
            <w:gridSpan w:val="2"/>
            <w:shd w:val="clear" w:color="auto" w:fill="2E74B5" w:themeFill="accent1" w:themeFillShade="BF"/>
          </w:tcPr>
          <w:p w:rsidR="00105E95" w:rsidRPr="005F5B0C" w:rsidRDefault="00105E95" w:rsidP="00105E95">
            <w:pPr>
              <w:tabs>
                <w:tab w:val="clear" w:pos="851"/>
              </w:tabs>
              <w:spacing w:after="0"/>
              <w:ind w:left="0"/>
              <w:rPr>
                <w:rFonts w:cs="Arial"/>
                <w:b/>
                <w:color w:val="FFFFFF" w:themeColor="background1"/>
                <w:sz w:val="18"/>
                <w:szCs w:val="18"/>
              </w:rPr>
            </w:pPr>
            <w:r w:rsidRPr="005F5B0C">
              <w:rPr>
                <w:rFonts w:cs="Arial"/>
                <w:b/>
                <w:color w:val="FFFFFF" w:themeColor="background1"/>
                <w:sz w:val="18"/>
                <w:szCs w:val="18"/>
              </w:rPr>
              <w:t>Penalty Only</w:t>
            </w:r>
          </w:p>
        </w:tc>
        <w:tc>
          <w:tcPr>
            <w:tcW w:w="2268" w:type="dxa"/>
            <w:gridSpan w:val="2"/>
            <w:shd w:val="clear" w:color="auto" w:fill="2E74B5" w:themeFill="accent1" w:themeFillShade="BF"/>
          </w:tcPr>
          <w:p w:rsidR="00105E95" w:rsidRPr="005F5B0C" w:rsidRDefault="00105E95" w:rsidP="00105E95">
            <w:pPr>
              <w:tabs>
                <w:tab w:val="clear" w:pos="851"/>
              </w:tabs>
              <w:spacing w:after="0"/>
              <w:ind w:left="0"/>
              <w:rPr>
                <w:rFonts w:cs="Arial"/>
                <w:b/>
                <w:color w:val="FFFFFF" w:themeColor="background1"/>
                <w:sz w:val="18"/>
                <w:szCs w:val="18"/>
              </w:rPr>
            </w:pPr>
            <w:r w:rsidRPr="005F5B0C">
              <w:rPr>
                <w:rFonts w:cs="Arial"/>
                <w:b/>
                <w:color w:val="FFFFFF" w:themeColor="background1"/>
                <w:sz w:val="18"/>
                <w:szCs w:val="18"/>
              </w:rPr>
              <w:t>Reputation</w:t>
            </w:r>
          </w:p>
        </w:tc>
        <w:tc>
          <w:tcPr>
            <w:tcW w:w="992" w:type="dxa"/>
            <w:gridSpan w:val="2"/>
            <w:shd w:val="clear" w:color="auto" w:fill="2E74B5" w:themeFill="accent1" w:themeFillShade="BF"/>
          </w:tcPr>
          <w:p w:rsidR="00105E95" w:rsidRPr="005F5B0C" w:rsidRDefault="00105E95" w:rsidP="00105E95">
            <w:pPr>
              <w:tabs>
                <w:tab w:val="clear" w:pos="851"/>
              </w:tabs>
              <w:spacing w:after="0"/>
              <w:ind w:left="0"/>
              <w:rPr>
                <w:rFonts w:cs="Arial"/>
                <w:b/>
                <w:color w:val="FFFFFF" w:themeColor="background1"/>
                <w:sz w:val="18"/>
                <w:szCs w:val="18"/>
              </w:rPr>
            </w:pPr>
            <w:r w:rsidRPr="005F5B0C">
              <w:rPr>
                <w:rFonts w:cs="Arial"/>
                <w:b/>
                <w:color w:val="FFFFFF" w:themeColor="background1"/>
                <w:sz w:val="18"/>
                <w:szCs w:val="18"/>
              </w:rPr>
              <w:t>Ofwat defined</w:t>
            </w:r>
          </w:p>
        </w:tc>
      </w:tr>
      <w:tr w:rsidR="00105E95" w:rsidRPr="00105E95" w:rsidTr="00DE6B27">
        <w:tc>
          <w:tcPr>
            <w:tcW w:w="279" w:type="dxa"/>
            <w:tcBorders>
              <w:righ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1</w:t>
            </w:r>
          </w:p>
        </w:tc>
        <w:tc>
          <w:tcPr>
            <w:tcW w:w="1134" w:type="dxa"/>
            <w:tcBorders>
              <w:left w:val="nil"/>
            </w:tcBorders>
            <w:shd w:val="clear" w:color="auto" w:fill="E2EFD9" w:themeFill="accent6" w:themeFillTint="33"/>
            <w:tcMar>
              <w:left w:w="0" w:type="dxa"/>
              <w:right w:w="0" w:type="dxa"/>
            </w:tcMar>
          </w:tcPr>
          <w:p w:rsidR="00105E95" w:rsidRPr="00105E95" w:rsidRDefault="009258ED" w:rsidP="00105E95">
            <w:pPr>
              <w:tabs>
                <w:tab w:val="clear" w:pos="851"/>
              </w:tabs>
              <w:spacing w:after="0"/>
              <w:ind w:left="0"/>
              <w:rPr>
                <w:rFonts w:cs="Arial"/>
                <w:sz w:val="18"/>
                <w:szCs w:val="18"/>
              </w:rPr>
            </w:pPr>
            <w:r>
              <w:rPr>
                <w:rFonts w:cs="Arial"/>
                <w:sz w:val="18"/>
                <w:szCs w:val="18"/>
              </w:rPr>
              <w:t>PCC</w:t>
            </w:r>
          </w:p>
        </w:tc>
        <w:tc>
          <w:tcPr>
            <w:tcW w:w="283" w:type="dxa"/>
            <w:tcBorders>
              <w:righ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14</w:t>
            </w:r>
          </w:p>
        </w:tc>
        <w:tc>
          <w:tcPr>
            <w:tcW w:w="1276" w:type="dxa"/>
            <w:tcBorders>
              <w:lef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AIM</w:t>
            </w:r>
          </w:p>
        </w:tc>
        <w:tc>
          <w:tcPr>
            <w:tcW w:w="284" w:type="dxa"/>
            <w:tcBorders>
              <w:righ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1440" w:hanging="1440"/>
              <w:rPr>
                <w:rFonts w:cs="Arial"/>
                <w:sz w:val="18"/>
                <w:szCs w:val="18"/>
              </w:rPr>
            </w:pPr>
            <w:r w:rsidRPr="00105E95">
              <w:rPr>
                <w:rFonts w:cs="Arial"/>
                <w:sz w:val="18"/>
                <w:szCs w:val="18"/>
              </w:rPr>
              <w:t>13</w:t>
            </w:r>
          </w:p>
        </w:tc>
        <w:tc>
          <w:tcPr>
            <w:tcW w:w="1275" w:type="dxa"/>
            <w:tcBorders>
              <w:lef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Catchment management</w:t>
            </w:r>
          </w:p>
        </w:tc>
        <w:tc>
          <w:tcPr>
            <w:tcW w:w="284" w:type="dxa"/>
            <w:tcBorders>
              <w:righ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392" w:firstLine="392"/>
              <w:rPr>
                <w:rFonts w:cs="Arial"/>
                <w:sz w:val="18"/>
                <w:szCs w:val="18"/>
              </w:rPr>
            </w:pPr>
            <w:r w:rsidRPr="00105E95">
              <w:rPr>
                <w:rFonts w:cs="Arial"/>
                <w:sz w:val="18"/>
                <w:szCs w:val="18"/>
              </w:rPr>
              <w:t>3</w:t>
            </w:r>
          </w:p>
        </w:tc>
        <w:tc>
          <w:tcPr>
            <w:tcW w:w="1134" w:type="dxa"/>
            <w:tcBorders>
              <w:lef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CRI</w:t>
            </w:r>
          </w:p>
        </w:tc>
        <w:tc>
          <w:tcPr>
            <w:tcW w:w="283" w:type="dxa"/>
            <w:tcBorders>
              <w:righ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6</w:t>
            </w:r>
          </w:p>
        </w:tc>
        <w:tc>
          <w:tcPr>
            <w:tcW w:w="1985" w:type="dxa"/>
            <w:tcBorders>
              <w:lef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Unplanned outage</w:t>
            </w:r>
          </w:p>
        </w:tc>
        <w:tc>
          <w:tcPr>
            <w:tcW w:w="283" w:type="dxa"/>
            <w:tcBorders>
              <w:righ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8</w:t>
            </w:r>
          </w:p>
        </w:tc>
        <w:tc>
          <w:tcPr>
            <w:tcW w:w="709" w:type="dxa"/>
            <w:tcBorders>
              <w:lef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C-Mex</w:t>
            </w:r>
          </w:p>
        </w:tc>
      </w:tr>
      <w:tr w:rsidR="00105E95" w:rsidRPr="00105E95" w:rsidTr="00DE6B27">
        <w:trPr>
          <w:trHeight w:val="311"/>
        </w:trPr>
        <w:tc>
          <w:tcPr>
            <w:tcW w:w="279" w:type="dxa"/>
            <w:tcBorders>
              <w:righ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2</w:t>
            </w:r>
          </w:p>
        </w:tc>
        <w:tc>
          <w:tcPr>
            <w:tcW w:w="1134" w:type="dxa"/>
            <w:tcBorders>
              <w:lef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Leakage</w:t>
            </w:r>
          </w:p>
        </w:tc>
        <w:tc>
          <w:tcPr>
            <w:tcW w:w="283" w:type="dxa"/>
            <w:tcBorders>
              <w:righ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16</w:t>
            </w:r>
          </w:p>
        </w:tc>
        <w:tc>
          <w:tcPr>
            <w:tcW w:w="1276" w:type="dxa"/>
            <w:tcBorders>
              <w:lef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Biodiversity</w:t>
            </w:r>
          </w:p>
        </w:tc>
        <w:tc>
          <w:tcPr>
            <w:tcW w:w="1559"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284" w:type="dxa"/>
            <w:tcBorders>
              <w:righ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392" w:firstLine="392"/>
              <w:rPr>
                <w:rFonts w:cs="Arial"/>
                <w:sz w:val="18"/>
                <w:szCs w:val="18"/>
              </w:rPr>
            </w:pPr>
            <w:r w:rsidRPr="00105E95">
              <w:rPr>
                <w:rFonts w:cs="Arial"/>
                <w:sz w:val="18"/>
                <w:szCs w:val="18"/>
              </w:rPr>
              <w:t>10</w:t>
            </w:r>
          </w:p>
        </w:tc>
        <w:tc>
          <w:tcPr>
            <w:tcW w:w="1134" w:type="dxa"/>
            <w:tcBorders>
              <w:lef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Voids</w:t>
            </w:r>
          </w:p>
        </w:tc>
        <w:tc>
          <w:tcPr>
            <w:tcW w:w="283" w:type="dxa"/>
            <w:tcBorders>
              <w:righ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7</w:t>
            </w:r>
          </w:p>
        </w:tc>
        <w:tc>
          <w:tcPr>
            <w:tcW w:w="1985" w:type="dxa"/>
            <w:tcBorders>
              <w:lef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Severe Droughts</w:t>
            </w:r>
          </w:p>
        </w:tc>
        <w:tc>
          <w:tcPr>
            <w:tcW w:w="283" w:type="dxa"/>
            <w:tcBorders>
              <w:righ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9</w:t>
            </w:r>
          </w:p>
        </w:tc>
        <w:tc>
          <w:tcPr>
            <w:tcW w:w="709" w:type="dxa"/>
            <w:tcBorders>
              <w:lef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D-Mex</w:t>
            </w:r>
          </w:p>
        </w:tc>
      </w:tr>
      <w:tr w:rsidR="00105E95" w:rsidRPr="00105E95" w:rsidTr="00DE6B27">
        <w:trPr>
          <w:trHeight w:val="353"/>
        </w:trPr>
        <w:tc>
          <w:tcPr>
            <w:tcW w:w="279" w:type="dxa"/>
            <w:tcBorders>
              <w:righ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4</w:t>
            </w:r>
          </w:p>
        </w:tc>
        <w:tc>
          <w:tcPr>
            <w:tcW w:w="1134" w:type="dxa"/>
            <w:tcBorders>
              <w:lef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Interruptions</w:t>
            </w:r>
          </w:p>
        </w:tc>
        <w:tc>
          <w:tcPr>
            <w:tcW w:w="283" w:type="dxa"/>
            <w:tcBorders>
              <w:righ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18</w:t>
            </w:r>
          </w:p>
        </w:tc>
        <w:tc>
          <w:tcPr>
            <w:tcW w:w="1276" w:type="dxa"/>
            <w:tcBorders>
              <w:lef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WQ Contacts</w:t>
            </w:r>
          </w:p>
        </w:tc>
        <w:tc>
          <w:tcPr>
            <w:tcW w:w="1559"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284" w:type="dxa"/>
            <w:tcBorders>
              <w:righ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392" w:firstLine="392"/>
              <w:rPr>
                <w:rFonts w:cs="Arial"/>
                <w:sz w:val="18"/>
                <w:szCs w:val="18"/>
              </w:rPr>
            </w:pPr>
            <w:r w:rsidRPr="00105E95">
              <w:rPr>
                <w:rFonts w:cs="Arial"/>
                <w:sz w:val="18"/>
                <w:szCs w:val="18"/>
              </w:rPr>
              <w:t>11</w:t>
            </w:r>
          </w:p>
        </w:tc>
        <w:tc>
          <w:tcPr>
            <w:tcW w:w="1134" w:type="dxa"/>
            <w:tcBorders>
              <w:lef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Affordability</w:t>
            </w:r>
          </w:p>
        </w:tc>
        <w:tc>
          <w:tcPr>
            <w:tcW w:w="283" w:type="dxa"/>
            <w:tcBorders>
              <w:righ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15</w:t>
            </w:r>
          </w:p>
        </w:tc>
        <w:tc>
          <w:tcPr>
            <w:tcW w:w="1985" w:type="dxa"/>
            <w:tcBorders>
              <w:lef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Resilience Schemes</w:t>
            </w:r>
          </w:p>
        </w:tc>
        <w:tc>
          <w:tcPr>
            <w:tcW w:w="992"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r>
      <w:tr w:rsidR="00105E95" w:rsidRPr="00105E95" w:rsidTr="00DE6B27">
        <w:trPr>
          <w:trHeight w:val="395"/>
        </w:trPr>
        <w:tc>
          <w:tcPr>
            <w:tcW w:w="279" w:type="dxa"/>
            <w:tcBorders>
              <w:right w:val="nil"/>
            </w:tcBorders>
            <w:shd w:val="clear" w:color="auto" w:fill="E2EFD9" w:themeFill="accent6"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5</w:t>
            </w:r>
          </w:p>
        </w:tc>
        <w:tc>
          <w:tcPr>
            <w:tcW w:w="1134" w:type="dxa"/>
            <w:tcBorders>
              <w:left w:val="nil"/>
            </w:tcBorders>
            <w:shd w:val="clear" w:color="auto" w:fill="E2EFD9" w:themeFill="accent6" w:themeFillTint="33"/>
            <w:tcMar>
              <w:left w:w="0" w:type="dxa"/>
              <w:right w:w="0" w:type="dxa"/>
            </w:tcMar>
          </w:tcPr>
          <w:p w:rsidR="00105E95" w:rsidRPr="00105E95" w:rsidRDefault="007C079B" w:rsidP="0042456D">
            <w:pPr>
              <w:tabs>
                <w:tab w:val="clear" w:pos="851"/>
              </w:tabs>
              <w:spacing w:after="0"/>
              <w:ind w:left="0"/>
              <w:rPr>
                <w:rFonts w:cs="Arial"/>
                <w:sz w:val="18"/>
                <w:szCs w:val="18"/>
              </w:rPr>
            </w:pPr>
            <w:r>
              <w:rPr>
                <w:rFonts w:cs="Arial"/>
                <w:sz w:val="18"/>
                <w:szCs w:val="18"/>
              </w:rPr>
              <w:t>M</w:t>
            </w:r>
            <w:r w:rsidR="00105E95" w:rsidRPr="00105E95">
              <w:rPr>
                <w:rFonts w:cs="Arial"/>
                <w:sz w:val="18"/>
                <w:szCs w:val="18"/>
              </w:rPr>
              <w:t xml:space="preserve">ains </w:t>
            </w:r>
            <w:r w:rsidR="0042456D">
              <w:rPr>
                <w:rFonts w:cs="Arial"/>
                <w:sz w:val="18"/>
                <w:szCs w:val="18"/>
              </w:rPr>
              <w:t>repairs</w:t>
            </w:r>
            <w:r>
              <w:rPr>
                <w:rFonts w:cs="Arial"/>
                <w:sz w:val="18"/>
                <w:szCs w:val="18"/>
              </w:rPr>
              <w:t xml:space="preserve"> (</w:t>
            </w:r>
            <w:r w:rsidR="0042456D">
              <w:rPr>
                <w:rFonts w:cs="Arial"/>
                <w:sz w:val="18"/>
                <w:szCs w:val="18"/>
              </w:rPr>
              <w:t>bursts</w:t>
            </w:r>
            <w:r>
              <w:rPr>
                <w:rFonts w:cs="Arial"/>
                <w:sz w:val="18"/>
                <w:szCs w:val="18"/>
              </w:rPr>
              <w:t>)</w:t>
            </w:r>
          </w:p>
        </w:tc>
        <w:tc>
          <w:tcPr>
            <w:tcW w:w="1559"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1559"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ight="-5612"/>
              <w:rPr>
                <w:rFonts w:cs="Arial"/>
                <w:sz w:val="18"/>
                <w:szCs w:val="18"/>
              </w:rPr>
            </w:pPr>
          </w:p>
        </w:tc>
        <w:tc>
          <w:tcPr>
            <w:tcW w:w="284" w:type="dxa"/>
            <w:tcBorders>
              <w:righ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392" w:firstLine="392"/>
              <w:rPr>
                <w:rFonts w:cs="Arial"/>
                <w:sz w:val="18"/>
                <w:szCs w:val="18"/>
              </w:rPr>
            </w:pPr>
            <w:r w:rsidRPr="00105E95">
              <w:rPr>
                <w:rFonts w:cs="Arial"/>
                <w:sz w:val="18"/>
                <w:szCs w:val="18"/>
              </w:rPr>
              <w:t>12</w:t>
            </w:r>
          </w:p>
        </w:tc>
        <w:tc>
          <w:tcPr>
            <w:tcW w:w="1134" w:type="dxa"/>
            <w:tcBorders>
              <w:lef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Vulnerability</w:t>
            </w:r>
          </w:p>
        </w:tc>
        <w:tc>
          <w:tcPr>
            <w:tcW w:w="283" w:type="dxa"/>
            <w:tcBorders>
              <w:right w:val="nil"/>
            </w:tcBorders>
            <w:shd w:val="clear" w:color="auto" w:fill="DEEAF6" w:themeFill="accent1"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19</w:t>
            </w:r>
          </w:p>
        </w:tc>
        <w:tc>
          <w:tcPr>
            <w:tcW w:w="1985" w:type="dxa"/>
            <w:tcBorders>
              <w:left w:val="nil"/>
            </w:tcBorders>
            <w:shd w:val="clear" w:color="auto" w:fill="DEEAF6" w:themeFill="accent1"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Temporary Usage Bans</w:t>
            </w:r>
          </w:p>
        </w:tc>
        <w:tc>
          <w:tcPr>
            <w:tcW w:w="992"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r>
      <w:tr w:rsidR="00105E95" w:rsidRPr="00105E95" w:rsidTr="00DE6B27">
        <w:trPr>
          <w:trHeight w:val="325"/>
        </w:trPr>
        <w:tc>
          <w:tcPr>
            <w:tcW w:w="1413"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1559"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1559"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284" w:type="dxa"/>
            <w:tcBorders>
              <w:righ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392" w:firstLine="392"/>
              <w:rPr>
                <w:rFonts w:cs="Arial"/>
                <w:sz w:val="18"/>
                <w:szCs w:val="18"/>
              </w:rPr>
            </w:pPr>
            <w:r w:rsidRPr="00105E95">
              <w:rPr>
                <w:rFonts w:cs="Arial"/>
                <w:sz w:val="18"/>
                <w:szCs w:val="18"/>
              </w:rPr>
              <w:t>17</w:t>
            </w:r>
          </w:p>
        </w:tc>
        <w:tc>
          <w:tcPr>
            <w:tcW w:w="1134" w:type="dxa"/>
            <w:tcBorders>
              <w:left w:val="nil"/>
            </w:tcBorders>
            <w:shd w:val="clear" w:color="auto" w:fill="FBE4D5" w:themeFill="accent2"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Low pressure</w:t>
            </w:r>
          </w:p>
        </w:tc>
        <w:tc>
          <w:tcPr>
            <w:tcW w:w="283" w:type="dxa"/>
            <w:tcBorders>
              <w:right w:val="nil"/>
            </w:tcBorders>
            <w:shd w:val="clear" w:color="auto" w:fill="DEEAF6" w:themeFill="accent1"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20</w:t>
            </w:r>
          </w:p>
        </w:tc>
        <w:tc>
          <w:tcPr>
            <w:tcW w:w="1985" w:type="dxa"/>
            <w:tcBorders>
              <w:left w:val="nil"/>
            </w:tcBorders>
            <w:shd w:val="clear" w:color="auto" w:fill="DEEAF6" w:themeFill="accent1"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Carbon</w:t>
            </w:r>
          </w:p>
        </w:tc>
        <w:tc>
          <w:tcPr>
            <w:tcW w:w="992"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r>
      <w:tr w:rsidR="00105E95" w:rsidRPr="00105E95" w:rsidTr="00DE6B27">
        <w:trPr>
          <w:trHeight w:val="325"/>
        </w:trPr>
        <w:tc>
          <w:tcPr>
            <w:tcW w:w="1413"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1559"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1559"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1418"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c>
          <w:tcPr>
            <w:tcW w:w="283" w:type="dxa"/>
            <w:tcBorders>
              <w:right w:val="nil"/>
            </w:tcBorders>
            <w:shd w:val="clear" w:color="auto" w:fill="DEEAF6" w:themeFill="accent1"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21</w:t>
            </w:r>
          </w:p>
        </w:tc>
        <w:tc>
          <w:tcPr>
            <w:tcW w:w="1985" w:type="dxa"/>
            <w:tcBorders>
              <w:left w:val="nil"/>
            </w:tcBorders>
            <w:shd w:val="clear" w:color="auto" w:fill="DEEAF6" w:themeFill="accent1" w:themeFillTint="33"/>
            <w:tcMar>
              <w:left w:w="0" w:type="dxa"/>
              <w:right w:w="0" w:type="dxa"/>
            </w:tcMar>
          </w:tcPr>
          <w:p w:rsidR="00105E95" w:rsidRPr="00105E95" w:rsidRDefault="00105E95" w:rsidP="00105E95">
            <w:pPr>
              <w:tabs>
                <w:tab w:val="clear" w:pos="851"/>
              </w:tabs>
              <w:spacing w:after="0"/>
              <w:ind w:left="0"/>
              <w:rPr>
                <w:rFonts w:cs="Arial"/>
                <w:sz w:val="18"/>
                <w:szCs w:val="18"/>
              </w:rPr>
            </w:pPr>
            <w:r w:rsidRPr="00105E95">
              <w:rPr>
                <w:rFonts w:cs="Arial"/>
                <w:sz w:val="18"/>
                <w:szCs w:val="18"/>
              </w:rPr>
              <w:t>Health &amp; Safety</w:t>
            </w:r>
          </w:p>
        </w:tc>
        <w:tc>
          <w:tcPr>
            <w:tcW w:w="992" w:type="dxa"/>
            <w:gridSpan w:val="2"/>
            <w:shd w:val="clear" w:color="auto" w:fill="F2F2F2" w:themeFill="background1" w:themeFillShade="F2"/>
            <w:tcMar>
              <w:left w:w="0" w:type="dxa"/>
              <w:right w:w="0" w:type="dxa"/>
            </w:tcMar>
          </w:tcPr>
          <w:p w:rsidR="00105E95" w:rsidRPr="00105E95" w:rsidRDefault="00105E95" w:rsidP="00105E95">
            <w:pPr>
              <w:tabs>
                <w:tab w:val="clear" w:pos="851"/>
              </w:tabs>
              <w:spacing w:after="0"/>
              <w:ind w:left="0"/>
              <w:rPr>
                <w:rFonts w:cs="Arial"/>
                <w:sz w:val="18"/>
                <w:szCs w:val="18"/>
              </w:rPr>
            </w:pPr>
          </w:p>
        </w:tc>
      </w:tr>
    </w:tbl>
    <w:p w:rsidR="005F5B0C" w:rsidRPr="00A61F53" w:rsidRDefault="005F5B0C" w:rsidP="005F5B0C">
      <w:pPr>
        <w:rPr>
          <w:sz w:val="16"/>
          <w:szCs w:val="16"/>
        </w:rPr>
      </w:pPr>
      <w:r w:rsidRPr="00A61F53">
        <w:rPr>
          <w:rFonts w:cs="Arial"/>
          <w:sz w:val="16"/>
          <w:szCs w:val="16"/>
        </w:rPr>
        <w:t xml:space="preserve">Key: </w:t>
      </w:r>
      <w:r w:rsidRPr="00A61F53">
        <w:rPr>
          <w:rFonts w:cs="Arial"/>
          <w:color w:val="C5E0B3" w:themeColor="accent6" w:themeTint="66"/>
          <w:sz w:val="32"/>
          <w:szCs w:val="32"/>
        </w:rPr>
        <w:t>■</w:t>
      </w:r>
      <w:r w:rsidRPr="00A61F53">
        <w:rPr>
          <w:rFonts w:cs="Arial"/>
          <w:color w:val="C5E0B3" w:themeColor="accent6" w:themeTint="66"/>
          <w:sz w:val="16"/>
          <w:szCs w:val="16"/>
        </w:rPr>
        <w:t xml:space="preserve"> </w:t>
      </w:r>
      <w:r w:rsidRPr="00A61F53">
        <w:rPr>
          <w:rFonts w:cs="Arial"/>
          <w:sz w:val="16"/>
          <w:szCs w:val="16"/>
        </w:rPr>
        <w:t xml:space="preserve">– common </w:t>
      </w:r>
      <w:r>
        <w:rPr>
          <w:rFonts w:cs="Arial"/>
          <w:sz w:val="16"/>
          <w:szCs w:val="16"/>
        </w:rPr>
        <w:t xml:space="preserve">     </w:t>
      </w:r>
      <w:r w:rsidRPr="00A61F53">
        <w:rPr>
          <w:rFonts w:cs="Arial"/>
          <w:sz w:val="16"/>
          <w:szCs w:val="16"/>
        </w:rPr>
        <w:t xml:space="preserve">        </w:t>
      </w:r>
      <w:r w:rsidRPr="00A61F53">
        <w:rPr>
          <w:rFonts w:cs="Arial"/>
          <w:color w:val="F7CAAC" w:themeColor="accent2" w:themeTint="66"/>
          <w:sz w:val="32"/>
          <w:szCs w:val="32"/>
        </w:rPr>
        <w:t>■</w:t>
      </w:r>
      <w:r w:rsidRPr="00A61F53">
        <w:rPr>
          <w:rFonts w:cs="Arial"/>
          <w:color w:val="C5E0B3" w:themeColor="accent6" w:themeTint="66"/>
          <w:sz w:val="16"/>
          <w:szCs w:val="16"/>
        </w:rPr>
        <w:t xml:space="preserve"> </w:t>
      </w:r>
      <w:r w:rsidRPr="00A61F53">
        <w:rPr>
          <w:rFonts w:cs="Arial"/>
          <w:sz w:val="16"/>
          <w:szCs w:val="16"/>
        </w:rPr>
        <w:t xml:space="preserve">– </w:t>
      </w:r>
      <w:r>
        <w:rPr>
          <w:rFonts w:cs="Arial"/>
          <w:sz w:val="16"/>
          <w:szCs w:val="16"/>
        </w:rPr>
        <w:t>bespoke</w:t>
      </w:r>
      <w:r w:rsidRPr="00A61F53">
        <w:rPr>
          <w:rFonts w:cs="Arial"/>
          <w:sz w:val="16"/>
          <w:szCs w:val="16"/>
        </w:rPr>
        <w:t xml:space="preserve">               </w:t>
      </w:r>
      <w:r w:rsidRPr="00A61F53">
        <w:rPr>
          <w:rFonts w:cs="Arial"/>
          <w:color w:val="D9E2F3" w:themeColor="accent5" w:themeTint="33"/>
          <w:sz w:val="32"/>
          <w:szCs w:val="32"/>
        </w:rPr>
        <w:t>■</w:t>
      </w:r>
      <w:r w:rsidRPr="00A61F53">
        <w:rPr>
          <w:rFonts w:cs="Arial"/>
          <w:color w:val="C5E0B3" w:themeColor="accent6" w:themeTint="66"/>
          <w:sz w:val="16"/>
          <w:szCs w:val="16"/>
        </w:rPr>
        <w:t xml:space="preserve"> </w:t>
      </w:r>
      <w:r>
        <w:rPr>
          <w:rFonts w:cs="Arial"/>
          <w:sz w:val="16"/>
          <w:szCs w:val="16"/>
        </w:rPr>
        <w:t>–</w:t>
      </w:r>
      <w:r w:rsidRPr="00A61F53">
        <w:rPr>
          <w:rFonts w:cs="Arial"/>
          <w:sz w:val="16"/>
          <w:szCs w:val="16"/>
        </w:rPr>
        <w:t xml:space="preserve"> </w:t>
      </w:r>
      <w:r>
        <w:rPr>
          <w:rFonts w:cs="Arial"/>
          <w:sz w:val="16"/>
          <w:szCs w:val="16"/>
        </w:rPr>
        <w:t>PR14 PC</w:t>
      </w:r>
    </w:p>
    <w:p w:rsidR="00CA54C7" w:rsidRDefault="00CA54C7" w:rsidP="007077FC">
      <w:r>
        <w:t xml:space="preserve">Our reputational ODIs reflect </w:t>
      </w:r>
      <w:r w:rsidR="00A35834">
        <w:t>measures, which</w:t>
      </w:r>
      <w:r>
        <w:t xml:space="preserve"> are important to customers, but not ones we believe should be subject to financial incentives.  Specifically customers expect good Health and Safety practice.  They also expect us to be reducing the amount of carbon we produce – given its high profile.  We will report both of these measures to stakeholders as we discuss in Section 3.5.</w:t>
      </w:r>
    </w:p>
    <w:p w:rsidR="00CA54C7" w:rsidRDefault="00CA54C7" w:rsidP="007077FC">
      <w:r>
        <w:t>Our drought resilience metric is consistent with our Water Resources Management Plan, as discussed further in section 3.7.</w:t>
      </w:r>
    </w:p>
    <w:p w:rsidR="004132EC" w:rsidRPr="00E54A05" w:rsidRDefault="004132EC" w:rsidP="007077FC">
      <w:r w:rsidRPr="00E54A05">
        <w:t xml:space="preserve">All incentives impact solely on Company revenue and not the Regulatory Capital Value of the business and apply either in-period or at the end of the period, depending on the individual PC.  These are documented in </w:t>
      </w:r>
      <w:r w:rsidR="00A35834">
        <w:t xml:space="preserve">Ofwat table </w:t>
      </w:r>
      <w:r w:rsidRPr="00E54A05">
        <w:t xml:space="preserve">APP1.  </w:t>
      </w:r>
    </w:p>
    <w:p w:rsidR="004132EC" w:rsidRDefault="00DC3BE9" w:rsidP="007077FC">
      <w:r w:rsidRPr="00E54A05">
        <w:t>Similarly,</w:t>
      </w:r>
      <w:r w:rsidR="004132EC" w:rsidRPr="00E54A05">
        <w:t xml:space="preserve"> APP1 provides detail of individual targets for the period 2020-25.  In many cases there is no explicit glide path to our target, for example interruptions is 3 minutes each year, whereas leakage for example ha</w:t>
      </w:r>
      <w:r w:rsidR="004132EC">
        <w:t>s</w:t>
      </w:r>
      <w:r w:rsidR="004132EC" w:rsidRPr="00E54A05">
        <w:t xml:space="preserve"> </w:t>
      </w:r>
      <w:r w:rsidR="004132EC">
        <w:t xml:space="preserve">a </w:t>
      </w:r>
      <w:r w:rsidR="004132EC" w:rsidRPr="00E54A05">
        <w:t>glide path</w:t>
      </w:r>
      <w:r w:rsidR="004132EC">
        <w:t xml:space="preserve"> to the </w:t>
      </w:r>
      <w:r w:rsidR="004132EC" w:rsidRPr="00E54A05">
        <w:t>15%</w:t>
      </w:r>
      <w:r w:rsidR="004132EC">
        <w:t xml:space="preserve"> </w:t>
      </w:r>
      <w:r w:rsidR="004132EC" w:rsidRPr="00E54A05">
        <w:t>reduction</w:t>
      </w:r>
      <w:r w:rsidR="004132EC">
        <w:t>.</w:t>
      </w:r>
    </w:p>
    <w:p w:rsidR="001E6DDD" w:rsidRPr="008B7D2A" w:rsidRDefault="001E6DDD" w:rsidP="001E6DDD">
      <w:pPr>
        <w:pStyle w:val="Heading3"/>
      </w:pPr>
      <w:bookmarkStart w:id="29" w:name="_Toc523651242"/>
      <w:r>
        <w:t>Enhanced Incentives</w:t>
      </w:r>
      <w:bookmarkEnd w:id="29"/>
    </w:p>
    <w:p w:rsidR="001E6DDD" w:rsidRDefault="001E6DDD" w:rsidP="001E6DDD">
      <w:r>
        <w:t>As noted above the Company have chosen to apply enhanced payments against 4 of the 9 common performance commitments</w:t>
      </w:r>
      <w:r w:rsidR="00FA3F79">
        <w:t>;</w:t>
      </w:r>
      <w:r>
        <w:t xml:space="preserve"> PCC, leakage, interruptions and mains repairs.  Enhanced payments are accompanied by an enhanced under performance penalty rate for below standard or poor performance.  </w:t>
      </w:r>
      <w:r w:rsidR="00B41D26">
        <w:t xml:space="preserve">These are set at least the current lowest quartile performance.  </w:t>
      </w:r>
      <w:r>
        <w:t>Similarly we have set the threshold for the enhanced outperformance at the current leading company or higher.</w:t>
      </w:r>
    </w:p>
    <w:p w:rsidR="001E6DDD" w:rsidRPr="0038774E" w:rsidRDefault="001E6DDD" w:rsidP="001E6DDD">
      <w:r>
        <w:t>By way of illustration, t</w:t>
      </w:r>
      <w:r w:rsidRPr="0038774E">
        <w:t xml:space="preserve">he graph below shows </w:t>
      </w:r>
      <w:r>
        <w:t xml:space="preserve">the impact of introducing enhanced payments </w:t>
      </w:r>
      <w:r w:rsidRPr="0038774E">
        <w:t>for per capita consumption for 2024/25.</w:t>
      </w:r>
      <w:r>
        <w:t xml:space="preserve">  Similarly, principles apply for leakage, interruptions and </w:t>
      </w:r>
      <w:r w:rsidRPr="003527CF">
        <w:t>mains repairs</w:t>
      </w:r>
      <w:r>
        <w:t>.</w:t>
      </w:r>
    </w:p>
    <w:p w:rsidR="001E6DDD" w:rsidRPr="0038774E" w:rsidRDefault="00B41D26" w:rsidP="00B41D26">
      <w:pPr>
        <w:jc w:val="center"/>
        <w:rPr>
          <w:rFonts w:cs="Arial"/>
          <w:sz w:val="22"/>
          <w:szCs w:val="22"/>
        </w:rPr>
      </w:pPr>
      <w:r w:rsidRPr="00B41D26">
        <w:rPr>
          <w:noProof/>
        </w:rPr>
        <w:drawing>
          <wp:inline distT="0" distB="0" distL="0" distR="0">
            <wp:extent cx="3644900" cy="220747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022" cy="2214816"/>
                    </a:xfrm>
                    <a:prstGeom prst="rect">
                      <a:avLst/>
                    </a:prstGeom>
                    <a:noFill/>
                    <a:ln>
                      <a:noFill/>
                    </a:ln>
                  </pic:spPr>
                </pic:pic>
              </a:graphicData>
            </a:graphic>
          </wp:inline>
        </w:drawing>
      </w:r>
    </w:p>
    <w:p w:rsidR="001E6DDD" w:rsidRPr="0038774E" w:rsidRDefault="001E6DDD" w:rsidP="001E6DDD">
      <w:r w:rsidRPr="0038774E">
        <w:t xml:space="preserve">Our </w:t>
      </w:r>
      <w:r>
        <w:t xml:space="preserve">challenging </w:t>
      </w:r>
      <w:r w:rsidRPr="0038774E">
        <w:t xml:space="preserve">target for per capita consumption for 2024/25 is 135 l/h/d.  At this point, the Company </w:t>
      </w:r>
      <w:r w:rsidR="00CC31F6">
        <w:t xml:space="preserve">receives </w:t>
      </w:r>
      <w:r w:rsidRPr="0038774E">
        <w:t xml:space="preserve">no reward </w:t>
      </w:r>
      <w:r w:rsidR="00CC31F6">
        <w:t xml:space="preserve">or </w:t>
      </w:r>
      <w:r w:rsidRPr="0038774E">
        <w:t>penalty.</w:t>
      </w:r>
    </w:p>
    <w:p w:rsidR="001E6DDD" w:rsidRPr="0038774E" w:rsidRDefault="001E6DDD" w:rsidP="001E6DDD">
      <w:r w:rsidRPr="0038774E">
        <w:t xml:space="preserve">The expected range for </w:t>
      </w:r>
      <w:r>
        <w:t xml:space="preserve">PCC </w:t>
      </w:r>
      <w:r w:rsidRPr="0038774E">
        <w:t>is 12</w:t>
      </w:r>
      <w:r w:rsidR="008208A0">
        <w:t xml:space="preserve">2 to 148 </w:t>
      </w:r>
      <w:r w:rsidRPr="0038774E">
        <w:t>l/h/d with rewards</w:t>
      </w:r>
      <w:r w:rsidR="008D2111">
        <w:t xml:space="preserve"> of</w:t>
      </w:r>
      <w:r w:rsidRPr="0038774E">
        <w:t xml:space="preserve"> £81,000 for 12</w:t>
      </w:r>
      <w:r w:rsidR="008208A0">
        <w:t>2</w:t>
      </w:r>
      <w:r w:rsidRPr="0038774E">
        <w:t xml:space="preserve"> l/h/d and an equal penalty of £81,000 for 14</w:t>
      </w:r>
      <w:r w:rsidR="008208A0">
        <w:t>8</w:t>
      </w:r>
      <w:r w:rsidRPr="0038774E">
        <w:t xml:space="preserve"> l/h/d.</w:t>
      </w:r>
      <w:r w:rsidR="008208A0">
        <w:t xml:space="preserve"> </w:t>
      </w:r>
    </w:p>
    <w:p w:rsidR="001E6DDD" w:rsidRDefault="001E6DDD" w:rsidP="001E6DDD">
      <w:r w:rsidRPr="0038774E">
        <w:t>Enhanced reward</w:t>
      </w:r>
      <w:r w:rsidR="008208A0">
        <w:t>s</w:t>
      </w:r>
      <w:r w:rsidRPr="0038774E">
        <w:t xml:space="preserve"> and penalties are for performance in excess of these initial ranges.  If these results are delivered, they will drive the industry </w:t>
      </w:r>
      <w:r>
        <w:t xml:space="preserve">performance in </w:t>
      </w:r>
      <w:r w:rsidRPr="0038774E">
        <w:t xml:space="preserve">subsequent AMPs. </w:t>
      </w:r>
      <w:r>
        <w:t>W</w:t>
      </w:r>
      <w:r w:rsidRPr="0038774E">
        <w:t>e have assumed that enhanced rewards are 4 times greater than the stated preference</w:t>
      </w:r>
      <w:r>
        <w:t xml:space="preserve"> at a set point above and below the target</w:t>
      </w:r>
      <w:r w:rsidRPr="0038774E">
        <w:t xml:space="preserve">.  This is in line with the Ofwat methodology but not explicitly supported by customers.  </w:t>
      </w:r>
    </w:p>
    <w:p w:rsidR="001E6DDD" w:rsidRPr="0038774E" w:rsidRDefault="001E6DDD" w:rsidP="001E6DDD">
      <w:r w:rsidRPr="0038774E">
        <w:t xml:space="preserve">For </w:t>
      </w:r>
      <w:r>
        <w:t>PCC</w:t>
      </w:r>
      <w:r w:rsidRPr="0038774E">
        <w:t xml:space="preserve"> this results in a reward of £324,000 for 115 l/h/d and a penalty of £324,000 for 155 l/h/d.</w:t>
      </w:r>
      <w:r>
        <w:t xml:space="preserve">  So for example, for every litre </w:t>
      </w:r>
      <w:r w:rsidR="00233DCF">
        <w:t xml:space="preserve">below </w:t>
      </w:r>
      <w:r>
        <w:t>12</w:t>
      </w:r>
      <w:r w:rsidR="00E46096">
        <w:t>2</w:t>
      </w:r>
      <w:r>
        <w:t xml:space="preserve"> l/h/d a payment is applied</w:t>
      </w:r>
      <w:r w:rsidR="00E46096">
        <w:t xml:space="preserve"> at </w:t>
      </w:r>
      <w:r>
        <w:t>four times the standard rate.</w:t>
      </w:r>
    </w:p>
    <w:p w:rsidR="004132EC" w:rsidRPr="00B172C6" w:rsidRDefault="004132EC" w:rsidP="0005234B">
      <w:pPr>
        <w:pStyle w:val="Heading2"/>
      </w:pPr>
      <w:bookmarkStart w:id="30" w:name="_Toc523651243"/>
      <w:r>
        <w:t>RoRE of ODI package</w:t>
      </w:r>
      <w:bookmarkEnd w:id="30"/>
    </w:p>
    <w:p w:rsidR="004132EC" w:rsidRDefault="004132EC" w:rsidP="00ED27E0">
      <w:r w:rsidRPr="0038774E">
        <w:t>When we look at the entire package, we calculate the P90 rewards to be 1.</w:t>
      </w:r>
      <w:r>
        <w:t>1</w:t>
      </w:r>
      <w:r w:rsidRPr="0038774E">
        <w:t>% uplift to RoRE and the P10 penalties to be a reduction 1.</w:t>
      </w:r>
      <w:r>
        <w:t>5</w:t>
      </w:r>
      <w:r w:rsidRPr="0038774E">
        <w:t>%, in line with the Ofwat expectation as detailed in the table below.</w:t>
      </w:r>
      <w:r>
        <w:t xml:space="preserve">  </w:t>
      </w:r>
      <w:r w:rsidRPr="0038774E">
        <w:t>The table below shows the P90 (best performance) and P10 (w</w:t>
      </w:r>
      <w:r w:rsidR="00001BA8">
        <w:t>orst performance).</w:t>
      </w:r>
    </w:p>
    <w:p w:rsidR="004132EC" w:rsidRPr="00ED27E0" w:rsidRDefault="004132EC" w:rsidP="00ED27E0">
      <w:pPr>
        <w:rPr>
          <w:b/>
        </w:rPr>
      </w:pPr>
      <w:r w:rsidRPr="00ED27E0">
        <w:rPr>
          <w:b/>
        </w:rPr>
        <w:t>Financial impact of proposed Rewards and Penalties</w:t>
      </w:r>
    </w:p>
    <w:tbl>
      <w:tblPr>
        <w:tblW w:w="8075" w:type="dxa"/>
        <w:tblInd w:w="771" w:type="dxa"/>
        <w:tblLayout w:type="fixed"/>
        <w:tblLook w:val="04A0" w:firstRow="1" w:lastRow="0" w:firstColumn="1" w:lastColumn="0" w:noHBand="0" w:noVBand="1"/>
      </w:tblPr>
      <w:tblGrid>
        <w:gridCol w:w="2972"/>
        <w:gridCol w:w="1134"/>
        <w:gridCol w:w="1843"/>
        <w:gridCol w:w="2126"/>
      </w:tblGrid>
      <w:tr w:rsidR="00DF4F8C" w:rsidRPr="00DF4F8C" w:rsidTr="00D645C1">
        <w:trPr>
          <w:trHeight w:val="315"/>
        </w:trPr>
        <w:tc>
          <w:tcPr>
            <w:tcW w:w="410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105E95" w:rsidRPr="00DF4F8C" w:rsidRDefault="00105E95" w:rsidP="00D645C1">
            <w:pPr>
              <w:tabs>
                <w:tab w:val="clear" w:pos="851"/>
              </w:tabs>
              <w:spacing w:after="0"/>
              <w:ind w:left="0"/>
              <w:jc w:val="center"/>
              <w:rPr>
                <w:rFonts w:cs="Arial"/>
                <w:bCs/>
                <w:color w:val="FFFFFF" w:themeColor="background1"/>
                <w:sz w:val="16"/>
                <w:szCs w:val="16"/>
              </w:rPr>
            </w:pPr>
          </w:p>
        </w:tc>
        <w:tc>
          <w:tcPr>
            <w:tcW w:w="1843" w:type="dxa"/>
            <w:tcBorders>
              <w:top w:val="single" w:sz="4" w:space="0" w:color="auto"/>
              <w:left w:val="nil"/>
              <w:bottom w:val="single" w:sz="4" w:space="0" w:color="auto"/>
              <w:right w:val="single" w:sz="4" w:space="0" w:color="auto"/>
            </w:tcBorders>
            <w:shd w:val="clear" w:color="auto" w:fill="2E74B5" w:themeFill="accent1" w:themeFillShade="BF"/>
            <w:noWrap/>
            <w:vAlign w:val="center"/>
          </w:tcPr>
          <w:p w:rsidR="00105E95" w:rsidRPr="00DF4F8C" w:rsidRDefault="00105E95" w:rsidP="00D645C1">
            <w:pPr>
              <w:tabs>
                <w:tab w:val="clear" w:pos="851"/>
              </w:tabs>
              <w:spacing w:after="0"/>
              <w:ind w:left="0"/>
              <w:jc w:val="center"/>
              <w:rPr>
                <w:rFonts w:cs="Arial"/>
                <w:b/>
                <w:bCs/>
                <w:color w:val="FFFFFF" w:themeColor="background1"/>
                <w:sz w:val="16"/>
                <w:szCs w:val="16"/>
              </w:rPr>
            </w:pPr>
            <w:r w:rsidRPr="00DF4F8C">
              <w:rPr>
                <w:rFonts w:cs="Arial"/>
                <w:b/>
                <w:bCs/>
                <w:color w:val="FFFFFF" w:themeColor="background1"/>
                <w:sz w:val="16"/>
                <w:szCs w:val="16"/>
              </w:rPr>
              <w:t>P90 Maximum</w:t>
            </w:r>
          </w:p>
        </w:tc>
        <w:tc>
          <w:tcPr>
            <w:tcW w:w="2126" w:type="dxa"/>
            <w:tcBorders>
              <w:top w:val="single" w:sz="4" w:space="0" w:color="auto"/>
              <w:left w:val="nil"/>
              <w:bottom w:val="single" w:sz="4" w:space="0" w:color="auto"/>
              <w:right w:val="single" w:sz="4" w:space="0" w:color="auto"/>
            </w:tcBorders>
            <w:shd w:val="clear" w:color="auto" w:fill="2E74B5" w:themeFill="accent1" w:themeFillShade="BF"/>
            <w:noWrap/>
            <w:vAlign w:val="center"/>
          </w:tcPr>
          <w:p w:rsidR="00105E95" w:rsidRPr="00DF4F8C" w:rsidRDefault="00105E95" w:rsidP="00D645C1">
            <w:pPr>
              <w:tabs>
                <w:tab w:val="clear" w:pos="851"/>
              </w:tabs>
              <w:spacing w:after="0"/>
              <w:ind w:left="0"/>
              <w:jc w:val="center"/>
              <w:rPr>
                <w:rFonts w:cs="Arial"/>
                <w:b/>
                <w:bCs/>
                <w:color w:val="FFFFFF" w:themeColor="background1"/>
                <w:sz w:val="16"/>
                <w:szCs w:val="16"/>
              </w:rPr>
            </w:pPr>
            <w:r w:rsidRPr="00DF4F8C">
              <w:rPr>
                <w:rFonts w:cs="Arial"/>
                <w:b/>
                <w:bCs/>
                <w:color w:val="FFFFFF" w:themeColor="background1"/>
                <w:sz w:val="16"/>
                <w:szCs w:val="16"/>
              </w:rPr>
              <w:t>P10 Minimum</w:t>
            </w:r>
          </w:p>
        </w:tc>
      </w:tr>
      <w:tr w:rsidR="00105E95" w:rsidRPr="00DF4F8C" w:rsidTr="00D645C1">
        <w:trPr>
          <w:trHeight w:val="249"/>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Five year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£000s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3,219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-4,408</w:t>
            </w:r>
          </w:p>
        </w:tc>
      </w:tr>
      <w:tr w:rsidR="00105E95" w:rsidRPr="00DF4F8C" w:rsidTr="00D645C1">
        <w:trPr>
          <w:trHeight w:val="283"/>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Annual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£000s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644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-882</w:t>
            </w:r>
          </w:p>
        </w:tc>
      </w:tr>
      <w:tr w:rsidR="00105E95" w:rsidRPr="00DF4F8C" w:rsidTr="00D645C1">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RoRE based on Equity of (£000s)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£58,520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1.1%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-1.5%</w:t>
            </w:r>
          </w:p>
        </w:tc>
      </w:tr>
      <w:tr w:rsidR="00105E95" w:rsidRPr="00DF4F8C" w:rsidTr="00D645C1">
        <w:trPr>
          <w:trHeight w:val="277"/>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£/customer / year</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ind w:left="0"/>
              <w:jc w:val="center"/>
              <w:rPr>
                <w:rFonts w:cs="Arial"/>
                <w:bCs/>
                <w:color w:val="000000"/>
                <w:sz w:val="16"/>
                <w:szCs w:val="16"/>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1.97</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ind w:left="0"/>
              <w:jc w:val="center"/>
              <w:rPr>
                <w:rFonts w:cs="Arial"/>
                <w:bCs/>
                <w:color w:val="000000"/>
                <w:sz w:val="16"/>
                <w:szCs w:val="16"/>
              </w:rPr>
            </w:pPr>
            <w:r w:rsidRPr="00DF4F8C">
              <w:rPr>
                <w:rFonts w:cs="Arial"/>
                <w:bCs/>
                <w:color w:val="000000"/>
                <w:sz w:val="16"/>
                <w:szCs w:val="16"/>
              </w:rPr>
              <w:t>-2.70</w:t>
            </w:r>
          </w:p>
        </w:tc>
      </w:tr>
    </w:tbl>
    <w:p w:rsidR="00C3022E" w:rsidRDefault="00C3022E" w:rsidP="00C3022E">
      <w:pPr>
        <w:spacing w:after="0"/>
      </w:pPr>
    </w:p>
    <w:p w:rsidR="004132EC" w:rsidRDefault="004132EC" w:rsidP="00C3022E">
      <w:r w:rsidRPr="00DC0E9C">
        <w:t xml:space="preserve">Please </w:t>
      </w:r>
      <w:r>
        <w:t>note the Regulatory Equity is equivalent to 40% of the opening Regulatory Capital Value of the business for the AMP7 period.  We considered using the average for AMP7, but as this is significantly influenced by the construction of Havant Thicket Reservoir, which will not be operational until AMP8 a more relevant denominator is the underlying RCV of the business.</w:t>
      </w:r>
    </w:p>
    <w:p w:rsidR="00B41D26" w:rsidRPr="00DC0E9C" w:rsidRDefault="00B41D26" w:rsidP="00C3022E">
      <w:r>
        <w:t>We commit to engaging with our customers on how asset health performance, to protect current customers, future customers and the environment.  Further, we think the Performance Commitments we have chosen are easy for customers and stakeholders to understand.</w:t>
      </w:r>
    </w:p>
    <w:p w:rsidR="004132EC" w:rsidRDefault="004132EC" w:rsidP="00C3022E">
      <w:r>
        <w:t xml:space="preserve">The maximum impact </w:t>
      </w:r>
      <w:r w:rsidR="00DC13ED">
        <w:t xml:space="preserve">on </w:t>
      </w:r>
      <w:r>
        <w:t>customers is £1.97 to -£</w:t>
      </w:r>
      <w:r w:rsidR="00DC3BE9">
        <w:t>2.70, which</w:t>
      </w:r>
      <w:r>
        <w:t xml:space="preserve"> are circa 2% and -3% on customer bills.  </w:t>
      </w:r>
      <w:r w:rsidR="00DC13ED">
        <w:t>See Appendix 3.9.</w:t>
      </w:r>
    </w:p>
    <w:p w:rsidR="004132EC" w:rsidRDefault="004132EC" w:rsidP="00C3022E">
      <w:r w:rsidRPr="0038774E">
        <w:t>At PR14 th</w:t>
      </w:r>
      <w:r>
        <w:t>e</w:t>
      </w:r>
      <w:r w:rsidRPr="0038774E">
        <w:t xml:space="preserve"> </w:t>
      </w:r>
      <w:r>
        <w:t xml:space="preserve">RoRE </w:t>
      </w:r>
      <w:r w:rsidRPr="0038774E">
        <w:t>range was 0.5% rewards to 2.1% penalty.</w:t>
      </w:r>
      <w:r w:rsidR="00DC3BE9">
        <w:t xml:space="preserve"> </w:t>
      </w:r>
      <w:r w:rsidR="00001BA8">
        <w:t xml:space="preserve"> </w:t>
      </w:r>
      <w:r>
        <w:t xml:space="preserve">Detail of the financial incentives is provided in the APP1.  </w:t>
      </w:r>
    </w:p>
    <w:p w:rsidR="00C3022E" w:rsidRDefault="00C3022E" w:rsidP="00C3022E">
      <w:pPr>
        <w:rPr>
          <w:rFonts w:ascii="Calibri" w:hAnsi="Calibri"/>
          <w:sz w:val="22"/>
          <w:szCs w:val="22"/>
        </w:rPr>
      </w:pPr>
      <w:r>
        <w:t>Chapter 10 sets out in more detail the Ro</w:t>
      </w:r>
      <w:r w:rsidR="00001BA8">
        <w:t xml:space="preserve">RE analysis of our ODI package. </w:t>
      </w:r>
      <w:r>
        <w:t xml:space="preserve"> In considering the ODI RoRE range in in this chapter we have excluded the impact of RCV growth due to HTWSR (since this is recovered entirely through bulk supply charges and is not subject to an</w:t>
      </w:r>
      <w:r w:rsidR="00A35834">
        <w:t xml:space="preserve">y related rewards &amp; penalties). </w:t>
      </w:r>
      <w:r>
        <w:t xml:space="preserve"> We have also used a wider range of outcomes for rewards and penalties than in Chapter 10.</w:t>
      </w:r>
      <w:r w:rsidR="00A35834">
        <w:t xml:space="preserve"> </w:t>
      </w:r>
      <w:r>
        <w:t xml:space="preserve"> This is because the RoRE analysis in this chapter recognises the need for a step change in stretching service performance, whereas the range used for Chapter 10</w:t>
      </w:r>
      <w:r w:rsidR="00A35834">
        <w:t xml:space="preserve"> is based on historical trends. </w:t>
      </w:r>
      <w:r>
        <w:t xml:space="preserve"> This difference in approach results in a higher RoRE range </w:t>
      </w:r>
      <w:r w:rsidR="00A93666">
        <w:t xml:space="preserve">than reported in Chapter 10, </w:t>
      </w:r>
      <w:r>
        <w:t>which we believe is representative of both the underlying economic substance and the future change in industry performance.</w:t>
      </w:r>
    </w:p>
    <w:p w:rsidR="00C3022E" w:rsidRDefault="00C3022E" w:rsidP="00C3022E">
      <w:r>
        <w:t>The factors having the most significant impact on the ODI RoRE are rewards &amp; penalties relating to “interru</w:t>
      </w:r>
      <w:r w:rsidR="00001BA8">
        <w:t>ptions to supply” and “</w:t>
      </w:r>
      <w:r w:rsidR="0042456D">
        <w:t>mains repairs (</w:t>
      </w:r>
      <w:r w:rsidR="00001BA8">
        <w:t>bursts</w:t>
      </w:r>
      <w:r w:rsidR="0042456D">
        <w:t>)</w:t>
      </w:r>
      <w:r w:rsidR="00001BA8">
        <w:t xml:space="preserve">”. </w:t>
      </w:r>
      <w:r>
        <w:t xml:space="preserve"> We have considered this as part of our overall analysis of delivery risk for the Plan.</w:t>
      </w:r>
    </w:p>
    <w:p w:rsidR="004132EC" w:rsidRDefault="004132EC" w:rsidP="00946D16">
      <w:pPr>
        <w:pStyle w:val="Heading3"/>
      </w:pPr>
      <w:bookmarkStart w:id="31" w:name="_Toc523651244"/>
      <w:r>
        <w:t>Asset Health</w:t>
      </w:r>
      <w:bookmarkEnd w:id="31"/>
    </w:p>
    <w:p w:rsidR="004132EC" w:rsidRDefault="004132EC" w:rsidP="00ED27E0">
      <w:r>
        <w:t>The Company has proposed the following for indicators for asset health:-</w:t>
      </w:r>
    </w:p>
    <w:p w:rsidR="004132EC" w:rsidRDefault="004132EC" w:rsidP="00ED27E0">
      <w:pPr>
        <w:pStyle w:val="Bullets"/>
      </w:pPr>
      <w:r>
        <w:t xml:space="preserve">Mains repairs (per 1000km) </w:t>
      </w:r>
    </w:p>
    <w:p w:rsidR="004132EC" w:rsidRDefault="004132EC" w:rsidP="00ED27E0">
      <w:pPr>
        <w:pStyle w:val="Bullets"/>
      </w:pPr>
      <w:r>
        <w:t>Unplanned outage</w:t>
      </w:r>
    </w:p>
    <w:p w:rsidR="004132EC" w:rsidRDefault="004132EC" w:rsidP="00ED27E0">
      <w:pPr>
        <w:pStyle w:val="Bullets"/>
      </w:pPr>
      <w:r>
        <w:t>Customers at risk of low pressure</w:t>
      </w:r>
    </w:p>
    <w:p w:rsidR="004132EC" w:rsidRDefault="004132EC" w:rsidP="00ED27E0">
      <w:pPr>
        <w:pStyle w:val="Bullets"/>
      </w:pPr>
      <w:r>
        <w:t>Customer contacts relating to colour of the water (Orange / black / brown).</w:t>
      </w:r>
    </w:p>
    <w:p w:rsidR="00ED27E0" w:rsidRDefault="00ED27E0" w:rsidP="00ED27E0">
      <w:pPr>
        <w:pStyle w:val="Bullets"/>
        <w:numPr>
          <w:ilvl w:val="0"/>
          <w:numId w:val="0"/>
        </w:numPr>
        <w:ind w:left="1494"/>
      </w:pPr>
    </w:p>
    <w:p w:rsidR="004132EC" w:rsidRDefault="004132EC" w:rsidP="00DC3BE9">
      <w:r>
        <w:t>Based on the data we collect, we do not consider we have any specific issues with asset health and have therefore will report against the two common PCs, mains repairs and unplanned outage and two of the choice PCs, both of which are customer focused.  Our proposed ODIs are based solely on customer valuations, not a reflection on past performance.</w:t>
      </w:r>
      <w:r w:rsidR="00DC3BE9">
        <w:t xml:space="preserve">  </w:t>
      </w:r>
      <w:r>
        <w:t xml:space="preserve">These are discussed in more detail above </w:t>
      </w:r>
      <w:r w:rsidRPr="00011B79">
        <w:t xml:space="preserve">(see </w:t>
      </w:r>
      <w:r w:rsidR="00011B79" w:rsidRPr="00011B79">
        <w:t>S</w:t>
      </w:r>
      <w:r w:rsidRPr="00011B79">
        <w:t xml:space="preserve">ection </w:t>
      </w:r>
      <w:r w:rsidR="00011B79" w:rsidRPr="00011B79">
        <w:t>3.3.3</w:t>
      </w:r>
      <w:r w:rsidRPr="00011B79">
        <w:t>).</w:t>
      </w:r>
    </w:p>
    <w:p w:rsidR="004132EC" w:rsidRDefault="004132EC" w:rsidP="00ED27E0">
      <w:r>
        <w:t>Further, we note our current performance on mains repairs and customer contacts is currently establishing the upper quartile assessments for the industry and we propose an enhanced incentive for mains repairs in particular.</w:t>
      </w:r>
    </w:p>
    <w:p w:rsidR="004132EC" w:rsidRDefault="004132EC" w:rsidP="00ED27E0">
      <w:r>
        <w:t>We will reduce the number of customers at risk of low pressure by investing in the network and or installing small boosters at customer properties.  This will improve our relative performance.  It is a penalty only incentive.</w:t>
      </w:r>
    </w:p>
    <w:p w:rsidR="004132EC" w:rsidRDefault="00DC3BE9" w:rsidP="00ED27E0">
      <w:r>
        <w:t>Finally,</w:t>
      </w:r>
      <w:r w:rsidR="004132EC">
        <w:t xml:space="preserve"> we do not propose a financial ODI for unplanned outage.  At this stage of its recording, we have very little</w:t>
      </w:r>
      <w:r>
        <w:t xml:space="preserve"> data to set a target.  In addition,</w:t>
      </w:r>
      <w:r w:rsidR="004132EC">
        <w:t xml:space="preserve"> customers did not see that a reward / penalty were appropriate for this measure – as it did not (necessarily) </w:t>
      </w:r>
      <w:r>
        <w:t>affect</w:t>
      </w:r>
      <w:r w:rsidR="004132EC">
        <w:t xml:space="preserve"> them directly.  It is possible that other PCs do actually reflect this issue, and customer valuations are picked up in those accordingly.</w:t>
      </w:r>
    </w:p>
    <w:p w:rsidR="004132EC" w:rsidRDefault="004132EC" w:rsidP="00ED27E0">
      <w:r>
        <w:t>The table below shows the detail of our 4 asset health measures – and the resultant RoRE impact and the resultant impact on customer bills.</w:t>
      </w:r>
    </w:p>
    <w:p w:rsidR="004132EC" w:rsidRDefault="004132EC" w:rsidP="004132EC">
      <w:pPr>
        <w:spacing w:after="160" w:line="259" w:lineRule="auto"/>
        <w:rPr>
          <w:rFonts w:cs="Arial"/>
          <w:b/>
          <w:sz w:val="22"/>
          <w:szCs w:val="22"/>
        </w:rPr>
      </w:pPr>
      <w:r w:rsidRPr="00770ED3">
        <w:rPr>
          <w:rFonts w:cs="Arial"/>
          <w:b/>
          <w:sz w:val="22"/>
          <w:szCs w:val="22"/>
        </w:rPr>
        <w:t>RoRE analysis for Asset Health PCs</w:t>
      </w:r>
    </w:p>
    <w:tbl>
      <w:tblPr>
        <w:tblW w:w="7446" w:type="dxa"/>
        <w:tblInd w:w="771" w:type="dxa"/>
        <w:tblLayout w:type="fixed"/>
        <w:tblLook w:val="04A0" w:firstRow="1" w:lastRow="0" w:firstColumn="1" w:lastColumn="0" w:noHBand="0" w:noVBand="1"/>
      </w:tblPr>
      <w:tblGrid>
        <w:gridCol w:w="2972"/>
        <w:gridCol w:w="1134"/>
        <w:gridCol w:w="1639"/>
        <w:gridCol w:w="1701"/>
      </w:tblGrid>
      <w:tr w:rsidR="00DF4F8C" w:rsidRPr="00DF4F8C" w:rsidTr="00FA3F79">
        <w:trPr>
          <w:trHeight w:val="315"/>
        </w:trPr>
        <w:tc>
          <w:tcPr>
            <w:tcW w:w="410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105E95" w:rsidRPr="00DF4F8C" w:rsidRDefault="00105E95" w:rsidP="00D645C1">
            <w:pPr>
              <w:tabs>
                <w:tab w:val="clear" w:pos="851"/>
              </w:tabs>
              <w:spacing w:after="0"/>
              <w:ind w:left="0"/>
              <w:jc w:val="center"/>
              <w:rPr>
                <w:rFonts w:cs="Arial"/>
                <w:bCs/>
                <w:color w:val="FFFFFF" w:themeColor="background1"/>
                <w:sz w:val="16"/>
                <w:szCs w:val="16"/>
              </w:rPr>
            </w:pPr>
          </w:p>
        </w:tc>
        <w:tc>
          <w:tcPr>
            <w:tcW w:w="1639" w:type="dxa"/>
            <w:tcBorders>
              <w:top w:val="single" w:sz="4" w:space="0" w:color="auto"/>
              <w:left w:val="nil"/>
              <w:bottom w:val="single" w:sz="4" w:space="0" w:color="auto"/>
              <w:right w:val="single" w:sz="4" w:space="0" w:color="auto"/>
            </w:tcBorders>
            <w:shd w:val="clear" w:color="auto" w:fill="2E74B5" w:themeFill="accent1" w:themeFillShade="BF"/>
            <w:noWrap/>
          </w:tcPr>
          <w:p w:rsidR="00105E95" w:rsidRPr="00DF4F8C" w:rsidRDefault="00105E95" w:rsidP="00D645C1">
            <w:pPr>
              <w:tabs>
                <w:tab w:val="clear" w:pos="851"/>
              </w:tabs>
              <w:spacing w:after="0"/>
              <w:ind w:left="0"/>
              <w:jc w:val="center"/>
              <w:rPr>
                <w:rFonts w:cs="Arial"/>
                <w:b/>
                <w:bCs/>
                <w:color w:val="FFFFFF" w:themeColor="background1"/>
                <w:sz w:val="16"/>
                <w:szCs w:val="16"/>
              </w:rPr>
            </w:pPr>
            <w:r w:rsidRPr="00DF4F8C">
              <w:rPr>
                <w:rFonts w:cs="Arial"/>
                <w:b/>
                <w:bCs/>
                <w:color w:val="FFFFFF" w:themeColor="background1"/>
                <w:sz w:val="16"/>
                <w:szCs w:val="16"/>
              </w:rPr>
              <w:t>P90 Maximum</w:t>
            </w:r>
          </w:p>
        </w:tc>
        <w:tc>
          <w:tcPr>
            <w:tcW w:w="1701" w:type="dxa"/>
            <w:tcBorders>
              <w:top w:val="single" w:sz="4" w:space="0" w:color="auto"/>
              <w:left w:val="nil"/>
              <w:bottom w:val="single" w:sz="4" w:space="0" w:color="auto"/>
              <w:right w:val="single" w:sz="4" w:space="0" w:color="auto"/>
            </w:tcBorders>
            <w:shd w:val="clear" w:color="auto" w:fill="2E74B5" w:themeFill="accent1" w:themeFillShade="BF"/>
            <w:noWrap/>
          </w:tcPr>
          <w:p w:rsidR="00105E95" w:rsidRPr="00DF4F8C" w:rsidRDefault="00105E95" w:rsidP="00D645C1">
            <w:pPr>
              <w:tabs>
                <w:tab w:val="clear" w:pos="851"/>
              </w:tabs>
              <w:spacing w:after="0"/>
              <w:ind w:left="0"/>
              <w:jc w:val="center"/>
              <w:rPr>
                <w:rFonts w:cs="Arial"/>
                <w:b/>
                <w:bCs/>
                <w:color w:val="FFFFFF" w:themeColor="background1"/>
                <w:sz w:val="16"/>
                <w:szCs w:val="16"/>
              </w:rPr>
            </w:pPr>
            <w:r w:rsidRPr="00DF4F8C">
              <w:rPr>
                <w:rFonts w:cs="Arial"/>
                <w:b/>
                <w:bCs/>
                <w:color w:val="FFFFFF" w:themeColor="background1"/>
                <w:sz w:val="16"/>
                <w:szCs w:val="16"/>
              </w:rPr>
              <w:t>P10 Minimum</w:t>
            </w:r>
          </w:p>
        </w:tc>
      </w:tr>
      <w:tr w:rsidR="00105E95" w:rsidRPr="00DF4F8C" w:rsidTr="00FA3F79">
        <w:trPr>
          <w:trHeight w:val="417"/>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Mains repairs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562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-562</w:t>
            </w:r>
          </w:p>
        </w:tc>
      </w:tr>
      <w:tr w:rsidR="00105E95" w:rsidRPr="00DF4F8C" w:rsidTr="00FA3F79">
        <w:trPr>
          <w:trHeight w:val="281"/>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Unplanned outage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0</w:t>
            </w:r>
          </w:p>
        </w:tc>
      </w:tr>
      <w:tr w:rsidR="00105E95" w:rsidRPr="00DF4F8C" w:rsidTr="00FA3F79">
        <w:trPr>
          <w:trHeight w:val="28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Low pressure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-84</w:t>
            </w:r>
          </w:p>
        </w:tc>
      </w:tr>
      <w:tr w:rsidR="00105E95" w:rsidRPr="00DF4F8C" w:rsidTr="00FA3F79">
        <w:trPr>
          <w:trHeight w:val="323"/>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Customer contacts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47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-47</w:t>
            </w:r>
          </w:p>
        </w:tc>
      </w:tr>
      <w:tr w:rsidR="00105E95" w:rsidRPr="00DF4F8C" w:rsidTr="00FA3F79">
        <w:trPr>
          <w:trHeight w:val="35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 Five year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£000s</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609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-693</w:t>
            </w:r>
          </w:p>
        </w:tc>
      </w:tr>
      <w:tr w:rsidR="00105E95" w:rsidRPr="00DF4F8C" w:rsidTr="00FA3F79">
        <w:trPr>
          <w:trHeight w:val="285"/>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 Annual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£000s</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122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-138</w:t>
            </w:r>
          </w:p>
        </w:tc>
      </w:tr>
      <w:tr w:rsidR="00105E95" w:rsidRPr="00DF4F8C" w:rsidTr="00FA3F79">
        <w:trPr>
          <w:trHeight w:val="41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RoRE based on Equity of (£000s)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£58,520</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highlight w:val="yellow"/>
              </w:rPr>
            </w:pPr>
            <w:r w:rsidRPr="00DF4F8C">
              <w:rPr>
                <w:rFonts w:cs="Arial"/>
                <w:bCs/>
                <w:color w:val="000000"/>
                <w:sz w:val="16"/>
                <w:szCs w:val="16"/>
              </w:rPr>
              <w:t>0.21%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-0.24%</w:t>
            </w:r>
          </w:p>
        </w:tc>
      </w:tr>
      <w:tr w:rsidR="00105E95" w:rsidRPr="00DF4F8C" w:rsidTr="00FA3F79">
        <w:trPr>
          <w:trHeight w:val="274"/>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r w:rsidRPr="00DF4F8C">
              <w:rPr>
                <w:rFonts w:cs="Arial"/>
                <w:bCs/>
                <w:color w:val="000000"/>
                <w:sz w:val="16"/>
                <w:szCs w:val="16"/>
              </w:rPr>
              <w:t>£/customer / year</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D645C1">
            <w:pPr>
              <w:tabs>
                <w:tab w:val="clear" w:pos="851"/>
              </w:tabs>
              <w:spacing w:after="0" w:line="240" w:lineRule="exact"/>
              <w:ind w:left="0"/>
              <w:jc w:val="left"/>
              <w:rPr>
                <w:rFonts w:cs="Arial"/>
                <w:bCs/>
                <w:color w:val="000000"/>
                <w:sz w:val="16"/>
                <w:szCs w:val="16"/>
              </w:rPr>
            </w:pP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0.41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5E95" w:rsidRPr="00DF4F8C" w:rsidRDefault="00105E95" w:rsidP="00FA3F79">
            <w:pPr>
              <w:tabs>
                <w:tab w:val="clear" w:pos="851"/>
              </w:tabs>
              <w:spacing w:after="0" w:line="240" w:lineRule="exact"/>
              <w:ind w:left="0"/>
              <w:jc w:val="right"/>
              <w:rPr>
                <w:rFonts w:cs="Arial"/>
                <w:bCs/>
                <w:color w:val="000000"/>
                <w:sz w:val="16"/>
                <w:szCs w:val="16"/>
              </w:rPr>
            </w:pPr>
            <w:r w:rsidRPr="00DF4F8C">
              <w:rPr>
                <w:rFonts w:cs="Arial"/>
                <w:bCs/>
                <w:color w:val="000000"/>
                <w:sz w:val="16"/>
                <w:szCs w:val="16"/>
              </w:rPr>
              <w:t>-0.46</w:t>
            </w:r>
          </w:p>
        </w:tc>
      </w:tr>
    </w:tbl>
    <w:p w:rsidR="00105E95" w:rsidRDefault="00105E95" w:rsidP="00D645C1">
      <w:pPr>
        <w:spacing w:after="0"/>
      </w:pPr>
    </w:p>
    <w:p w:rsidR="004132EC" w:rsidRDefault="004132EC" w:rsidP="00ED27E0">
      <w:r>
        <w:t>Again, p</w:t>
      </w:r>
      <w:r w:rsidRPr="00DC0E9C">
        <w:t xml:space="preserve">lease </w:t>
      </w:r>
      <w:r>
        <w:t>note the Regulatory Equity is equivalent to 40% of the opening Regulatory Capital Value of the business for the AMP7 period.  We considered using the average for AMP7, but as this is significantly influenced by the construction of Havant Thicket Reservoir, which will not be operational until AMP8 a more relevant denominator is the underlying RCV of the business.</w:t>
      </w:r>
    </w:p>
    <w:p w:rsidR="00FA3F79" w:rsidRDefault="00FA3F79" w:rsidP="00FA3F79">
      <w:pPr>
        <w:pStyle w:val="Heading3"/>
      </w:pPr>
      <w:bookmarkStart w:id="32" w:name="_Toc523651245"/>
      <w:r>
        <w:t>Bill volatility</w:t>
      </w:r>
      <w:bookmarkEnd w:id="32"/>
    </w:p>
    <w:p w:rsidR="00FA3F79" w:rsidRDefault="00FA3F79" w:rsidP="00FA3F79">
      <w:r>
        <w:t xml:space="preserve">The </w:t>
      </w:r>
      <w:r w:rsidR="00964B14">
        <w:t>Board</w:t>
      </w:r>
      <w:r>
        <w:t xml:space="preserve"> have considered the possibility that customers could experience bill volatility because of in-period ODIs.  It proposes to cap any out-performance reward to 3% in any one year, with carry over to subsequent years.</w:t>
      </w:r>
    </w:p>
    <w:p w:rsidR="004132EC" w:rsidRPr="00A43FCB" w:rsidRDefault="004132EC" w:rsidP="00946D16">
      <w:pPr>
        <w:pStyle w:val="Heading2"/>
      </w:pPr>
      <w:bookmarkStart w:id="33" w:name="_Toc523651246"/>
      <w:r w:rsidRPr="00A43FCB">
        <w:t>Disseminating performance information effectively</w:t>
      </w:r>
      <w:bookmarkEnd w:id="33"/>
      <w:r w:rsidRPr="00A43FCB">
        <w:t xml:space="preserve"> </w:t>
      </w:r>
    </w:p>
    <w:p w:rsidR="004132EC" w:rsidRDefault="004132EC" w:rsidP="00946D16">
      <w:pPr>
        <w:pStyle w:val="Heading3"/>
      </w:pPr>
      <w:bookmarkStart w:id="34" w:name="_Toc523651247"/>
      <w:r w:rsidRPr="00A43FCB">
        <w:t>Reporting performance</w:t>
      </w:r>
      <w:bookmarkEnd w:id="34"/>
    </w:p>
    <w:p w:rsidR="004132EC" w:rsidRDefault="004132EC" w:rsidP="00ED27E0">
      <w:r w:rsidRPr="00A43FCB">
        <w:t xml:space="preserve">Portsmouth Water understands the importance of transparent reporting of our performance.  Performance Commitments are the means by which we, and our regulators, will measure our delivery of </w:t>
      </w:r>
      <w:r>
        <w:t>Outcomes</w:t>
      </w:r>
      <w:r w:rsidR="00A35834">
        <w:t xml:space="preserve"> to customers.</w:t>
      </w:r>
    </w:p>
    <w:p w:rsidR="004132EC" w:rsidRDefault="004132EC" w:rsidP="00ED27E0">
      <w:r w:rsidRPr="00A43FCB">
        <w:t xml:space="preserve">We recognise that the provision of timely, comparable and accurate data about our performance helps to build trust and legitimacy, both for our business and the wider industry.  </w:t>
      </w:r>
    </w:p>
    <w:p w:rsidR="004132EC" w:rsidRDefault="004132EC" w:rsidP="00ED27E0">
      <w:r w:rsidRPr="00A43FCB">
        <w:t xml:space="preserve">We therefore plan to make further enhancements to the reporting </w:t>
      </w:r>
      <w:r w:rsidR="00B41D26">
        <w:t xml:space="preserve">and assurance </w:t>
      </w:r>
      <w:r w:rsidRPr="00A43FCB">
        <w:t>of our Performance Commitments for PR19.</w:t>
      </w:r>
    </w:p>
    <w:p w:rsidR="004132EC" w:rsidRDefault="004132EC" w:rsidP="00ED27E0">
      <w:r>
        <w:t>We commit to keeping the definitions of performance commitments unchanged during 2020-25 and will follow Ofwat procedures for any changes.</w:t>
      </w:r>
    </w:p>
    <w:p w:rsidR="004132EC" w:rsidRDefault="004132EC" w:rsidP="00ED27E0">
      <w:r>
        <w:t>Similarly ODI payments will only relate to real performance changes and not definitional, methodological or data changes in the PC.</w:t>
      </w:r>
    </w:p>
    <w:p w:rsidR="004132EC" w:rsidRPr="00A43FCB" w:rsidRDefault="004132EC" w:rsidP="00ED27E0">
      <w:r>
        <w:t xml:space="preserve">Our definitions are included as </w:t>
      </w:r>
      <w:r w:rsidRPr="00011B79">
        <w:t xml:space="preserve">Appendix </w:t>
      </w:r>
      <w:r w:rsidR="00011B79">
        <w:t>3.10</w:t>
      </w:r>
      <w:r w:rsidR="00E93135">
        <w:t>.</w:t>
      </w:r>
    </w:p>
    <w:p w:rsidR="004132EC" w:rsidRDefault="004132EC" w:rsidP="00946D16">
      <w:pPr>
        <w:pStyle w:val="Heading3"/>
      </w:pPr>
      <w:bookmarkStart w:id="35" w:name="_Toc523651248"/>
      <w:r w:rsidRPr="00A43FCB">
        <w:t>Existing methods</w:t>
      </w:r>
      <w:bookmarkEnd w:id="35"/>
    </w:p>
    <w:p w:rsidR="004132EC" w:rsidRPr="00A43FCB" w:rsidRDefault="004132EC" w:rsidP="00ED27E0">
      <w:r w:rsidRPr="00A43FCB">
        <w:t>We will build in the existing regulatory processes</w:t>
      </w:r>
      <w:r w:rsidR="00DC3BE9">
        <w:t>,</w:t>
      </w:r>
      <w:r w:rsidRPr="00A43FCB">
        <w:t xml:space="preserve"> which ensure that companies consult with stakeholders upon the information that is important to them</w:t>
      </w:r>
      <w:r w:rsidR="00DC3BE9">
        <w:t>,</w:t>
      </w:r>
      <w:r w:rsidRPr="00A43FCB">
        <w:t xml:space="preserve"> and explain how this will be subject to appropriate levels of independent assurance.  This is set out as part of the Company Monitoring Framework.  </w:t>
      </w:r>
    </w:p>
    <w:p w:rsidR="004132EC" w:rsidRPr="00A43FCB" w:rsidRDefault="004132EC" w:rsidP="00ED27E0">
      <w:r w:rsidRPr="00A43FCB">
        <w:t xml:space="preserve">We will also continue to report Performance Commitment progress monthly to our </w:t>
      </w:r>
      <w:r w:rsidR="00964B14">
        <w:t>Board</w:t>
      </w:r>
      <w:r w:rsidRPr="00A43FCB">
        <w:t xml:space="preserve">, quarterly to </w:t>
      </w:r>
      <w:r>
        <w:t xml:space="preserve">the </w:t>
      </w:r>
      <w:r w:rsidRPr="00A43FCB">
        <w:t>C</w:t>
      </w:r>
      <w:r>
        <w:t xml:space="preserve">ustomer Challenge Group </w:t>
      </w:r>
      <w:r w:rsidRPr="00A43FCB">
        <w:t>and annually to all stakeholders through our public “Annual Performance Report” and the “Annual Report and Accounts”.</w:t>
      </w:r>
    </w:p>
    <w:p w:rsidR="004132EC" w:rsidRDefault="004132EC" w:rsidP="00946D16">
      <w:pPr>
        <w:pStyle w:val="Heading3"/>
      </w:pPr>
      <w:bookmarkStart w:id="36" w:name="_Toc523651249"/>
      <w:r w:rsidRPr="00A43FCB">
        <w:t>New approaches</w:t>
      </w:r>
      <w:bookmarkEnd w:id="36"/>
    </w:p>
    <w:p w:rsidR="004132EC" w:rsidRPr="00A43FCB" w:rsidRDefault="004132EC" w:rsidP="00ED27E0">
      <w:r w:rsidRPr="00A43FCB">
        <w:t xml:space="preserve">We have recognised already the value that the Discover Water website provides in allowing easy access to high quality comparable data.  With the increase in comparable Performance Commitments with </w:t>
      </w:r>
      <w:r w:rsidR="00DC3BE9" w:rsidRPr="00A43FCB">
        <w:t>PR19,</w:t>
      </w:r>
      <w:r w:rsidR="00DC3BE9">
        <w:t xml:space="preserve"> we plan to</w:t>
      </w:r>
      <w:r w:rsidRPr="00A43FCB">
        <w:t xml:space="preserve"> leverage </w:t>
      </w:r>
      <w:r w:rsidR="00DC3BE9">
        <w:t xml:space="preserve">further </w:t>
      </w:r>
      <w:r w:rsidRPr="00A43FCB">
        <w:t>this website providing clear signposting from our own website and from other communications.</w:t>
      </w:r>
    </w:p>
    <w:p w:rsidR="004132EC" w:rsidRPr="00A43FCB" w:rsidRDefault="004132EC" w:rsidP="00ED27E0">
      <w:r w:rsidRPr="00A43FCB">
        <w:t>Customers have told us that they want to hear more about what we do but also acknowledge that they rarely engage with published information enclosed with bills or general emails.  We are rising to our customers’ challenge to develop new, cost effective, methods of communicating our performance, in ways th</w:t>
      </w:r>
      <w:r w:rsidR="00DC3BE9">
        <w:t>at customers want to engage</w:t>
      </w:r>
      <w:r w:rsidRPr="00A43FCB">
        <w:t>.  We will use additional methods of communication more extensively- particularly the less formal social media – to share bite size updates on our performance and links to our website and Discover Water dashboards.  We will also commit to reporting in simplified ways using easily understood infographics and “plain English”.</w:t>
      </w:r>
    </w:p>
    <w:p w:rsidR="004132EC" w:rsidRDefault="004132EC" w:rsidP="00ED27E0">
      <w:r w:rsidRPr="00A43FCB">
        <w:t xml:space="preserve">The Board has also committed to developing a customer panel that will work with us over the AMP as representatives of our customer base.  Amongst other </w:t>
      </w:r>
      <w:r w:rsidR="00DC3BE9" w:rsidRPr="00A43FCB">
        <w:t>things,</w:t>
      </w:r>
      <w:r w:rsidRPr="00A43FCB">
        <w:t xml:space="preserve"> we will share with our Customer Panel our performance giving them an opportunity to challenge and inform both our performance and co-create our approach to sharing this more widely.</w:t>
      </w:r>
    </w:p>
    <w:p w:rsidR="004132EC" w:rsidRDefault="004132EC" w:rsidP="00946D16">
      <w:pPr>
        <w:pStyle w:val="Heading3"/>
      </w:pPr>
      <w:bookmarkStart w:id="37" w:name="_Toc523651250"/>
      <w:r>
        <w:t>Sharing knowledge with other companies</w:t>
      </w:r>
      <w:bookmarkEnd w:id="37"/>
    </w:p>
    <w:p w:rsidR="004132EC" w:rsidRDefault="004132EC" w:rsidP="00ED27E0">
      <w:r>
        <w:t xml:space="preserve">The Company commit to sharing knowledge behind any successful delivery of our 4 enhanced ODIs, </w:t>
      </w:r>
      <w:r w:rsidR="009258ED">
        <w:t>PCC</w:t>
      </w:r>
      <w:r>
        <w:t>, leakage, Mains Repairs and Interruptions.</w:t>
      </w:r>
    </w:p>
    <w:p w:rsidR="004132EC" w:rsidRDefault="004132EC" w:rsidP="00ED27E0">
      <w:r w:rsidRPr="00591C03">
        <w:t xml:space="preserve">This </w:t>
      </w:r>
      <w:r>
        <w:t>c</w:t>
      </w:r>
      <w:r w:rsidRPr="00591C03">
        <w:t xml:space="preserve">ould take the form of </w:t>
      </w:r>
      <w:r>
        <w:t>workshop, possibly hosted by Water</w:t>
      </w:r>
      <w:r w:rsidR="00DC3BE9">
        <w:t xml:space="preserve"> </w:t>
      </w:r>
      <w:r>
        <w:t xml:space="preserve">UK or UKWIR, in 2025, in which we would explain how we achieved </w:t>
      </w:r>
      <w:r w:rsidR="00DC3BE9">
        <w:t>industry-leading</w:t>
      </w:r>
      <w:r>
        <w:t xml:space="preserve"> performance.</w:t>
      </w:r>
    </w:p>
    <w:p w:rsidR="00011B79" w:rsidRDefault="00011B79">
      <w:pPr>
        <w:tabs>
          <w:tab w:val="clear" w:pos="851"/>
        </w:tabs>
        <w:spacing w:after="0"/>
        <w:ind w:left="0"/>
        <w:jc w:val="left"/>
        <w:rPr>
          <w:rFonts w:cs="Arial"/>
          <w:b/>
          <w:color w:val="2E74B5" w:themeColor="accent1" w:themeShade="BF"/>
        </w:rPr>
      </w:pPr>
      <w:r>
        <w:rPr>
          <w:rFonts w:cs="Arial"/>
          <w:b/>
          <w:color w:val="2E74B5" w:themeColor="accent1" w:themeShade="BF"/>
        </w:rPr>
        <w:br w:type="page"/>
      </w:r>
    </w:p>
    <w:p w:rsidR="004C0133" w:rsidRDefault="004C0133" w:rsidP="00ED27E0">
      <w:r w:rsidRPr="008D497C">
        <w:rPr>
          <w:rFonts w:cs="Arial"/>
          <w:b/>
          <w:color w:val="2E74B5" w:themeColor="accent1" w:themeShade="BF"/>
        </w:rPr>
        <w:t>Appendices relevant to this section</w:t>
      </w:r>
    </w:p>
    <w:tbl>
      <w:tblPr>
        <w:tblStyle w:val="TableGrid22"/>
        <w:tblW w:w="0" w:type="auto"/>
        <w:jc w:val="center"/>
        <w:tblLook w:val="04A0" w:firstRow="1" w:lastRow="0" w:firstColumn="1" w:lastColumn="0" w:noHBand="0" w:noVBand="1"/>
      </w:tblPr>
      <w:tblGrid>
        <w:gridCol w:w="1838"/>
        <w:gridCol w:w="4173"/>
        <w:gridCol w:w="1781"/>
      </w:tblGrid>
      <w:tr w:rsidR="00E93135" w:rsidRPr="001E0DCD" w:rsidTr="00E93135">
        <w:trPr>
          <w:jc w:val="center"/>
        </w:trPr>
        <w:tc>
          <w:tcPr>
            <w:tcW w:w="1838" w:type="dxa"/>
            <w:shd w:val="clear" w:color="auto" w:fill="2E74B5" w:themeFill="accent1" w:themeFillShade="BF"/>
          </w:tcPr>
          <w:p w:rsidR="00E93135" w:rsidRPr="001E0DCD" w:rsidRDefault="00E93135" w:rsidP="00E93135">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E93135" w:rsidRPr="001E0DCD" w:rsidRDefault="00E93135" w:rsidP="00E93135">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E93135" w:rsidRPr="001E0DCD" w:rsidRDefault="00E93135" w:rsidP="00E93135">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E93135" w:rsidRPr="001E0DCD" w:rsidTr="00E93135">
        <w:trPr>
          <w:jc w:val="center"/>
        </w:trPr>
        <w:tc>
          <w:tcPr>
            <w:tcW w:w="1838" w:type="dxa"/>
          </w:tcPr>
          <w:p w:rsidR="00E93135" w:rsidRPr="001E0DCD" w:rsidRDefault="00E93135" w:rsidP="00E93135">
            <w:pPr>
              <w:tabs>
                <w:tab w:val="clear" w:pos="851"/>
              </w:tabs>
              <w:spacing w:after="0"/>
              <w:ind w:left="0"/>
              <w:jc w:val="left"/>
              <w:rPr>
                <w:rFonts w:cs="Arial"/>
                <w:sz w:val="16"/>
                <w:szCs w:val="16"/>
              </w:rPr>
            </w:pPr>
            <w:r>
              <w:rPr>
                <w:rFonts w:cs="Arial"/>
                <w:sz w:val="16"/>
                <w:szCs w:val="16"/>
              </w:rPr>
              <w:t>2.3</w:t>
            </w:r>
          </w:p>
        </w:tc>
        <w:tc>
          <w:tcPr>
            <w:tcW w:w="4173" w:type="dxa"/>
          </w:tcPr>
          <w:p w:rsidR="00E93135" w:rsidRPr="001E0DCD" w:rsidRDefault="00E93135" w:rsidP="00E93135">
            <w:pPr>
              <w:tabs>
                <w:tab w:val="clear" w:pos="851"/>
              </w:tabs>
              <w:spacing w:after="0"/>
              <w:ind w:left="0"/>
              <w:jc w:val="left"/>
              <w:rPr>
                <w:rFonts w:cs="Arial"/>
                <w:sz w:val="16"/>
                <w:szCs w:val="16"/>
              </w:rPr>
            </w:pPr>
            <w:r>
              <w:rPr>
                <w:rFonts w:cs="Arial"/>
                <w:sz w:val="16"/>
                <w:szCs w:val="16"/>
              </w:rPr>
              <w:t>Accent – Qualitative Research into outcomes</w:t>
            </w:r>
          </w:p>
        </w:tc>
        <w:tc>
          <w:tcPr>
            <w:tcW w:w="1781" w:type="dxa"/>
          </w:tcPr>
          <w:p w:rsidR="00E93135" w:rsidRPr="001E0DCD" w:rsidRDefault="00E93135" w:rsidP="00E93135">
            <w:pPr>
              <w:tabs>
                <w:tab w:val="clear" w:pos="851"/>
              </w:tabs>
              <w:spacing w:after="0"/>
              <w:ind w:left="0"/>
              <w:jc w:val="left"/>
              <w:rPr>
                <w:rFonts w:cs="Arial"/>
                <w:sz w:val="16"/>
                <w:szCs w:val="16"/>
              </w:rPr>
            </w:pPr>
            <w:r>
              <w:rPr>
                <w:rFonts w:cs="Arial"/>
                <w:sz w:val="16"/>
                <w:szCs w:val="16"/>
              </w:rPr>
              <w:t>December 2016</w:t>
            </w:r>
          </w:p>
        </w:tc>
      </w:tr>
      <w:tr w:rsidR="00E93135" w:rsidRPr="001E0DCD" w:rsidTr="00E93135">
        <w:trPr>
          <w:jc w:val="center"/>
        </w:trPr>
        <w:tc>
          <w:tcPr>
            <w:tcW w:w="1838" w:type="dxa"/>
          </w:tcPr>
          <w:p w:rsidR="00E93135" w:rsidRPr="001E0DCD" w:rsidRDefault="00E93135" w:rsidP="00E93135">
            <w:pPr>
              <w:tabs>
                <w:tab w:val="clear" w:pos="851"/>
              </w:tabs>
              <w:spacing w:after="0"/>
              <w:ind w:left="0"/>
              <w:jc w:val="left"/>
              <w:rPr>
                <w:rFonts w:cs="Arial"/>
                <w:sz w:val="16"/>
                <w:szCs w:val="16"/>
              </w:rPr>
            </w:pPr>
            <w:r>
              <w:rPr>
                <w:rFonts w:cs="Arial"/>
                <w:sz w:val="16"/>
                <w:szCs w:val="16"/>
              </w:rPr>
              <w:t>2.17</w:t>
            </w:r>
          </w:p>
        </w:tc>
        <w:tc>
          <w:tcPr>
            <w:tcW w:w="4173" w:type="dxa"/>
          </w:tcPr>
          <w:p w:rsidR="00E93135" w:rsidRPr="001E0DCD" w:rsidRDefault="00E93135" w:rsidP="00E93135">
            <w:pPr>
              <w:tabs>
                <w:tab w:val="clear" w:pos="851"/>
              </w:tabs>
              <w:spacing w:after="0"/>
              <w:ind w:left="0"/>
              <w:jc w:val="left"/>
              <w:rPr>
                <w:rFonts w:cs="Arial"/>
                <w:sz w:val="16"/>
                <w:szCs w:val="16"/>
              </w:rPr>
            </w:pPr>
            <w:r>
              <w:rPr>
                <w:rFonts w:cs="Arial"/>
                <w:sz w:val="16"/>
                <w:szCs w:val="16"/>
              </w:rPr>
              <w:t>ICS – Qualitative Research into outcomes and performance commitments – phase 1</w:t>
            </w:r>
          </w:p>
        </w:tc>
        <w:tc>
          <w:tcPr>
            <w:tcW w:w="1781" w:type="dxa"/>
          </w:tcPr>
          <w:p w:rsidR="00E93135" w:rsidRPr="001E0DCD" w:rsidRDefault="00E93135" w:rsidP="00E93135">
            <w:pPr>
              <w:tabs>
                <w:tab w:val="clear" w:pos="851"/>
              </w:tabs>
              <w:spacing w:after="0"/>
              <w:ind w:left="0"/>
              <w:jc w:val="left"/>
              <w:rPr>
                <w:rFonts w:cs="Arial"/>
                <w:sz w:val="16"/>
                <w:szCs w:val="16"/>
              </w:rPr>
            </w:pPr>
            <w:r>
              <w:rPr>
                <w:rFonts w:cs="Arial"/>
                <w:sz w:val="16"/>
                <w:szCs w:val="16"/>
              </w:rPr>
              <w:t>April 2018</w:t>
            </w:r>
          </w:p>
        </w:tc>
      </w:tr>
      <w:tr w:rsidR="00E93135" w:rsidRPr="001E0DCD" w:rsidTr="00E93135">
        <w:trPr>
          <w:jc w:val="center"/>
        </w:trPr>
        <w:tc>
          <w:tcPr>
            <w:tcW w:w="1838" w:type="dxa"/>
          </w:tcPr>
          <w:p w:rsidR="00E93135" w:rsidRDefault="00E93135" w:rsidP="00E93135">
            <w:pPr>
              <w:tabs>
                <w:tab w:val="clear" w:pos="851"/>
              </w:tabs>
              <w:spacing w:after="0"/>
              <w:ind w:left="0"/>
              <w:jc w:val="left"/>
              <w:rPr>
                <w:rFonts w:cs="Arial"/>
                <w:sz w:val="16"/>
                <w:szCs w:val="16"/>
              </w:rPr>
            </w:pPr>
            <w:r>
              <w:rPr>
                <w:rFonts w:cs="Arial"/>
                <w:sz w:val="16"/>
                <w:szCs w:val="16"/>
              </w:rPr>
              <w:t>2.17</w:t>
            </w:r>
          </w:p>
        </w:tc>
        <w:tc>
          <w:tcPr>
            <w:tcW w:w="4173" w:type="dxa"/>
          </w:tcPr>
          <w:p w:rsidR="00E93135" w:rsidRDefault="00E93135" w:rsidP="00E93135">
            <w:pPr>
              <w:tabs>
                <w:tab w:val="clear" w:pos="851"/>
              </w:tabs>
              <w:spacing w:after="0"/>
              <w:ind w:left="0"/>
              <w:jc w:val="left"/>
              <w:rPr>
                <w:rFonts w:cs="Arial"/>
                <w:sz w:val="16"/>
                <w:szCs w:val="16"/>
              </w:rPr>
            </w:pPr>
            <w:r>
              <w:rPr>
                <w:rFonts w:cs="Arial"/>
                <w:sz w:val="16"/>
                <w:szCs w:val="16"/>
              </w:rPr>
              <w:t>ICS – Quantitative Research on valuations – phase 2</w:t>
            </w:r>
          </w:p>
        </w:tc>
        <w:tc>
          <w:tcPr>
            <w:tcW w:w="1781" w:type="dxa"/>
          </w:tcPr>
          <w:p w:rsidR="00E93135" w:rsidRDefault="00E93135" w:rsidP="00E93135">
            <w:pPr>
              <w:tabs>
                <w:tab w:val="clear" w:pos="851"/>
              </w:tabs>
              <w:spacing w:after="0"/>
              <w:ind w:left="0"/>
              <w:jc w:val="left"/>
              <w:rPr>
                <w:rFonts w:cs="Arial"/>
                <w:sz w:val="16"/>
                <w:szCs w:val="16"/>
              </w:rPr>
            </w:pPr>
            <w:r>
              <w:rPr>
                <w:rFonts w:cs="Arial"/>
                <w:sz w:val="16"/>
                <w:szCs w:val="16"/>
              </w:rPr>
              <w:t>April 2018</w:t>
            </w:r>
          </w:p>
        </w:tc>
      </w:tr>
      <w:tr w:rsidR="00E93135" w:rsidRPr="001E0DCD" w:rsidTr="00E93135">
        <w:trPr>
          <w:jc w:val="center"/>
        </w:trPr>
        <w:tc>
          <w:tcPr>
            <w:tcW w:w="1838" w:type="dxa"/>
          </w:tcPr>
          <w:p w:rsidR="00E93135" w:rsidRDefault="00E93135" w:rsidP="00E93135">
            <w:pPr>
              <w:tabs>
                <w:tab w:val="clear" w:pos="851"/>
              </w:tabs>
              <w:spacing w:after="0"/>
              <w:ind w:left="0"/>
              <w:jc w:val="left"/>
              <w:rPr>
                <w:rFonts w:cs="Arial"/>
                <w:sz w:val="16"/>
                <w:szCs w:val="16"/>
              </w:rPr>
            </w:pPr>
            <w:r>
              <w:rPr>
                <w:rFonts w:cs="Arial"/>
                <w:sz w:val="16"/>
                <w:szCs w:val="16"/>
              </w:rPr>
              <w:t>2.21</w:t>
            </w:r>
          </w:p>
        </w:tc>
        <w:tc>
          <w:tcPr>
            <w:tcW w:w="4173" w:type="dxa"/>
          </w:tcPr>
          <w:p w:rsidR="00E93135" w:rsidRDefault="00E93135" w:rsidP="00E93135">
            <w:pPr>
              <w:tabs>
                <w:tab w:val="clear" w:pos="851"/>
              </w:tabs>
              <w:spacing w:after="0"/>
              <w:ind w:left="0"/>
              <w:jc w:val="left"/>
              <w:rPr>
                <w:rFonts w:cs="Arial"/>
                <w:sz w:val="16"/>
                <w:szCs w:val="16"/>
              </w:rPr>
            </w:pPr>
            <w:r>
              <w:rPr>
                <w:rFonts w:cs="Arial"/>
                <w:sz w:val="16"/>
                <w:szCs w:val="16"/>
              </w:rPr>
              <w:t>Community Research – qualitative research with NHH customers</w:t>
            </w:r>
          </w:p>
        </w:tc>
        <w:tc>
          <w:tcPr>
            <w:tcW w:w="1781" w:type="dxa"/>
          </w:tcPr>
          <w:p w:rsidR="00E93135" w:rsidRDefault="00E93135" w:rsidP="00E93135">
            <w:pPr>
              <w:tabs>
                <w:tab w:val="clear" w:pos="851"/>
              </w:tabs>
              <w:spacing w:after="0"/>
              <w:ind w:left="0"/>
              <w:jc w:val="left"/>
              <w:rPr>
                <w:rFonts w:cs="Arial"/>
                <w:sz w:val="16"/>
                <w:szCs w:val="16"/>
              </w:rPr>
            </w:pPr>
            <w:r>
              <w:rPr>
                <w:rFonts w:cs="Arial"/>
                <w:sz w:val="16"/>
                <w:szCs w:val="16"/>
              </w:rPr>
              <w:t>May 2018</w:t>
            </w:r>
          </w:p>
        </w:tc>
      </w:tr>
      <w:tr w:rsidR="00E93135" w:rsidRPr="001E0DCD" w:rsidTr="00E93135">
        <w:trPr>
          <w:jc w:val="center"/>
        </w:trPr>
        <w:tc>
          <w:tcPr>
            <w:tcW w:w="1838" w:type="dxa"/>
          </w:tcPr>
          <w:p w:rsidR="00E93135" w:rsidRDefault="00E93135" w:rsidP="00E93135">
            <w:pPr>
              <w:tabs>
                <w:tab w:val="clear" w:pos="851"/>
              </w:tabs>
              <w:spacing w:after="0"/>
              <w:ind w:left="0"/>
              <w:jc w:val="left"/>
              <w:rPr>
                <w:rFonts w:cs="Arial"/>
                <w:sz w:val="16"/>
                <w:szCs w:val="16"/>
              </w:rPr>
            </w:pPr>
            <w:r>
              <w:rPr>
                <w:rFonts w:cs="Arial"/>
                <w:sz w:val="16"/>
                <w:szCs w:val="16"/>
              </w:rPr>
              <w:t>2.24</w:t>
            </w:r>
          </w:p>
        </w:tc>
        <w:tc>
          <w:tcPr>
            <w:tcW w:w="4173" w:type="dxa"/>
          </w:tcPr>
          <w:p w:rsidR="00E93135" w:rsidRDefault="00E93135" w:rsidP="00E93135">
            <w:pPr>
              <w:tabs>
                <w:tab w:val="clear" w:pos="851"/>
              </w:tabs>
              <w:spacing w:after="0"/>
              <w:ind w:left="0"/>
              <w:jc w:val="left"/>
              <w:rPr>
                <w:rFonts w:cs="Arial"/>
                <w:sz w:val="16"/>
                <w:szCs w:val="16"/>
              </w:rPr>
            </w:pPr>
            <w:r>
              <w:rPr>
                <w:rFonts w:cs="Arial"/>
                <w:sz w:val="16"/>
                <w:szCs w:val="16"/>
              </w:rPr>
              <w:t>ICS – Quantitative Research – performance commitments and stretch</w:t>
            </w:r>
            <w:r w:rsidR="007C079B">
              <w:rPr>
                <w:rFonts w:cs="Arial"/>
                <w:sz w:val="16"/>
                <w:szCs w:val="16"/>
              </w:rPr>
              <w:t>ed</w:t>
            </w:r>
            <w:r>
              <w:rPr>
                <w:rFonts w:cs="Arial"/>
                <w:sz w:val="16"/>
                <w:szCs w:val="16"/>
              </w:rPr>
              <w:t xml:space="preserve"> targets</w:t>
            </w:r>
          </w:p>
        </w:tc>
        <w:tc>
          <w:tcPr>
            <w:tcW w:w="1781" w:type="dxa"/>
          </w:tcPr>
          <w:p w:rsidR="00E93135" w:rsidRDefault="00E93135" w:rsidP="00E93135">
            <w:pPr>
              <w:tabs>
                <w:tab w:val="clear" w:pos="851"/>
              </w:tabs>
              <w:spacing w:after="0"/>
              <w:ind w:left="0"/>
              <w:jc w:val="left"/>
              <w:rPr>
                <w:rFonts w:cs="Arial"/>
                <w:sz w:val="16"/>
                <w:szCs w:val="16"/>
              </w:rPr>
            </w:pPr>
            <w:r>
              <w:rPr>
                <w:rFonts w:cs="Arial"/>
                <w:sz w:val="16"/>
                <w:szCs w:val="16"/>
              </w:rPr>
              <w:t>May 2018</w:t>
            </w:r>
          </w:p>
        </w:tc>
      </w:tr>
      <w:tr w:rsidR="00011B79" w:rsidRPr="001E0DCD" w:rsidTr="00011015">
        <w:trPr>
          <w:jc w:val="center"/>
        </w:trPr>
        <w:tc>
          <w:tcPr>
            <w:tcW w:w="1838" w:type="dxa"/>
          </w:tcPr>
          <w:p w:rsidR="00011B79" w:rsidRDefault="00011B79" w:rsidP="00011015">
            <w:pPr>
              <w:tabs>
                <w:tab w:val="clear" w:pos="851"/>
              </w:tabs>
              <w:spacing w:after="0"/>
              <w:ind w:left="0"/>
              <w:jc w:val="left"/>
              <w:rPr>
                <w:rFonts w:cs="Arial"/>
                <w:sz w:val="16"/>
                <w:szCs w:val="16"/>
              </w:rPr>
            </w:pPr>
            <w:r>
              <w:rPr>
                <w:rFonts w:cs="Arial"/>
                <w:sz w:val="16"/>
                <w:szCs w:val="16"/>
              </w:rPr>
              <w:t>2.28</w:t>
            </w:r>
          </w:p>
        </w:tc>
        <w:tc>
          <w:tcPr>
            <w:tcW w:w="4173" w:type="dxa"/>
          </w:tcPr>
          <w:p w:rsidR="00011B79" w:rsidRDefault="00011B79" w:rsidP="00011015">
            <w:pPr>
              <w:tabs>
                <w:tab w:val="clear" w:pos="851"/>
              </w:tabs>
              <w:spacing w:after="0"/>
              <w:ind w:left="0"/>
              <w:jc w:val="left"/>
              <w:rPr>
                <w:rFonts w:cs="Arial"/>
                <w:sz w:val="16"/>
                <w:szCs w:val="16"/>
              </w:rPr>
            </w:pPr>
            <w:r>
              <w:rPr>
                <w:rFonts w:cs="Arial"/>
                <w:sz w:val="16"/>
                <w:szCs w:val="16"/>
              </w:rPr>
              <w:t xml:space="preserve">ICS – Acceptance Testing </w:t>
            </w:r>
          </w:p>
        </w:tc>
        <w:tc>
          <w:tcPr>
            <w:tcW w:w="1781" w:type="dxa"/>
          </w:tcPr>
          <w:p w:rsidR="00011B79" w:rsidRDefault="00011B79" w:rsidP="00011015">
            <w:pPr>
              <w:tabs>
                <w:tab w:val="clear" w:pos="851"/>
              </w:tabs>
              <w:spacing w:after="0"/>
              <w:ind w:left="0"/>
              <w:jc w:val="left"/>
              <w:rPr>
                <w:rFonts w:cs="Arial"/>
                <w:sz w:val="16"/>
                <w:szCs w:val="16"/>
              </w:rPr>
            </w:pPr>
            <w:r>
              <w:rPr>
                <w:rFonts w:cs="Arial"/>
                <w:sz w:val="16"/>
                <w:szCs w:val="16"/>
              </w:rPr>
              <w:t>August 2018</w:t>
            </w:r>
          </w:p>
        </w:tc>
      </w:tr>
      <w:tr w:rsidR="00E93135" w:rsidRPr="001E0DCD" w:rsidTr="00E93135">
        <w:trPr>
          <w:jc w:val="center"/>
        </w:trPr>
        <w:tc>
          <w:tcPr>
            <w:tcW w:w="1838" w:type="dxa"/>
          </w:tcPr>
          <w:p w:rsidR="00E93135" w:rsidRDefault="00E93135" w:rsidP="0064283F">
            <w:pPr>
              <w:tabs>
                <w:tab w:val="clear" w:pos="851"/>
              </w:tabs>
              <w:spacing w:after="0"/>
              <w:ind w:left="0"/>
              <w:jc w:val="left"/>
              <w:rPr>
                <w:rFonts w:cs="Arial"/>
                <w:sz w:val="16"/>
                <w:szCs w:val="16"/>
              </w:rPr>
            </w:pPr>
            <w:r>
              <w:rPr>
                <w:rFonts w:cs="Arial"/>
                <w:sz w:val="16"/>
                <w:szCs w:val="16"/>
              </w:rPr>
              <w:t>3.1</w:t>
            </w:r>
          </w:p>
        </w:tc>
        <w:tc>
          <w:tcPr>
            <w:tcW w:w="4173" w:type="dxa"/>
          </w:tcPr>
          <w:p w:rsidR="00E93135" w:rsidRDefault="00E93135" w:rsidP="00E93135">
            <w:pPr>
              <w:tabs>
                <w:tab w:val="clear" w:pos="851"/>
              </w:tabs>
              <w:spacing w:after="0"/>
              <w:ind w:left="0"/>
              <w:jc w:val="left"/>
              <w:rPr>
                <w:rFonts w:cs="Arial"/>
                <w:sz w:val="16"/>
                <w:szCs w:val="16"/>
              </w:rPr>
            </w:pPr>
            <w:r>
              <w:rPr>
                <w:rFonts w:cs="Arial"/>
                <w:sz w:val="16"/>
                <w:szCs w:val="16"/>
              </w:rPr>
              <w:t>CUSP – Expect challenge of proposed stretch targets</w:t>
            </w:r>
          </w:p>
        </w:tc>
        <w:tc>
          <w:tcPr>
            <w:tcW w:w="1781" w:type="dxa"/>
          </w:tcPr>
          <w:p w:rsidR="00E93135" w:rsidRDefault="00E93135" w:rsidP="00E93135">
            <w:pPr>
              <w:tabs>
                <w:tab w:val="clear" w:pos="851"/>
              </w:tabs>
              <w:spacing w:after="0"/>
              <w:ind w:left="0"/>
              <w:jc w:val="left"/>
              <w:rPr>
                <w:rFonts w:cs="Arial"/>
                <w:sz w:val="16"/>
                <w:szCs w:val="16"/>
              </w:rPr>
            </w:pPr>
            <w:r>
              <w:rPr>
                <w:rFonts w:cs="Arial"/>
                <w:sz w:val="16"/>
                <w:szCs w:val="16"/>
              </w:rPr>
              <w:t>May 2018</w:t>
            </w:r>
          </w:p>
        </w:tc>
      </w:tr>
      <w:tr w:rsidR="00E93135" w:rsidRPr="001E0DCD" w:rsidTr="00E93135">
        <w:trPr>
          <w:jc w:val="center"/>
        </w:trPr>
        <w:tc>
          <w:tcPr>
            <w:tcW w:w="1838" w:type="dxa"/>
          </w:tcPr>
          <w:p w:rsidR="00E93135" w:rsidRDefault="00011B79" w:rsidP="00E93135">
            <w:pPr>
              <w:tabs>
                <w:tab w:val="clear" w:pos="851"/>
              </w:tabs>
              <w:spacing w:after="0"/>
              <w:ind w:left="0"/>
              <w:jc w:val="left"/>
              <w:rPr>
                <w:rFonts w:cs="Arial"/>
                <w:sz w:val="16"/>
                <w:szCs w:val="16"/>
              </w:rPr>
            </w:pPr>
            <w:r>
              <w:rPr>
                <w:rFonts w:cs="Arial"/>
                <w:sz w:val="16"/>
                <w:szCs w:val="16"/>
              </w:rPr>
              <w:t>3.6</w:t>
            </w:r>
          </w:p>
        </w:tc>
        <w:tc>
          <w:tcPr>
            <w:tcW w:w="4173" w:type="dxa"/>
          </w:tcPr>
          <w:p w:rsidR="00E93135" w:rsidRDefault="00E93135" w:rsidP="00E93135">
            <w:pPr>
              <w:tabs>
                <w:tab w:val="clear" w:pos="851"/>
              </w:tabs>
              <w:spacing w:after="0"/>
              <w:ind w:left="0"/>
              <w:jc w:val="left"/>
              <w:rPr>
                <w:rFonts w:cs="Arial"/>
                <w:sz w:val="16"/>
                <w:szCs w:val="16"/>
              </w:rPr>
            </w:pPr>
            <w:r>
              <w:rPr>
                <w:rFonts w:cs="Arial"/>
                <w:sz w:val="16"/>
                <w:szCs w:val="16"/>
              </w:rPr>
              <w:t>Engagement with Natural England and Environment Agency on environmental ODIs</w:t>
            </w:r>
          </w:p>
        </w:tc>
        <w:tc>
          <w:tcPr>
            <w:tcW w:w="1781" w:type="dxa"/>
          </w:tcPr>
          <w:p w:rsidR="00E93135" w:rsidRDefault="00011B79" w:rsidP="00E93135">
            <w:pPr>
              <w:tabs>
                <w:tab w:val="clear" w:pos="851"/>
              </w:tabs>
              <w:spacing w:after="0"/>
              <w:ind w:left="0"/>
              <w:jc w:val="left"/>
              <w:rPr>
                <w:rFonts w:cs="Arial"/>
                <w:sz w:val="16"/>
                <w:szCs w:val="16"/>
              </w:rPr>
            </w:pPr>
            <w:r>
              <w:rPr>
                <w:rFonts w:cs="Arial"/>
                <w:sz w:val="16"/>
                <w:szCs w:val="16"/>
              </w:rPr>
              <w:t>June 2018</w:t>
            </w:r>
          </w:p>
        </w:tc>
      </w:tr>
      <w:tr w:rsidR="00E93135" w:rsidRPr="001E0DCD" w:rsidTr="00E93135">
        <w:trPr>
          <w:jc w:val="center"/>
        </w:trPr>
        <w:tc>
          <w:tcPr>
            <w:tcW w:w="1838" w:type="dxa"/>
          </w:tcPr>
          <w:p w:rsidR="00E93135" w:rsidRDefault="00011B79" w:rsidP="00E93135">
            <w:pPr>
              <w:tabs>
                <w:tab w:val="clear" w:pos="851"/>
              </w:tabs>
              <w:spacing w:after="0"/>
              <w:ind w:left="0"/>
              <w:jc w:val="left"/>
              <w:rPr>
                <w:rFonts w:cs="Arial"/>
                <w:sz w:val="16"/>
                <w:szCs w:val="16"/>
              </w:rPr>
            </w:pPr>
            <w:r>
              <w:rPr>
                <w:rFonts w:cs="Arial"/>
                <w:sz w:val="16"/>
                <w:szCs w:val="16"/>
              </w:rPr>
              <w:t>3.9</w:t>
            </w:r>
          </w:p>
        </w:tc>
        <w:tc>
          <w:tcPr>
            <w:tcW w:w="4173" w:type="dxa"/>
          </w:tcPr>
          <w:p w:rsidR="00E93135" w:rsidRDefault="00011B79" w:rsidP="00E93135">
            <w:pPr>
              <w:tabs>
                <w:tab w:val="clear" w:pos="851"/>
              </w:tabs>
              <w:spacing w:after="0"/>
              <w:ind w:left="0"/>
              <w:jc w:val="left"/>
              <w:rPr>
                <w:rFonts w:cs="Arial"/>
                <w:sz w:val="16"/>
                <w:szCs w:val="16"/>
              </w:rPr>
            </w:pPr>
            <w:r>
              <w:rPr>
                <w:rFonts w:cs="Arial"/>
                <w:sz w:val="16"/>
                <w:szCs w:val="16"/>
              </w:rPr>
              <w:t>Establishing Performance Commitments</w:t>
            </w:r>
          </w:p>
        </w:tc>
        <w:tc>
          <w:tcPr>
            <w:tcW w:w="1781" w:type="dxa"/>
          </w:tcPr>
          <w:p w:rsidR="00E93135" w:rsidRDefault="00011B79" w:rsidP="00E93135">
            <w:pPr>
              <w:tabs>
                <w:tab w:val="clear" w:pos="851"/>
              </w:tabs>
              <w:spacing w:after="0"/>
              <w:ind w:left="0"/>
              <w:jc w:val="left"/>
              <w:rPr>
                <w:rFonts w:cs="Arial"/>
                <w:sz w:val="16"/>
                <w:szCs w:val="16"/>
              </w:rPr>
            </w:pPr>
            <w:r>
              <w:rPr>
                <w:rFonts w:cs="Arial"/>
                <w:sz w:val="16"/>
                <w:szCs w:val="16"/>
              </w:rPr>
              <w:t>August 2018</w:t>
            </w:r>
          </w:p>
        </w:tc>
      </w:tr>
      <w:tr w:rsidR="00E93135" w:rsidRPr="001E0DCD" w:rsidTr="00E93135">
        <w:trPr>
          <w:jc w:val="center"/>
        </w:trPr>
        <w:tc>
          <w:tcPr>
            <w:tcW w:w="1838" w:type="dxa"/>
          </w:tcPr>
          <w:p w:rsidR="00E93135" w:rsidRDefault="00011B79" w:rsidP="00E93135">
            <w:pPr>
              <w:tabs>
                <w:tab w:val="clear" w:pos="851"/>
              </w:tabs>
              <w:spacing w:after="0"/>
              <w:ind w:left="0"/>
              <w:jc w:val="left"/>
              <w:rPr>
                <w:rFonts w:cs="Arial"/>
                <w:sz w:val="16"/>
                <w:szCs w:val="16"/>
              </w:rPr>
            </w:pPr>
            <w:r>
              <w:rPr>
                <w:rFonts w:cs="Arial"/>
                <w:sz w:val="16"/>
                <w:szCs w:val="16"/>
              </w:rPr>
              <w:t>3.10</w:t>
            </w:r>
          </w:p>
        </w:tc>
        <w:tc>
          <w:tcPr>
            <w:tcW w:w="4173" w:type="dxa"/>
          </w:tcPr>
          <w:p w:rsidR="00E93135" w:rsidRDefault="00011B79" w:rsidP="00E93135">
            <w:pPr>
              <w:tabs>
                <w:tab w:val="clear" w:pos="851"/>
              </w:tabs>
              <w:spacing w:after="0"/>
              <w:ind w:left="0"/>
              <w:jc w:val="left"/>
              <w:rPr>
                <w:rFonts w:cs="Arial"/>
                <w:sz w:val="16"/>
                <w:szCs w:val="16"/>
              </w:rPr>
            </w:pPr>
            <w:r>
              <w:rPr>
                <w:rFonts w:cs="Arial"/>
                <w:sz w:val="16"/>
                <w:szCs w:val="16"/>
              </w:rPr>
              <w:t>Performance Commitment Definitions</w:t>
            </w:r>
          </w:p>
        </w:tc>
        <w:tc>
          <w:tcPr>
            <w:tcW w:w="1781" w:type="dxa"/>
          </w:tcPr>
          <w:p w:rsidR="00E93135" w:rsidRDefault="00011B79" w:rsidP="00E93135">
            <w:pPr>
              <w:tabs>
                <w:tab w:val="clear" w:pos="851"/>
              </w:tabs>
              <w:spacing w:after="0"/>
              <w:ind w:left="0"/>
              <w:jc w:val="left"/>
              <w:rPr>
                <w:rFonts w:cs="Arial"/>
                <w:sz w:val="16"/>
                <w:szCs w:val="16"/>
              </w:rPr>
            </w:pPr>
            <w:r>
              <w:rPr>
                <w:rFonts w:cs="Arial"/>
                <w:sz w:val="16"/>
                <w:szCs w:val="16"/>
              </w:rPr>
              <w:t>August 2018</w:t>
            </w:r>
          </w:p>
        </w:tc>
      </w:tr>
    </w:tbl>
    <w:p w:rsidR="0074163F" w:rsidRDefault="0074163F">
      <w:pPr>
        <w:tabs>
          <w:tab w:val="clear" w:pos="851"/>
        </w:tabs>
        <w:spacing w:after="0"/>
        <w:ind w:left="0"/>
        <w:jc w:val="left"/>
      </w:pPr>
    </w:p>
    <w:p w:rsidR="0074163F" w:rsidRDefault="0074163F">
      <w:pPr>
        <w:tabs>
          <w:tab w:val="clear" w:pos="851"/>
        </w:tabs>
        <w:spacing w:after="0"/>
        <w:ind w:left="0"/>
        <w:jc w:val="left"/>
      </w:pPr>
      <w:r>
        <w:br w:type="page"/>
      </w:r>
    </w:p>
    <w:p w:rsidR="00806312" w:rsidRDefault="00806312" w:rsidP="00806312">
      <w:pPr>
        <w:pStyle w:val="Heading2"/>
      </w:pPr>
      <w:bookmarkStart w:id="38" w:name="_Toc522199974"/>
      <w:bookmarkStart w:id="39" w:name="_Toc522200071"/>
      <w:bookmarkStart w:id="40" w:name="_Toc523651251"/>
      <w:r>
        <w:t>Safe, Secure and Reliable Supply of Drinking Water</w:t>
      </w:r>
      <w:bookmarkEnd w:id="38"/>
      <w:bookmarkEnd w:id="39"/>
      <w:bookmarkEnd w:id="40"/>
    </w:p>
    <w:p w:rsidR="007C079B" w:rsidRPr="007C079B" w:rsidRDefault="007C079B" w:rsidP="007C079B">
      <w:r>
        <w:t xml:space="preserve">This section explains our </w:t>
      </w:r>
      <w:r w:rsidR="00A11EF3">
        <w:t>O</w:t>
      </w:r>
      <w:r>
        <w:t xml:space="preserve">utcome ‘Safe, Secure and Reliable Supply of Drinking Water’.  We start with a summary table of the performance indicated that underpin it, explain the customer insight that has shaped this </w:t>
      </w:r>
      <w:r w:rsidR="00A11EF3">
        <w:t>O</w:t>
      </w:r>
      <w:r>
        <w:t>utcome and then explain each Performance Commitment in detail.</w:t>
      </w:r>
    </w:p>
    <w:tbl>
      <w:tblPr>
        <w:tblStyle w:val="TableGrid"/>
        <w:tblW w:w="8783" w:type="dxa"/>
        <w:tblInd w:w="851" w:type="dxa"/>
        <w:tblLayout w:type="fixed"/>
        <w:tblLook w:val="04A0" w:firstRow="1" w:lastRow="0" w:firstColumn="1" w:lastColumn="0" w:noHBand="0" w:noVBand="1"/>
      </w:tblPr>
      <w:tblGrid>
        <w:gridCol w:w="2405"/>
        <w:gridCol w:w="567"/>
        <w:gridCol w:w="1653"/>
        <w:gridCol w:w="1654"/>
        <w:gridCol w:w="1654"/>
        <w:gridCol w:w="850"/>
      </w:tblGrid>
      <w:tr w:rsidR="00806312" w:rsidTr="00806312">
        <w:tc>
          <w:tcPr>
            <w:tcW w:w="2405" w:type="dxa"/>
            <w:shd w:val="clear" w:color="auto" w:fill="2E74B5" w:themeFill="accent1" w:themeFillShade="BF"/>
          </w:tcPr>
          <w:p w:rsidR="00806312" w:rsidRPr="007C5AC6" w:rsidRDefault="00806312" w:rsidP="00806312">
            <w:pPr>
              <w:spacing w:after="0"/>
              <w:ind w:left="0"/>
              <w:rPr>
                <w:sz w:val="14"/>
                <w:szCs w:val="14"/>
              </w:rPr>
            </w:pPr>
            <w:r w:rsidRPr="007C5AC6">
              <w:rPr>
                <w:b/>
                <w:bCs/>
                <w:color w:val="FFFFFF" w:themeColor="background1"/>
                <w:sz w:val="14"/>
                <w:szCs w:val="14"/>
              </w:rPr>
              <w:t>Performance Commitment</w:t>
            </w:r>
          </w:p>
        </w:tc>
        <w:tc>
          <w:tcPr>
            <w:tcW w:w="567" w:type="dxa"/>
            <w:shd w:val="clear" w:color="auto" w:fill="2E74B5" w:themeFill="accent1" w:themeFillShade="BF"/>
          </w:tcPr>
          <w:p w:rsidR="00806312" w:rsidRPr="007C5AC6" w:rsidRDefault="00806312" w:rsidP="00806312">
            <w:pPr>
              <w:spacing w:before="20" w:after="20"/>
              <w:ind w:left="0"/>
              <w:jc w:val="center"/>
              <w:rPr>
                <w:b/>
                <w:bCs/>
                <w:color w:val="FFFFFF" w:themeColor="background1"/>
                <w:sz w:val="14"/>
                <w:szCs w:val="14"/>
              </w:rPr>
            </w:pPr>
            <w:r w:rsidRPr="007C5AC6">
              <w:rPr>
                <w:b/>
                <w:bCs/>
                <w:color w:val="FFFFFF" w:themeColor="background1"/>
                <w:sz w:val="14"/>
                <w:szCs w:val="14"/>
              </w:rPr>
              <w:t>Type</w:t>
            </w:r>
          </w:p>
        </w:tc>
        <w:tc>
          <w:tcPr>
            <w:tcW w:w="1653" w:type="dxa"/>
            <w:shd w:val="clear" w:color="auto" w:fill="2E74B5" w:themeFill="accent1" w:themeFillShade="BF"/>
          </w:tcPr>
          <w:p w:rsidR="00806312" w:rsidRPr="007C5AC6" w:rsidRDefault="00806312" w:rsidP="00806312">
            <w:pPr>
              <w:spacing w:after="0"/>
              <w:ind w:left="0"/>
              <w:rPr>
                <w:b/>
                <w:color w:val="FFFFFF" w:themeColor="background1"/>
                <w:sz w:val="14"/>
                <w:szCs w:val="14"/>
              </w:rPr>
            </w:pPr>
            <w:r w:rsidRPr="007C5AC6">
              <w:rPr>
                <w:b/>
                <w:color w:val="FFFFFF" w:themeColor="background1"/>
                <w:sz w:val="14"/>
                <w:szCs w:val="14"/>
              </w:rPr>
              <w:t>AMP6 Performance</w:t>
            </w:r>
          </w:p>
        </w:tc>
        <w:tc>
          <w:tcPr>
            <w:tcW w:w="1654" w:type="dxa"/>
            <w:shd w:val="clear" w:color="auto" w:fill="2E74B5" w:themeFill="accent1" w:themeFillShade="BF"/>
          </w:tcPr>
          <w:p w:rsidR="00806312" w:rsidRPr="007C5AC6" w:rsidRDefault="00806312" w:rsidP="00806312">
            <w:pPr>
              <w:spacing w:after="0"/>
              <w:ind w:left="0"/>
              <w:rPr>
                <w:b/>
                <w:color w:val="FFFFFF" w:themeColor="background1"/>
                <w:sz w:val="14"/>
                <w:szCs w:val="14"/>
              </w:rPr>
            </w:pPr>
            <w:r w:rsidRPr="007C5AC6">
              <w:rPr>
                <w:b/>
                <w:color w:val="FFFFFF" w:themeColor="background1"/>
                <w:sz w:val="14"/>
                <w:szCs w:val="14"/>
              </w:rPr>
              <w:t>2024/25 Target</w:t>
            </w:r>
          </w:p>
        </w:tc>
        <w:tc>
          <w:tcPr>
            <w:tcW w:w="1654" w:type="dxa"/>
            <w:shd w:val="clear" w:color="auto" w:fill="2E74B5" w:themeFill="accent1" w:themeFillShade="BF"/>
          </w:tcPr>
          <w:p w:rsidR="00806312" w:rsidRPr="007C5AC6" w:rsidRDefault="00806312" w:rsidP="00806312">
            <w:pPr>
              <w:spacing w:after="0"/>
              <w:ind w:left="0"/>
              <w:rPr>
                <w:b/>
                <w:color w:val="FFFFFF" w:themeColor="background1"/>
                <w:sz w:val="14"/>
                <w:szCs w:val="14"/>
              </w:rPr>
            </w:pPr>
            <w:r w:rsidRPr="007C5AC6">
              <w:rPr>
                <w:b/>
                <w:color w:val="FFFFFF" w:themeColor="background1"/>
                <w:sz w:val="14"/>
                <w:szCs w:val="14"/>
              </w:rPr>
              <w:t>2034/35 Target</w:t>
            </w:r>
          </w:p>
        </w:tc>
        <w:tc>
          <w:tcPr>
            <w:tcW w:w="850" w:type="dxa"/>
            <w:shd w:val="clear" w:color="auto" w:fill="2E74B5" w:themeFill="accent1" w:themeFillShade="BF"/>
          </w:tcPr>
          <w:p w:rsidR="00806312" w:rsidRPr="007C5AC6" w:rsidRDefault="00806312" w:rsidP="00806312">
            <w:pPr>
              <w:spacing w:after="0"/>
              <w:ind w:left="0"/>
              <w:jc w:val="center"/>
              <w:rPr>
                <w:b/>
                <w:color w:val="FFFFFF" w:themeColor="background1"/>
                <w:sz w:val="14"/>
                <w:szCs w:val="14"/>
              </w:rPr>
            </w:pPr>
            <w:r w:rsidRPr="007C5AC6">
              <w:rPr>
                <w:b/>
                <w:color w:val="FFFFFF" w:themeColor="background1"/>
                <w:sz w:val="14"/>
                <w:szCs w:val="14"/>
              </w:rPr>
              <w:t>Reward/Penalty</w:t>
            </w:r>
          </w:p>
        </w:tc>
      </w:tr>
      <w:tr w:rsidR="00806312" w:rsidTr="00806312">
        <w:tc>
          <w:tcPr>
            <w:tcW w:w="2405" w:type="dxa"/>
          </w:tcPr>
          <w:p w:rsidR="00806312" w:rsidRPr="007C5AC6" w:rsidRDefault="00806312" w:rsidP="00806312">
            <w:pPr>
              <w:spacing w:before="20" w:after="20"/>
              <w:ind w:left="0"/>
              <w:rPr>
                <w:sz w:val="14"/>
                <w:szCs w:val="14"/>
              </w:rPr>
            </w:pPr>
            <w:r w:rsidRPr="007C5AC6">
              <w:rPr>
                <w:sz w:val="14"/>
                <w:szCs w:val="14"/>
              </w:rPr>
              <w:t xml:space="preserve">Water Quality Compliance (CRI) </w:t>
            </w:r>
          </w:p>
        </w:tc>
        <w:tc>
          <w:tcPr>
            <w:tcW w:w="567" w:type="dxa"/>
          </w:tcPr>
          <w:p w:rsidR="00806312" w:rsidRPr="007C5AC6" w:rsidRDefault="00806312" w:rsidP="00806312">
            <w:pPr>
              <w:spacing w:before="20" w:after="20"/>
              <w:ind w:left="0"/>
              <w:jc w:val="center"/>
              <w:rPr>
                <w:sz w:val="14"/>
                <w:szCs w:val="14"/>
              </w:rPr>
            </w:pPr>
            <w:r w:rsidRPr="007C5AC6">
              <w:rPr>
                <w:sz w:val="14"/>
                <w:szCs w:val="14"/>
              </w:rPr>
              <w:t>C</w:t>
            </w:r>
          </w:p>
        </w:tc>
        <w:tc>
          <w:tcPr>
            <w:tcW w:w="1653" w:type="dxa"/>
          </w:tcPr>
          <w:p w:rsidR="00806312" w:rsidRPr="007C5AC6" w:rsidRDefault="00806312" w:rsidP="00806312">
            <w:pPr>
              <w:spacing w:after="0"/>
              <w:ind w:left="0"/>
              <w:rPr>
                <w:sz w:val="14"/>
                <w:szCs w:val="14"/>
              </w:rPr>
            </w:pPr>
            <w:r>
              <w:rPr>
                <w:sz w:val="14"/>
                <w:szCs w:val="14"/>
              </w:rPr>
              <w:t>UQ (2016 and 2017)</w:t>
            </w:r>
          </w:p>
        </w:tc>
        <w:tc>
          <w:tcPr>
            <w:tcW w:w="1654" w:type="dxa"/>
          </w:tcPr>
          <w:p w:rsidR="00806312" w:rsidRPr="007C5AC6" w:rsidRDefault="00806312" w:rsidP="00806312">
            <w:pPr>
              <w:spacing w:before="20" w:after="20"/>
              <w:ind w:left="0"/>
              <w:rPr>
                <w:sz w:val="14"/>
                <w:szCs w:val="14"/>
              </w:rPr>
            </w:pPr>
            <w:r w:rsidRPr="007C5AC6">
              <w:rPr>
                <w:sz w:val="14"/>
                <w:szCs w:val="14"/>
              </w:rPr>
              <w:t>UQ</w:t>
            </w:r>
          </w:p>
        </w:tc>
        <w:tc>
          <w:tcPr>
            <w:tcW w:w="1654" w:type="dxa"/>
          </w:tcPr>
          <w:p w:rsidR="00806312" w:rsidRPr="007C5AC6" w:rsidRDefault="00806312" w:rsidP="00806312">
            <w:pPr>
              <w:spacing w:after="0"/>
              <w:ind w:left="0"/>
              <w:rPr>
                <w:sz w:val="14"/>
                <w:szCs w:val="14"/>
              </w:rPr>
            </w:pPr>
            <w:r>
              <w:rPr>
                <w:sz w:val="14"/>
                <w:szCs w:val="14"/>
              </w:rPr>
              <w:t>UQ</w:t>
            </w:r>
          </w:p>
        </w:tc>
        <w:tc>
          <w:tcPr>
            <w:tcW w:w="850" w:type="dxa"/>
          </w:tcPr>
          <w:p w:rsidR="00806312" w:rsidRPr="007C5AC6" w:rsidRDefault="00806312" w:rsidP="00806312">
            <w:pPr>
              <w:spacing w:after="0"/>
              <w:ind w:left="0"/>
              <w:jc w:val="center"/>
              <w:rPr>
                <w:sz w:val="14"/>
                <w:szCs w:val="14"/>
              </w:rPr>
            </w:pPr>
            <w:r w:rsidRPr="007C5AC6">
              <w:rPr>
                <w:sz w:val="14"/>
                <w:szCs w:val="14"/>
              </w:rPr>
              <w:t>P</w:t>
            </w:r>
          </w:p>
        </w:tc>
      </w:tr>
      <w:tr w:rsidR="000C6953" w:rsidTr="00806312">
        <w:tc>
          <w:tcPr>
            <w:tcW w:w="2405" w:type="dxa"/>
          </w:tcPr>
          <w:p w:rsidR="000C6953" w:rsidRPr="007C5AC6" w:rsidRDefault="000C6953" w:rsidP="000C6953">
            <w:pPr>
              <w:spacing w:before="20" w:after="20"/>
              <w:ind w:left="0"/>
              <w:rPr>
                <w:sz w:val="14"/>
                <w:szCs w:val="14"/>
              </w:rPr>
            </w:pPr>
            <w:r w:rsidRPr="007C5AC6">
              <w:rPr>
                <w:sz w:val="14"/>
                <w:szCs w:val="14"/>
              </w:rPr>
              <w:t xml:space="preserve">Customer Contacts relating to the colour of the water (black, brown, orange). </w:t>
            </w:r>
          </w:p>
        </w:tc>
        <w:tc>
          <w:tcPr>
            <w:tcW w:w="567" w:type="dxa"/>
          </w:tcPr>
          <w:p w:rsidR="000C6953" w:rsidRPr="007C5AC6" w:rsidRDefault="000C6953" w:rsidP="000C6953">
            <w:pPr>
              <w:spacing w:before="20" w:after="20"/>
              <w:ind w:left="0"/>
              <w:jc w:val="center"/>
              <w:rPr>
                <w:sz w:val="14"/>
                <w:szCs w:val="14"/>
              </w:rPr>
            </w:pPr>
            <w:r w:rsidRPr="007C5AC6">
              <w:rPr>
                <w:sz w:val="14"/>
                <w:szCs w:val="14"/>
              </w:rPr>
              <w:t>B</w:t>
            </w:r>
          </w:p>
        </w:tc>
        <w:tc>
          <w:tcPr>
            <w:tcW w:w="1653" w:type="dxa"/>
          </w:tcPr>
          <w:p w:rsidR="000C6953" w:rsidRPr="007C5AC6" w:rsidRDefault="000C6953" w:rsidP="000C6953">
            <w:pPr>
              <w:spacing w:after="0"/>
              <w:ind w:left="0"/>
              <w:rPr>
                <w:sz w:val="14"/>
                <w:szCs w:val="14"/>
              </w:rPr>
            </w:pPr>
            <w:r>
              <w:rPr>
                <w:sz w:val="14"/>
                <w:szCs w:val="14"/>
              </w:rPr>
              <w:t>UQ (AMP6 to date)</w:t>
            </w:r>
          </w:p>
        </w:tc>
        <w:tc>
          <w:tcPr>
            <w:tcW w:w="1654" w:type="dxa"/>
          </w:tcPr>
          <w:p w:rsidR="000C6953" w:rsidRPr="007C5AC6" w:rsidRDefault="000C6953" w:rsidP="000C6953">
            <w:pPr>
              <w:spacing w:before="20" w:after="20"/>
              <w:ind w:left="0"/>
              <w:rPr>
                <w:sz w:val="14"/>
                <w:szCs w:val="14"/>
              </w:rPr>
            </w:pPr>
            <w:r w:rsidRPr="007C5AC6">
              <w:rPr>
                <w:sz w:val="14"/>
                <w:szCs w:val="14"/>
              </w:rPr>
              <w:t>UQ</w:t>
            </w:r>
          </w:p>
        </w:tc>
        <w:tc>
          <w:tcPr>
            <w:tcW w:w="1654" w:type="dxa"/>
          </w:tcPr>
          <w:p w:rsidR="000C6953" w:rsidRPr="007C5AC6" w:rsidRDefault="000C6953" w:rsidP="000C6953">
            <w:pPr>
              <w:spacing w:after="0"/>
              <w:ind w:left="0"/>
              <w:rPr>
                <w:sz w:val="14"/>
                <w:szCs w:val="14"/>
              </w:rPr>
            </w:pPr>
            <w:r>
              <w:rPr>
                <w:sz w:val="14"/>
                <w:szCs w:val="14"/>
              </w:rPr>
              <w:t>UQ</w:t>
            </w:r>
          </w:p>
        </w:tc>
        <w:tc>
          <w:tcPr>
            <w:tcW w:w="850" w:type="dxa"/>
          </w:tcPr>
          <w:p w:rsidR="000C6953" w:rsidRPr="007C5AC6" w:rsidRDefault="000C6953" w:rsidP="000C6953">
            <w:pPr>
              <w:spacing w:after="0"/>
              <w:ind w:left="0"/>
              <w:jc w:val="center"/>
              <w:rPr>
                <w:sz w:val="14"/>
                <w:szCs w:val="14"/>
              </w:rPr>
            </w:pPr>
            <w:r>
              <w:rPr>
                <w:sz w:val="14"/>
                <w:szCs w:val="14"/>
              </w:rPr>
              <w:t>R/P</w:t>
            </w:r>
          </w:p>
        </w:tc>
      </w:tr>
      <w:tr w:rsidR="000C6953" w:rsidTr="00806312">
        <w:tc>
          <w:tcPr>
            <w:tcW w:w="2405" w:type="dxa"/>
          </w:tcPr>
          <w:p w:rsidR="000C6953" w:rsidRPr="007C5AC6" w:rsidRDefault="000C6953" w:rsidP="000C6953">
            <w:pPr>
              <w:spacing w:before="20" w:after="20"/>
              <w:ind w:left="0"/>
              <w:rPr>
                <w:sz w:val="14"/>
                <w:szCs w:val="14"/>
              </w:rPr>
            </w:pPr>
            <w:r w:rsidRPr="007C5AC6">
              <w:rPr>
                <w:sz w:val="14"/>
                <w:szCs w:val="14"/>
              </w:rPr>
              <w:t xml:space="preserve">Unplanned Outage </w:t>
            </w:r>
          </w:p>
        </w:tc>
        <w:tc>
          <w:tcPr>
            <w:tcW w:w="567" w:type="dxa"/>
          </w:tcPr>
          <w:p w:rsidR="000C6953" w:rsidRPr="007C5AC6" w:rsidRDefault="000C6953" w:rsidP="000C6953">
            <w:pPr>
              <w:spacing w:before="20" w:after="20"/>
              <w:ind w:left="0"/>
              <w:jc w:val="center"/>
              <w:rPr>
                <w:sz w:val="14"/>
                <w:szCs w:val="14"/>
              </w:rPr>
            </w:pPr>
            <w:r w:rsidRPr="007C5AC6">
              <w:rPr>
                <w:sz w:val="14"/>
                <w:szCs w:val="14"/>
              </w:rPr>
              <w:t>C</w:t>
            </w:r>
          </w:p>
        </w:tc>
        <w:tc>
          <w:tcPr>
            <w:tcW w:w="1653" w:type="dxa"/>
          </w:tcPr>
          <w:p w:rsidR="000C6953" w:rsidRPr="007C5AC6" w:rsidRDefault="000C6953" w:rsidP="000C6953">
            <w:pPr>
              <w:spacing w:after="0"/>
              <w:ind w:left="0"/>
              <w:rPr>
                <w:sz w:val="14"/>
                <w:szCs w:val="14"/>
              </w:rPr>
            </w:pPr>
            <w:r>
              <w:rPr>
                <w:sz w:val="14"/>
                <w:szCs w:val="14"/>
              </w:rPr>
              <w:t>6.95% (2017/18)</w:t>
            </w:r>
          </w:p>
        </w:tc>
        <w:tc>
          <w:tcPr>
            <w:tcW w:w="1654" w:type="dxa"/>
          </w:tcPr>
          <w:p w:rsidR="000C6953" w:rsidRPr="007C5AC6" w:rsidRDefault="000C6953" w:rsidP="000C6953">
            <w:pPr>
              <w:spacing w:before="20" w:after="20"/>
              <w:ind w:left="0"/>
              <w:rPr>
                <w:sz w:val="14"/>
                <w:szCs w:val="14"/>
              </w:rPr>
            </w:pPr>
            <w:r w:rsidRPr="007C5AC6">
              <w:rPr>
                <w:sz w:val="14"/>
                <w:szCs w:val="14"/>
              </w:rPr>
              <w:t>3</w:t>
            </w:r>
            <w:r>
              <w:rPr>
                <w:sz w:val="14"/>
                <w:szCs w:val="14"/>
              </w:rPr>
              <w:t>.0</w:t>
            </w:r>
            <w:r w:rsidRPr="007C5AC6">
              <w:rPr>
                <w:sz w:val="14"/>
                <w:szCs w:val="14"/>
              </w:rPr>
              <w:t>%</w:t>
            </w:r>
          </w:p>
        </w:tc>
        <w:tc>
          <w:tcPr>
            <w:tcW w:w="1654" w:type="dxa"/>
          </w:tcPr>
          <w:p w:rsidR="000C6953" w:rsidRPr="007C5AC6" w:rsidRDefault="000C6953" w:rsidP="000C6953">
            <w:pPr>
              <w:spacing w:after="0"/>
              <w:ind w:left="0"/>
              <w:rPr>
                <w:sz w:val="14"/>
                <w:szCs w:val="14"/>
              </w:rPr>
            </w:pPr>
            <w:r>
              <w:rPr>
                <w:sz w:val="14"/>
                <w:szCs w:val="14"/>
              </w:rPr>
              <w:t>3.0%</w:t>
            </w:r>
          </w:p>
        </w:tc>
        <w:tc>
          <w:tcPr>
            <w:tcW w:w="850" w:type="dxa"/>
          </w:tcPr>
          <w:p w:rsidR="000C6953" w:rsidRPr="007C5AC6" w:rsidRDefault="000C6953" w:rsidP="000C6953">
            <w:pPr>
              <w:spacing w:after="0"/>
              <w:ind w:left="0"/>
              <w:jc w:val="center"/>
              <w:rPr>
                <w:sz w:val="14"/>
                <w:szCs w:val="14"/>
              </w:rPr>
            </w:pPr>
            <w:r>
              <w:rPr>
                <w:sz w:val="14"/>
                <w:szCs w:val="14"/>
              </w:rPr>
              <w:t>REP</w:t>
            </w:r>
          </w:p>
        </w:tc>
      </w:tr>
      <w:tr w:rsidR="000C6953" w:rsidTr="00806312">
        <w:tc>
          <w:tcPr>
            <w:tcW w:w="2405" w:type="dxa"/>
          </w:tcPr>
          <w:p w:rsidR="000C6953" w:rsidRPr="007C5AC6" w:rsidRDefault="000C6953" w:rsidP="000C6953">
            <w:pPr>
              <w:spacing w:before="20" w:after="20"/>
              <w:ind w:left="0"/>
              <w:rPr>
                <w:sz w:val="14"/>
                <w:szCs w:val="14"/>
              </w:rPr>
            </w:pPr>
            <w:r w:rsidRPr="007C5AC6">
              <w:rPr>
                <w:sz w:val="14"/>
                <w:szCs w:val="14"/>
              </w:rPr>
              <w:t>Resilience Schemes</w:t>
            </w:r>
          </w:p>
        </w:tc>
        <w:tc>
          <w:tcPr>
            <w:tcW w:w="567" w:type="dxa"/>
          </w:tcPr>
          <w:p w:rsidR="000C6953" w:rsidRPr="007C5AC6" w:rsidRDefault="000C6953" w:rsidP="000C6953">
            <w:pPr>
              <w:spacing w:before="20" w:after="20"/>
              <w:ind w:left="0"/>
              <w:jc w:val="center"/>
              <w:rPr>
                <w:sz w:val="14"/>
                <w:szCs w:val="14"/>
              </w:rPr>
            </w:pPr>
            <w:r w:rsidRPr="007C5AC6">
              <w:rPr>
                <w:sz w:val="14"/>
                <w:szCs w:val="14"/>
              </w:rPr>
              <w:t>B</w:t>
            </w:r>
          </w:p>
        </w:tc>
        <w:tc>
          <w:tcPr>
            <w:tcW w:w="1653" w:type="dxa"/>
          </w:tcPr>
          <w:p w:rsidR="000C6953" w:rsidRPr="007C5AC6" w:rsidRDefault="000C6953" w:rsidP="000C6953">
            <w:pPr>
              <w:spacing w:after="0"/>
              <w:ind w:left="0"/>
              <w:rPr>
                <w:sz w:val="14"/>
                <w:szCs w:val="14"/>
              </w:rPr>
            </w:pPr>
            <w:r>
              <w:rPr>
                <w:sz w:val="14"/>
                <w:szCs w:val="14"/>
              </w:rPr>
              <w:t>n/a</w:t>
            </w:r>
          </w:p>
        </w:tc>
        <w:tc>
          <w:tcPr>
            <w:tcW w:w="1654" w:type="dxa"/>
          </w:tcPr>
          <w:p w:rsidR="000C6953" w:rsidRPr="007C5AC6" w:rsidRDefault="000C6953" w:rsidP="00CC5366">
            <w:pPr>
              <w:spacing w:before="20" w:after="20"/>
              <w:ind w:left="0"/>
              <w:jc w:val="left"/>
              <w:rPr>
                <w:sz w:val="14"/>
                <w:szCs w:val="14"/>
              </w:rPr>
            </w:pPr>
            <w:r w:rsidRPr="007C5AC6">
              <w:rPr>
                <w:sz w:val="14"/>
                <w:szCs w:val="14"/>
              </w:rPr>
              <w:t>Capital</w:t>
            </w:r>
            <w:r w:rsidR="00CC5366">
              <w:rPr>
                <w:sz w:val="14"/>
                <w:szCs w:val="14"/>
              </w:rPr>
              <w:t xml:space="preserve"> Scheme delivered</w:t>
            </w:r>
          </w:p>
        </w:tc>
        <w:tc>
          <w:tcPr>
            <w:tcW w:w="1654" w:type="dxa"/>
          </w:tcPr>
          <w:p w:rsidR="000C6953" w:rsidRPr="007C5AC6" w:rsidRDefault="000C6953" w:rsidP="000C6953">
            <w:pPr>
              <w:spacing w:after="0"/>
              <w:ind w:left="0"/>
              <w:rPr>
                <w:sz w:val="14"/>
                <w:szCs w:val="14"/>
              </w:rPr>
            </w:pPr>
            <w:r>
              <w:rPr>
                <w:sz w:val="14"/>
                <w:szCs w:val="14"/>
              </w:rPr>
              <w:t>n/a</w:t>
            </w:r>
          </w:p>
        </w:tc>
        <w:tc>
          <w:tcPr>
            <w:tcW w:w="850" w:type="dxa"/>
          </w:tcPr>
          <w:p w:rsidR="000C6953" w:rsidRPr="007C5AC6" w:rsidRDefault="000C6953" w:rsidP="000C6953">
            <w:pPr>
              <w:spacing w:after="0"/>
              <w:ind w:left="0"/>
              <w:jc w:val="center"/>
              <w:rPr>
                <w:sz w:val="14"/>
                <w:szCs w:val="14"/>
              </w:rPr>
            </w:pPr>
            <w:r w:rsidRPr="007C5AC6">
              <w:rPr>
                <w:sz w:val="14"/>
                <w:szCs w:val="14"/>
              </w:rPr>
              <w:t>REP</w:t>
            </w:r>
          </w:p>
        </w:tc>
      </w:tr>
      <w:tr w:rsidR="000C6953" w:rsidTr="00806312">
        <w:tc>
          <w:tcPr>
            <w:tcW w:w="2405" w:type="dxa"/>
          </w:tcPr>
          <w:p w:rsidR="000C6953" w:rsidRPr="007C5AC6" w:rsidRDefault="0042456D" w:rsidP="000C6953">
            <w:pPr>
              <w:spacing w:before="20" w:after="20"/>
              <w:ind w:left="0"/>
              <w:rPr>
                <w:sz w:val="14"/>
                <w:szCs w:val="14"/>
              </w:rPr>
            </w:pPr>
            <w:r>
              <w:rPr>
                <w:sz w:val="14"/>
                <w:szCs w:val="14"/>
              </w:rPr>
              <w:t>Mains repairs (bursts)</w:t>
            </w:r>
            <w:r w:rsidR="00977912">
              <w:rPr>
                <w:sz w:val="14"/>
                <w:szCs w:val="14"/>
              </w:rPr>
              <w:t xml:space="preserve"> per 1,000km</w:t>
            </w:r>
          </w:p>
        </w:tc>
        <w:tc>
          <w:tcPr>
            <w:tcW w:w="567" w:type="dxa"/>
          </w:tcPr>
          <w:p w:rsidR="000C6953" w:rsidRPr="007C5AC6" w:rsidRDefault="000C6953" w:rsidP="000C6953">
            <w:pPr>
              <w:spacing w:before="20" w:after="20"/>
              <w:ind w:left="0"/>
              <w:jc w:val="center"/>
              <w:rPr>
                <w:sz w:val="14"/>
                <w:szCs w:val="14"/>
              </w:rPr>
            </w:pPr>
            <w:r w:rsidRPr="007C5AC6">
              <w:rPr>
                <w:sz w:val="14"/>
                <w:szCs w:val="14"/>
              </w:rPr>
              <w:t>C</w:t>
            </w:r>
          </w:p>
        </w:tc>
        <w:tc>
          <w:tcPr>
            <w:tcW w:w="1653" w:type="dxa"/>
          </w:tcPr>
          <w:p w:rsidR="000C6953" w:rsidRPr="007C5AC6" w:rsidRDefault="000C6953" w:rsidP="000C6953">
            <w:pPr>
              <w:spacing w:after="0"/>
              <w:ind w:left="0"/>
              <w:rPr>
                <w:sz w:val="14"/>
                <w:szCs w:val="14"/>
              </w:rPr>
            </w:pPr>
            <w:r>
              <w:rPr>
                <w:sz w:val="14"/>
                <w:szCs w:val="14"/>
              </w:rPr>
              <w:t>70 (2017/18)</w:t>
            </w:r>
          </w:p>
        </w:tc>
        <w:tc>
          <w:tcPr>
            <w:tcW w:w="1654" w:type="dxa"/>
          </w:tcPr>
          <w:p w:rsidR="000C6953" w:rsidRPr="007C5AC6" w:rsidRDefault="000C6953" w:rsidP="000C6953">
            <w:pPr>
              <w:spacing w:before="20" w:after="20"/>
              <w:ind w:left="0"/>
              <w:rPr>
                <w:sz w:val="14"/>
                <w:szCs w:val="14"/>
              </w:rPr>
            </w:pPr>
            <w:r w:rsidRPr="007C5AC6">
              <w:rPr>
                <w:sz w:val="14"/>
                <w:szCs w:val="14"/>
              </w:rPr>
              <w:t>67</w:t>
            </w:r>
          </w:p>
        </w:tc>
        <w:tc>
          <w:tcPr>
            <w:tcW w:w="1654" w:type="dxa"/>
          </w:tcPr>
          <w:p w:rsidR="000C6953" w:rsidRPr="007C5AC6" w:rsidRDefault="000C6953" w:rsidP="000C6953">
            <w:pPr>
              <w:spacing w:after="0"/>
              <w:ind w:left="0"/>
              <w:rPr>
                <w:sz w:val="14"/>
                <w:szCs w:val="14"/>
              </w:rPr>
            </w:pPr>
            <w:r>
              <w:rPr>
                <w:sz w:val="14"/>
                <w:szCs w:val="14"/>
              </w:rPr>
              <w:t>6</w:t>
            </w:r>
            <w:r w:rsidR="00C51A49">
              <w:rPr>
                <w:sz w:val="14"/>
                <w:szCs w:val="14"/>
              </w:rPr>
              <w:t>4</w:t>
            </w:r>
          </w:p>
        </w:tc>
        <w:tc>
          <w:tcPr>
            <w:tcW w:w="850" w:type="dxa"/>
          </w:tcPr>
          <w:p w:rsidR="000C6953" w:rsidRPr="007C5AC6" w:rsidRDefault="00732359" w:rsidP="000C6953">
            <w:pPr>
              <w:spacing w:after="0"/>
              <w:ind w:left="0"/>
              <w:jc w:val="center"/>
              <w:rPr>
                <w:sz w:val="14"/>
                <w:szCs w:val="14"/>
              </w:rPr>
            </w:pPr>
            <w:r>
              <w:rPr>
                <w:sz w:val="14"/>
                <w:szCs w:val="14"/>
              </w:rPr>
              <w:t>ER/EP</w:t>
            </w:r>
          </w:p>
        </w:tc>
      </w:tr>
      <w:tr w:rsidR="000C6953" w:rsidTr="00806312">
        <w:tc>
          <w:tcPr>
            <w:tcW w:w="2405" w:type="dxa"/>
          </w:tcPr>
          <w:p w:rsidR="000C6953" w:rsidRPr="007C5AC6" w:rsidRDefault="000C6953" w:rsidP="000C6953">
            <w:pPr>
              <w:spacing w:before="20" w:after="20"/>
              <w:ind w:left="0"/>
              <w:rPr>
                <w:sz w:val="14"/>
                <w:szCs w:val="14"/>
              </w:rPr>
            </w:pPr>
            <w:r w:rsidRPr="007C5AC6">
              <w:rPr>
                <w:sz w:val="14"/>
                <w:szCs w:val="14"/>
              </w:rPr>
              <w:t xml:space="preserve">Interruptions to Supply </w:t>
            </w:r>
            <w:r w:rsidR="00977912">
              <w:rPr>
                <w:sz w:val="14"/>
                <w:szCs w:val="14"/>
              </w:rPr>
              <w:t>per property</w:t>
            </w:r>
          </w:p>
        </w:tc>
        <w:tc>
          <w:tcPr>
            <w:tcW w:w="567" w:type="dxa"/>
          </w:tcPr>
          <w:p w:rsidR="000C6953" w:rsidRPr="007C5AC6" w:rsidRDefault="000C6953" w:rsidP="000C6953">
            <w:pPr>
              <w:spacing w:before="20" w:after="20"/>
              <w:ind w:left="0"/>
              <w:jc w:val="center"/>
              <w:rPr>
                <w:sz w:val="14"/>
                <w:szCs w:val="14"/>
              </w:rPr>
            </w:pPr>
            <w:r w:rsidRPr="007C5AC6">
              <w:rPr>
                <w:sz w:val="14"/>
                <w:szCs w:val="14"/>
              </w:rPr>
              <w:t>C</w:t>
            </w:r>
          </w:p>
        </w:tc>
        <w:tc>
          <w:tcPr>
            <w:tcW w:w="1653" w:type="dxa"/>
          </w:tcPr>
          <w:p w:rsidR="000C6953" w:rsidRPr="007C5AC6" w:rsidRDefault="000C6953" w:rsidP="000C6953">
            <w:pPr>
              <w:spacing w:after="0"/>
              <w:ind w:left="0"/>
              <w:rPr>
                <w:sz w:val="14"/>
                <w:szCs w:val="14"/>
              </w:rPr>
            </w:pPr>
            <w:r>
              <w:rPr>
                <w:sz w:val="14"/>
                <w:szCs w:val="14"/>
              </w:rPr>
              <w:t>4 mins (over AMP6)</w:t>
            </w:r>
          </w:p>
        </w:tc>
        <w:tc>
          <w:tcPr>
            <w:tcW w:w="1654" w:type="dxa"/>
          </w:tcPr>
          <w:p w:rsidR="000C6953" w:rsidRPr="007C5AC6" w:rsidRDefault="000C6953" w:rsidP="000C6953">
            <w:pPr>
              <w:spacing w:before="20" w:after="20"/>
              <w:ind w:left="0"/>
              <w:rPr>
                <w:sz w:val="14"/>
                <w:szCs w:val="14"/>
              </w:rPr>
            </w:pPr>
            <w:r w:rsidRPr="007C5AC6">
              <w:rPr>
                <w:sz w:val="14"/>
                <w:szCs w:val="14"/>
              </w:rPr>
              <w:t>3 mins</w:t>
            </w:r>
          </w:p>
        </w:tc>
        <w:tc>
          <w:tcPr>
            <w:tcW w:w="1654" w:type="dxa"/>
          </w:tcPr>
          <w:p w:rsidR="000C6953" w:rsidRPr="005B7EEF" w:rsidRDefault="000C6953" w:rsidP="000C6953">
            <w:pPr>
              <w:spacing w:after="0"/>
              <w:ind w:left="0"/>
              <w:rPr>
                <w:sz w:val="14"/>
                <w:szCs w:val="14"/>
              </w:rPr>
            </w:pPr>
            <w:r w:rsidRPr="005B7EEF">
              <w:rPr>
                <w:sz w:val="14"/>
                <w:szCs w:val="14"/>
              </w:rPr>
              <w:t>2 mins</w:t>
            </w:r>
          </w:p>
        </w:tc>
        <w:tc>
          <w:tcPr>
            <w:tcW w:w="850" w:type="dxa"/>
          </w:tcPr>
          <w:p w:rsidR="000C6953" w:rsidRPr="007C5AC6" w:rsidRDefault="00732359" w:rsidP="00732359">
            <w:pPr>
              <w:spacing w:after="0"/>
              <w:ind w:left="0"/>
              <w:jc w:val="center"/>
              <w:rPr>
                <w:sz w:val="14"/>
                <w:szCs w:val="14"/>
              </w:rPr>
            </w:pPr>
            <w:r>
              <w:rPr>
                <w:sz w:val="14"/>
                <w:szCs w:val="14"/>
              </w:rPr>
              <w:t>E</w:t>
            </w:r>
            <w:r w:rsidR="000C6953">
              <w:rPr>
                <w:sz w:val="14"/>
                <w:szCs w:val="14"/>
              </w:rPr>
              <w:t>R/</w:t>
            </w:r>
            <w:r>
              <w:rPr>
                <w:sz w:val="14"/>
                <w:szCs w:val="14"/>
              </w:rPr>
              <w:t>E</w:t>
            </w:r>
            <w:r w:rsidR="000C6953">
              <w:rPr>
                <w:sz w:val="14"/>
                <w:szCs w:val="14"/>
              </w:rPr>
              <w:t>P</w:t>
            </w:r>
          </w:p>
        </w:tc>
      </w:tr>
      <w:tr w:rsidR="000C6953" w:rsidTr="00806312">
        <w:tc>
          <w:tcPr>
            <w:tcW w:w="2405" w:type="dxa"/>
          </w:tcPr>
          <w:p w:rsidR="000C6953" w:rsidRPr="007C5AC6" w:rsidRDefault="000C6953" w:rsidP="000C6953">
            <w:pPr>
              <w:spacing w:before="20" w:after="20"/>
              <w:ind w:left="0"/>
              <w:rPr>
                <w:sz w:val="14"/>
                <w:szCs w:val="14"/>
              </w:rPr>
            </w:pPr>
            <w:r w:rsidRPr="007C5AC6">
              <w:rPr>
                <w:sz w:val="14"/>
                <w:szCs w:val="14"/>
              </w:rPr>
              <w:t xml:space="preserve">Properties at Risk of Low Pressure </w:t>
            </w:r>
          </w:p>
        </w:tc>
        <w:tc>
          <w:tcPr>
            <w:tcW w:w="567" w:type="dxa"/>
          </w:tcPr>
          <w:p w:rsidR="000C6953" w:rsidRPr="007C5AC6" w:rsidRDefault="000C6953" w:rsidP="000C6953">
            <w:pPr>
              <w:spacing w:before="20" w:after="20"/>
              <w:ind w:left="0"/>
              <w:jc w:val="center"/>
              <w:rPr>
                <w:sz w:val="14"/>
                <w:szCs w:val="14"/>
              </w:rPr>
            </w:pPr>
            <w:r w:rsidRPr="007C5AC6">
              <w:rPr>
                <w:sz w:val="14"/>
                <w:szCs w:val="14"/>
              </w:rPr>
              <w:t>B</w:t>
            </w:r>
          </w:p>
        </w:tc>
        <w:tc>
          <w:tcPr>
            <w:tcW w:w="1653" w:type="dxa"/>
          </w:tcPr>
          <w:p w:rsidR="000C6953" w:rsidRPr="007C5AC6" w:rsidRDefault="000C6953" w:rsidP="000C6953">
            <w:pPr>
              <w:spacing w:after="0"/>
              <w:ind w:left="0"/>
              <w:rPr>
                <w:sz w:val="14"/>
                <w:szCs w:val="14"/>
              </w:rPr>
            </w:pPr>
            <w:r>
              <w:rPr>
                <w:sz w:val="14"/>
                <w:szCs w:val="14"/>
              </w:rPr>
              <w:t>70 (over AMP6)</w:t>
            </w:r>
          </w:p>
        </w:tc>
        <w:tc>
          <w:tcPr>
            <w:tcW w:w="1654" w:type="dxa"/>
          </w:tcPr>
          <w:p w:rsidR="000C6953" w:rsidRPr="007C5AC6" w:rsidRDefault="000C6953" w:rsidP="000C6953">
            <w:pPr>
              <w:spacing w:before="20" w:after="20"/>
              <w:ind w:left="0"/>
              <w:rPr>
                <w:sz w:val="14"/>
                <w:szCs w:val="14"/>
              </w:rPr>
            </w:pPr>
            <w:r w:rsidRPr="007C5AC6">
              <w:rPr>
                <w:sz w:val="14"/>
                <w:szCs w:val="14"/>
              </w:rPr>
              <w:t>18 properties</w:t>
            </w:r>
          </w:p>
        </w:tc>
        <w:tc>
          <w:tcPr>
            <w:tcW w:w="1654" w:type="dxa"/>
          </w:tcPr>
          <w:p w:rsidR="000C6953" w:rsidRPr="007C5AC6" w:rsidRDefault="000C6953" w:rsidP="000C6953">
            <w:pPr>
              <w:spacing w:after="0"/>
              <w:ind w:left="0"/>
              <w:rPr>
                <w:sz w:val="14"/>
                <w:szCs w:val="14"/>
              </w:rPr>
            </w:pPr>
            <w:r>
              <w:rPr>
                <w:sz w:val="14"/>
                <w:szCs w:val="14"/>
              </w:rPr>
              <w:t>18 properties</w:t>
            </w:r>
          </w:p>
        </w:tc>
        <w:tc>
          <w:tcPr>
            <w:tcW w:w="850" w:type="dxa"/>
          </w:tcPr>
          <w:p w:rsidR="000C6953" w:rsidRPr="007C5AC6" w:rsidRDefault="000C6953" w:rsidP="000C6953">
            <w:pPr>
              <w:spacing w:after="0"/>
              <w:ind w:left="0"/>
              <w:jc w:val="center"/>
              <w:rPr>
                <w:sz w:val="14"/>
                <w:szCs w:val="14"/>
              </w:rPr>
            </w:pPr>
            <w:r>
              <w:rPr>
                <w:sz w:val="14"/>
                <w:szCs w:val="14"/>
              </w:rPr>
              <w:t>P</w:t>
            </w:r>
          </w:p>
        </w:tc>
      </w:tr>
    </w:tbl>
    <w:p w:rsidR="00011015" w:rsidRDefault="00011015" w:rsidP="00011015">
      <w:pPr>
        <w:rPr>
          <w:sz w:val="14"/>
          <w:szCs w:val="14"/>
        </w:rPr>
      </w:pPr>
      <w:bookmarkStart w:id="41" w:name="_Toc522199975"/>
      <w:bookmarkStart w:id="42" w:name="_Toc522200072"/>
      <w:r w:rsidRPr="00F84F6A">
        <w:rPr>
          <w:sz w:val="14"/>
          <w:szCs w:val="14"/>
        </w:rPr>
        <w:t>Key: C= Co</w:t>
      </w:r>
      <w:r>
        <w:rPr>
          <w:sz w:val="14"/>
          <w:szCs w:val="14"/>
        </w:rPr>
        <w:t>mmon B=Bespoke P=Penalty Only R = Reward Only R/P = Reward/Penalty REP = Reputational ER/EP = Enhanced Reward/Penalty UQ = Upper Quartile</w:t>
      </w:r>
    </w:p>
    <w:p w:rsidR="00806312" w:rsidRDefault="00806312" w:rsidP="00806312">
      <w:pPr>
        <w:pStyle w:val="Heading3"/>
      </w:pPr>
      <w:bookmarkStart w:id="43" w:name="_Toc523651252"/>
      <w:r w:rsidRPr="001402BD">
        <w:t>Engaging Customers</w:t>
      </w:r>
      <w:bookmarkEnd w:id="41"/>
      <w:bookmarkEnd w:id="42"/>
      <w:bookmarkEnd w:id="43"/>
      <w:r w:rsidRPr="001402BD">
        <w:t xml:space="preserve"> </w:t>
      </w:r>
    </w:p>
    <w:tbl>
      <w:tblPr>
        <w:tblStyle w:val="TableGrid"/>
        <w:tblW w:w="0" w:type="auto"/>
        <w:tblInd w:w="851" w:type="dxa"/>
        <w:tblLook w:val="04A0" w:firstRow="1" w:lastRow="0" w:firstColumn="1" w:lastColumn="0" w:noHBand="0" w:noVBand="1"/>
      </w:tblPr>
      <w:tblGrid>
        <w:gridCol w:w="2928"/>
        <w:gridCol w:w="2933"/>
        <w:gridCol w:w="2916"/>
      </w:tblGrid>
      <w:tr w:rsidR="00E91F89" w:rsidTr="002E2067">
        <w:tc>
          <w:tcPr>
            <w:tcW w:w="2928" w:type="dxa"/>
            <w:shd w:val="clear" w:color="auto" w:fill="2E74B5" w:themeFill="accent1" w:themeFillShade="BF"/>
          </w:tcPr>
          <w:p w:rsidR="00E91F89" w:rsidRPr="00AB45BC" w:rsidRDefault="00E91F89" w:rsidP="00E91F89">
            <w:pPr>
              <w:tabs>
                <w:tab w:val="clear" w:pos="851"/>
              </w:tabs>
              <w:spacing w:before="20" w:after="20"/>
              <w:ind w:left="0"/>
              <w:jc w:val="left"/>
              <w:rPr>
                <w:rFonts w:cs="Arial"/>
                <w:b/>
                <w:color w:val="FFFFFF" w:themeColor="background1"/>
                <w:sz w:val="16"/>
                <w:szCs w:val="16"/>
              </w:rPr>
            </w:pPr>
            <w:r w:rsidRPr="00AB45BC">
              <w:rPr>
                <w:rFonts w:cs="Arial"/>
                <w:b/>
                <w:color w:val="FFFFFF" w:themeColor="background1"/>
                <w:sz w:val="16"/>
                <w:szCs w:val="16"/>
              </w:rPr>
              <w:t>Research</w:t>
            </w:r>
            <w:r>
              <w:rPr>
                <w:rFonts w:cs="Arial"/>
                <w:b/>
                <w:color w:val="FFFFFF" w:themeColor="background1"/>
                <w:sz w:val="16"/>
                <w:szCs w:val="16"/>
              </w:rPr>
              <w:t xml:space="preserve"> &amp; Triangulation</w:t>
            </w:r>
          </w:p>
        </w:tc>
        <w:tc>
          <w:tcPr>
            <w:tcW w:w="2933" w:type="dxa"/>
            <w:shd w:val="clear" w:color="auto" w:fill="2E74B5" w:themeFill="accent1" w:themeFillShade="BF"/>
          </w:tcPr>
          <w:p w:rsidR="00E91F89" w:rsidRPr="00AB45BC" w:rsidRDefault="00E91F89" w:rsidP="00E91F89">
            <w:pPr>
              <w:tabs>
                <w:tab w:val="clear" w:pos="851"/>
              </w:tabs>
              <w:spacing w:before="20" w:after="20"/>
              <w:ind w:left="0"/>
              <w:jc w:val="left"/>
              <w:rPr>
                <w:rFonts w:cs="Arial"/>
                <w:b/>
                <w:color w:val="FFFFFF" w:themeColor="background1"/>
                <w:sz w:val="16"/>
                <w:szCs w:val="16"/>
              </w:rPr>
            </w:pPr>
            <w:r w:rsidRPr="00AB45BC">
              <w:rPr>
                <w:rFonts w:cs="Arial"/>
                <w:b/>
                <w:color w:val="FFFFFF" w:themeColor="background1"/>
                <w:sz w:val="16"/>
                <w:szCs w:val="16"/>
              </w:rPr>
              <w:t>Insight</w:t>
            </w:r>
          </w:p>
        </w:tc>
        <w:tc>
          <w:tcPr>
            <w:tcW w:w="2916" w:type="dxa"/>
            <w:shd w:val="clear" w:color="auto" w:fill="2E74B5" w:themeFill="accent1" w:themeFillShade="BF"/>
          </w:tcPr>
          <w:p w:rsidR="00E91F89" w:rsidRPr="00AB45BC" w:rsidRDefault="00E91F89" w:rsidP="00E91F89">
            <w:pPr>
              <w:tabs>
                <w:tab w:val="clear" w:pos="851"/>
              </w:tabs>
              <w:spacing w:before="20" w:after="20"/>
              <w:ind w:left="0"/>
              <w:jc w:val="left"/>
              <w:rPr>
                <w:rFonts w:cs="Arial"/>
                <w:b/>
                <w:color w:val="FFFFFF" w:themeColor="background1"/>
                <w:sz w:val="16"/>
                <w:szCs w:val="16"/>
              </w:rPr>
            </w:pPr>
            <w:r w:rsidRPr="00AB45BC">
              <w:rPr>
                <w:rFonts w:cs="Arial"/>
                <w:b/>
                <w:color w:val="FFFFFF" w:themeColor="background1"/>
                <w:sz w:val="16"/>
                <w:szCs w:val="16"/>
              </w:rPr>
              <w:t>Impact on the business plan</w:t>
            </w:r>
          </w:p>
        </w:tc>
      </w:tr>
      <w:tr w:rsidR="00E91F89" w:rsidTr="002E2067">
        <w:tc>
          <w:tcPr>
            <w:tcW w:w="2928"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asciiTheme="minorHAnsi" w:hAnsiTheme="minorHAnsi" w:cs="Arial"/>
                <w:sz w:val="16"/>
                <w:szCs w:val="16"/>
              </w:rPr>
            </w:pPr>
            <w:r>
              <w:rPr>
                <w:rFonts w:cs="Arial"/>
                <w:sz w:val="16"/>
                <w:szCs w:val="16"/>
              </w:rPr>
              <w:t>Baseline survey with focus groups conducted by Accent, four groups at two different locations</w:t>
            </w:r>
            <w:r w:rsidR="00E93135">
              <w:rPr>
                <w:rFonts w:cs="Arial"/>
                <w:sz w:val="16"/>
                <w:szCs w:val="16"/>
              </w:rPr>
              <w:t xml:space="preserve"> (Appendix 2.3).</w:t>
            </w:r>
          </w:p>
        </w:tc>
        <w:tc>
          <w:tcPr>
            <w:tcW w:w="2933"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Current service levels were supported</w:t>
            </w:r>
            <w:r w:rsidR="00732359">
              <w:rPr>
                <w:rFonts w:cs="Arial"/>
                <w:sz w:val="16"/>
                <w:szCs w:val="16"/>
              </w:rPr>
              <w:t>.</w:t>
            </w:r>
          </w:p>
          <w:p w:rsidR="00E91F89" w:rsidRDefault="00E91F89" w:rsidP="00E91F89">
            <w:pPr>
              <w:spacing w:before="20" w:after="20"/>
              <w:ind w:left="0"/>
              <w:rPr>
                <w:rFonts w:cs="Arial"/>
                <w:sz w:val="16"/>
                <w:szCs w:val="16"/>
              </w:rPr>
            </w:pPr>
            <w:r>
              <w:rPr>
                <w:rFonts w:cs="Arial"/>
                <w:sz w:val="16"/>
                <w:szCs w:val="16"/>
              </w:rPr>
              <w:t>Taste &amp; hardness observations</w:t>
            </w:r>
            <w:r w:rsidR="00732359">
              <w:rPr>
                <w:rFonts w:cs="Arial"/>
                <w:sz w:val="16"/>
                <w:szCs w:val="16"/>
              </w:rPr>
              <w:t>.</w:t>
            </w:r>
          </w:p>
          <w:p w:rsidR="00E91F89" w:rsidRDefault="00E91F89" w:rsidP="00E91F89">
            <w:pPr>
              <w:spacing w:before="20" w:after="20"/>
              <w:ind w:left="0"/>
              <w:rPr>
                <w:rFonts w:cs="Arial"/>
                <w:sz w:val="16"/>
                <w:szCs w:val="16"/>
              </w:rPr>
            </w:pPr>
            <w:r>
              <w:rPr>
                <w:rFonts w:cs="Arial"/>
                <w:sz w:val="16"/>
                <w:szCs w:val="16"/>
              </w:rPr>
              <w:t>Water pressure can be a problem for some customers</w:t>
            </w:r>
            <w:r w:rsidR="00732359">
              <w:rPr>
                <w:rFonts w:cs="Arial"/>
                <w:sz w:val="16"/>
                <w:szCs w:val="16"/>
              </w:rPr>
              <w:t>.</w:t>
            </w:r>
          </w:p>
        </w:tc>
        <w:tc>
          <w:tcPr>
            <w:tcW w:w="2916"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Further research concluded that customers did not support water softening.</w:t>
            </w:r>
          </w:p>
          <w:p w:rsidR="00E91F89" w:rsidRDefault="00E91F89" w:rsidP="00E91F89">
            <w:pPr>
              <w:spacing w:before="20" w:after="20"/>
              <w:ind w:left="0"/>
              <w:rPr>
                <w:rFonts w:cs="Arial"/>
                <w:sz w:val="16"/>
                <w:szCs w:val="16"/>
              </w:rPr>
            </w:pPr>
            <w:r>
              <w:rPr>
                <w:rFonts w:cs="Arial"/>
                <w:sz w:val="16"/>
                <w:szCs w:val="16"/>
              </w:rPr>
              <w:t>Commitment regarding properties at risk of low pressure.</w:t>
            </w:r>
          </w:p>
        </w:tc>
      </w:tr>
      <w:tr w:rsidR="00E91F89" w:rsidTr="002E2067">
        <w:tc>
          <w:tcPr>
            <w:tcW w:w="2928" w:type="dxa"/>
            <w:tcBorders>
              <w:top w:val="single" w:sz="4" w:space="0" w:color="auto"/>
              <w:left w:val="single" w:sz="4" w:space="0" w:color="auto"/>
              <w:bottom w:val="single" w:sz="4" w:space="0" w:color="auto"/>
              <w:right w:val="single" w:sz="4" w:space="0" w:color="auto"/>
            </w:tcBorders>
          </w:tcPr>
          <w:p w:rsidR="00E91F89" w:rsidRDefault="00E91F89" w:rsidP="007C079B">
            <w:pPr>
              <w:spacing w:before="20" w:after="20"/>
              <w:ind w:left="0"/>
              <w:rPr>
                <w:rFonts w:cs="Arial"/>
                <w:sz w:val="16"/>
                <w:szCs w:val="16"/>
              </w:rPr>
            </w:pPr>
            <w:r>
              <w:rPr>
                <w:rFonts w:cs="Arial"/>
                <w:sz w:val="16"/>
                <w:szCs w:val="16"/>
              </w:rPr>
              <w:t>Hard water survey</w:t>
            </w:r>
            <w:r w:rsidR="00E93135">
              <w:rPr>
                <w:rFonts w:cs="Arial"/>
                <w:sz w:val="16"/>
                <w:szCs w:val="16"/>
              </w:rPr>
              <w:t xml:space="preserve"> </w:t>
            </w:r>
            <w:r w:rsidR="008D2111">
              <w:rPr>
                <w:rFonts w:cs="Arial"/>
                <w:sz w:val="16"/>
                <w:szCs w:val="16"/>
              </w:rPr>
              <w:t>(Appendix 2.</w:t>
            </w:r>
            <w:r w:rsidR="007C079B">
              <w:rPr>
                <w:rFonts w:cs="Arial"/>
                <w:sz w:val="16"/>
                <w:szCs w:val="16"/>
              </w:rPr>
              <w:t>1</w:t>
            </w:r>
            <w:r w:rsidR="00D931CA">
              <w:rPr>
                <w:rFonts w:cs="Arial"/>
                <w:sz w:val="16"/>
                <w:szCs w:val="16"/>
              </w:rPr>
              <w:t xml:space="preserve">) </w:t>
            </w:r>
            <w:r w:rsidR="00995ADC">
              <w:rPr>
                <w:rFonts w:cs="Arial"/>
                <w:sz w:val="16"/>
                <w:szCs w:val="16"/>
              </w:rPr>
              <w:t>Custom</w:t>
            </w:r>
            <w:r w:rsidR="00D931CA">
              <w:rPr>
                <w:rFonts w:cs="Arial"/>
                <w:sz w:val="16"/>
                <w:szCs w:val="16"/>
              </w:rPr>
              <w:t>er Engagement and Triangulation</w:t>
            </w:r>
            <w:r w:rsidR="00995ADC">
              <w:rPr>
                <w:rFonts w:cs="Arial"/>
                <w:sz w:val="16"/>
                <w:szCs w:val="16"/>
              </w:rPr>
              <w:t>)</w:t>
            </w:r>
          </w:p>
        </w:tc>
        <w:tc>
          <w:tcPr>
            <w:tcW w:w="2933" w:type="dxa"/>
            <w:tcBorders>
              <w:top w:val="single" w:sz="4" w:space="0" w:color="auto"/>
              <w:left w:val="single" w:sz="4" w:space="0" w:color="auto"/>
              <w:bottom w:val="single" w:sz="4" w:space="0" w:color="auto"/>
              <w:right w:val="single" w:sz="4" w:space="0" w:color="auto"/>
            </w:tcBorders>
          </w:tcPr>
          <w:p w:rsidR="00E91F89" w:rsidRDefault="00E91F89" w:rsidP="00B63614">
            <w:pPr>
              <w:spacing w:before="20" w:after="20"/>
              <w:ind w:left="0"/>
              <w:rPr>
                <w:rFonts w:cs="Arial"/>
                <w:sz w:val="16"/>
                <w:szCs w:val="16"/>
              </w:rPr>
            </w:pPr>
            <w:r>
              <w:rPr>
                <w:rFonts w:cs="Arial"/>
                <w:sz w:val="16"/>
                <w:szCs w:val="16"/>
              </w:rPr>
              <w:t xml:space="preserve">Understanding revealed </w:t>
            </w:r>
            <w:r w:rsidR="00B63614">
              <w:rPr>
                <w:rFonts w:cs="Arial"/>
                <w:sz w:val="16"/>
                <w:szCs w:val="16"/>
              </w:rPr>
              <w:t xml:space="preserve">spending to </w:t>
            </w:r>
            <w:r>
              <w:rPr>
                <w:rFonts w:cs="Arial"/>
                <w:sz w:val="16"/>
                <w:szCs w:val="16"/>
              </w:rPr>
              <w:t>address hardness.</w:t>
            </w:r>
          </w:p>
        </w:tc>
        <w:tc>
          <w:tcPr>
            <w:tcW w:w="2916"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Further research concluded that informed customers did not want water softening.</w:t>
            </w:r>
          </w:p>
        </w:tc>
      </w:tr>
      <w:tr w:rsidR="00E91F89" w:rsidTr="002E2067">
        <w:tc>
          <w:tcPr>
            <w:tcW w:w="2928"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Customer Advisory Panels – 5 sessions over 18 months with the same core membership that are representative of our customer base</w:t>
            </w:r>
            <w:r w:rsidR="00995ADC">
              <w:rPr>
                <w:rFonts w:cs="Arial"/>
                <w:sz w:val="16"/>
                <w:szCs w:val="16"/>
              </w:rPr>
              <w:t xml:space="preserve"> (Appendix 2.4, 2.6, 2.7, 2.16, 2.22)</w:t>
            </w:r>
          </w:p>
        </w:tc>
        <w:tc>
          <w:tcPr>
            <w:tcW w:w="2933"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Explored and concluded on hard water &amp; taste</w:t>
            </w:r>
          </w:p>
          <w:p w:rsidR="00E91F89" w:rsidRDefault="00E91F89" w:rsidP="00E91F89">
            <w:pPr>
              <w:spacing w:before="20" w:after="20"/>
              <w:ind w:left="0"/>
              <w:rPr>
                <w:rFonts w:cs="Arial"/>
                <w:sz w:val="16"/>
                <w:szCs w:val="16"/>
              </w:rPr>
            </w:pPr>
            <w:r>
              <w:rPr>
                <w:rFonts w:cs="Arial"/>
                <w:sz w:val="16"/>
                <w:szCs w:val="16"/>
              </w:rPr>
              <w:t>Some challenge around targets for supply interruptions</w:t>
            </w:r>
            <w:r w:rsidR="00B63614">
              <w:rPr>
                <w:rFonts w:cs="Arial"/>
                <w:sz w:val="16"/>
                <w:szCs w:val="16"/>
              </w:rPr>
              <w:t>.</w:t>
            </w:r>
          </w:p>
        </w:tc>
        <w:tc>
          <w:tcPr>
            <w:tcW w:w="2916" w:type="dxa"/>
            <w:tcBorders>
              <w:top w:val="single" w:sz="4" w:space="0" w:color="auto"/>
              <w:left w:val="single" w:sz="4" w:space="0" w:color="auto"/>
              <w:bottom w:val="single" w:sz="4" w:space="0" w:color="auto"/>
              <w:right w:val="single" w:sz="4" w:space="0" w:color="auto"/>
            </w:tcBorders>
          </w:tcPr>
          <w:p w:rsidR="00977912" w:rsidRDefault="00977912" w:rsidP="00E91F89">
            <w:pPr>
              <w:spacing w:before="20" w:after="20"/>
              <w:ind w:left="0"/>
              <w:rPr>
                <w:rFonts w:cs="Arial"/>
                <w:sz w:val="16"/>
                <w:szCs w:val="16"/>
              </w:rPr>
            </w:pPr>
            <w:r>
              <w:rPr>
                <w:rFonts w:cs="Arial"/>
                <w:sz w:val="16"/>
                <w:szCs w:val="16"/>
              </w:rPr>
              <w:t>Softening of water not taken forward.</w:t>
            </w:r>
          </w:p>
          <w:p w:rsidR="00E91F89" w:rsidRDefault="00E91F89" w:rsidP="00E91F89">
            <w:pPr>
              <w:spacing w:before="20" w:after="20"/>
              <w:ind w:left="0"/>
              <w:rPr>
                <w:rFonts w:cs="Arial"/>
                <w:sz w:val="16"/>
                <w:szCs w:val="16"/>
              </w:rPr>
            </w:pPr>
            <w:r>
              <w:rPr>
                <w:rFonts w:cs="Arial"/>
                <w:sz w:val="16"/>
                <w:szCs w:val="16"/>
              </w:rPr>
              <w:t>Targets for supply interruptions were revisited and ultimately made more ambitious</w:t>
            </w:r>
            <w:r w:rsidR="00732359">
              <w:rPr>
                <w:rFonts w:cs="Arial"/>
                <w:sz w:val="16"/>
                <w:szCs w:val="16"/>
              </w:rPr>
              <w:t>.</w:t>
            </w:r>
          </w:p>
        </w:tc>
      </w:tr>
      <w:tr w:rsidR="00E91F89" w:rsidTr="002E2067">
        <w:tc>
          <w:tcPr>
            <w:tcW w:w="2928"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ICS Consulting Research-Survey work on Outcome priorities, Performance Commitment targets &amp; rewards &amp; penalties</w:t>
            </w:r>
            <w:r w:rsidR="00995ADC">
              <w:rPr>
                <w:rFonts w:cs="Arial"/>
                <w:sz w:val="16"/>
                <w:szCs w:val="16"/>
              </w:rPr>
              <w:t xml:space="preserve"> (Appendix 2.17, 2.24)</w:t>
            </w:r>
          </w:p>
        </w:tc>
        <w:tc>
          <w:tcPr>
            <w:tcW w:w="2933"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Highest priority, largest performance penalty and asymmetric view on rewards for this Outcome</w:t>
            </w:r>
            <w:r w:rsidR="00B63614">
              <w:rPr>
                <w:rFonts w:cs="Arial"/>
                <w:sz w:val="16"/>
                <w:szCs w:val="16"/>
              </w:rPr>
              <w:t>.</w:t>
            </w:r>
          </w:p>
        </w:tc>
        <w:tc>
          <w:tcPr>
            <w:tcW w:w="2916" w:type="dxa"/>
            <w:tcBorders>
              <w:top w:val="single" w:sz="4" w:space="0" w:color="auto"/>
              <w:left w:val="single" w:sz="4" w:space="0" w:color="auto"/>
              <w:bottom w:val="single" w:sz="4" w:space="0" w:color="auto"/>
              <w:right w:val="single" w:sz="4" w:space="0" w:color="auto"/>
            </w:tcBorders>
          </w:tcPr>
          <w:p w:rsidR="00E91F89" w:rsidRPr="00B63614" w:rsidRDefault="00E91F89" w:rsidP="00B63614">
            <w:pPr>
              <w:spacing w:before="20" w:after="20"/>
              <w:ind w:left="0"/>
              <w:rPr>
                <w:rFonts w:cs="Arial"/>
                <w:sz w:val="16"/>
                <w:szCs w:val="16"/>
              </w:rPr>
            </w:pPr>
            <w:r w:rsidRPr="00B63614">
              <w:rPr>
                <w:rFonts w:cs="Arial"/>
                <w:sz w:val="16"/>
                <w:szCs w:val="16"/>
              </w:rPr>
              <w:t xml:space="preserve">Informed stretch targets and rewards &amp; penalties range. </w:t>
            </w:r>
          </w:p>
        </w:tc>
      </w:tr>
      <w:tr w:rsidR="00E91F89" w:rsidTr="002E2067">
        <w:tc>
          <w:tcPr>
            <w:tcW w:w="2928"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Future issues – students survey</w:t>
            </w:r>
            <w:r w:rsidR="00995ADC">
              <w:rPr>
                <w:rFonts w:cs="Arial"/>
                <w:sz w:val="16"/>
                <w:szCs w:val="16"/>
              </w:rPr>
              <w:t xml:space="preserve"> (Appendix 2.11)</w:t>
            </w:r>
          </w:p>
        </w:tc>
        <w:tc>
          <w:tcPr>
            <w:tcW w:w="2933"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Views on acceptable interruption periods</w:t>
            </w:r>
            <w:r w:rsidR="00934560">
              <w:rPr>
                <w:rFonts w:cs="Arial"/>
                <w:sz w:val="16"/>
                <w:szCs w:val="16"/>
              </w:rPr>
              <w:t>, only 16% considered interruptions over 3 hours acceptable.</w:t>
            </w:r>
          </w:p>
        </w:tc>
        <w:tc>
          <w:tcPr>
            <w:tcW w:w="2916" w:type="dxa"/>
            <w:tcBorders>
              <w:top w:val="single" w:sz="4" w:space="0" w:color="auto"/>
              <w:left w:val="single" w:sz="4" w:space="0" w:color="auto"/>
              <w:bottom w:val="single" w:sz="4" w:space="0" w:color="auto"/>
              <w:right w:val="single" w:sz="4" w:space="0" w:color="auto"/>
            </w:tcBorders>
          </w:tcPr>
          <w:p w:rsidR="00E91F89" w:rsidRDefault="00934560" w:rsidP="00E91F89">
            <w:pPr>
              <w:spacing w:before="20" w:after="20"/>
              <w:ind w:left="0"/>
              <w:rPr>
                <w:rFonts w:cs="Arial"/>
                <w:sz w:val="16"/>
                <w:szCs w:val="16"/>
              </w:rPr>
            </w:pPr>
            <w:r>
              <w:rPr>
                <w:rFonts w:cs="Arial"/>
                <w:sz w:val="16"/>
                <w:szCs w:val="16"/>
              </w:rPr>
              <w:t>Supports reduction in target for interruptions to supply.</w:t>
            </w:r>
          </w:p>
        </w:tc>
      </w:tr>
      <w:tr w:rsidR="00E91F89" w:rsidTr="002E2067">
        <w:tc>
          <w:tcPr>
            <w:tcW w:w="2928"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Survey</w:t>
            </w:r>
            <w:r w:rsidR="00995ADC">
              <w:rPr>
                <w:rFonts w:cs="Arial"/>
                <w:sz w:val="16"/>
                <w:szCs w:val="16"/>
              </w:rPr>
              <w:t>s</w:t>
            </w:r>
            <w:r>
              <w:rPr>
                <w:rFonts w:cs="Arial"/>
                <w:sz w:val="16"/>
                <w:szCs w:val="16"/>
              </w:rPr>
              <w:t xml:space="preserve"> of customers following planned and unplanned interruptions</w:t>
            </w:r>
            <w:r w:rsidR="00995ADC">
              <w:rPr>
                <w:rFonts w:cs="Arial"/>
                <w:sz w:val="16"/>
                <w:szCs w:val="16"/>
              </w:rPr>
              <w:t xml:space="preserve"> (Appendix 2.15, 2.18)</w:t>
            </w:r>
          </w:p>
        </w:tc>
        <w:tc>
          <w:tcPr>
            <w:tcW w:w="2933" w:type="dxa"/>
            <w:tcBorders>
              <w:top w:val="single" w:sz="4" w:space="0" w:color="auto"/>
              <w:left w:val="single" w:sz="4" w:space="0" w:color="auto"/>
              <w:bottom w:val="single" w:sz="4" w:space="0" w:color="auto"/>
              <w:right w:val="single" w:sz="4" w:space="0" w:color="auto"/>
            </w:tcBorders>
          </w:tcPr>
          <w:p w:rsidR="00E91F89" w:rsidRDefault="00DC3BE9" w:rsidP="00E91F89">
            <w:pPr>
              <w:spacing w:before="20" w:after="20"/>
              <w:ind w:left="0"/>
              <w:rPr>
                <w:rFonts w:cs="Arial"/>
                <w:sz w:val="16"/>
                <w:szCs w:val="16"/>
              </w:rPr>
            </w:pPr>
            <w:r>
              <w:rPr>
                <w:rFonts w:cs="Arial"/>
                <w:sz w:val="16"/>
                <w:szCs w:val="16"/>
              </w:rPr>
              <w:t>Generally,</w:t>
            </w:r>
            <w:r w:rsidR="00E91F89">
              <w:rPr>
                <w:rFonts w:cs="Arial"/>
                <w:sz w:val="16"/>
                <w:szCs w:val="16"/>
              </w:rPr>
              <w:t xml:space="preserve"> customers felt they were not d</w:t>
            </w:r>
            <w:r w:rsidR="00721498">
              <w:rPr>
                <w:rFonts w:cs="Arial"/>
                <w:sz w:val="16"/>
                <w:szCs w:val="16"/>
              </w:rPr>
              <w:t>isrupted when water turned off providing short term and kept informed.</w:t>
            </w:r>
          </w:p>
        </w:tc>
        <w:tc>
          <w:tcPr>
            <w:tcW w:w="2916" w:type="dxa"/>
            <w:tcBorders>
              <w:top w:val="single" w:sz="4" w:space="0" w:color="auto"/>
              <w:left w:val="single" w:sz="4" w:space="0" w:color="auto"/>
              <w:bottom w:val="single" w:sz="4" w:space="0" w:color="auto"/>
              <w:right w:val="single" w:sz="4" w:space="0" w:color="auto"/>
            </w:tcBorders>
          </w:tcPr>
          <w:p w:rsidR="00E91F89" w:rsidRDefault="00934560" w:rsidP="00E91F89">
            <w:pPr>
              <w:spacing w:before="20" w:after="20"/>
              <w:ind w:left="0"/>
              <w:rPr>
                <w:rFonts w:cs="Arial"/>
                <w:sz w:val="16"/>
                <w:szCs w:val="16"/>
              </w:rPr>
            </w:pPr>
            <w:r>
              <w:rPr>
                <w:rFonts w:cs="Arial"/>
                <w:sz w:val="16"/>
                <w:szCs w:val="16"/>
              </w:rPr>
              <w:t>Supports reduction in supply interruptions target as clear link between length of disruptions and satisfaction.</w:t>
            </w:r>
          </w:p>
        </w:tc>
      </w:tr>
      <w:tr w:rsidR="00E91F89" w:rsidTr="002E2067">
        <w:tc>
          <w:tcPr>
            <w:tcW w:w="2928"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Complaints &amp; unwanted  contacts triangulation</w:t>
            </w:r>
            <w:r w:rsidR="00995ADC">
              <w:rPr>
                <w:rFonts w:cs="Arial"/>
                <w:sz w:val="16"/>
                <w:szCs w:val="16"/>
              </w:rPr>
              <w:t xml:space="preserve"> (Customer Engagement and triangulation 2.1)</w:t>
            </w:r>
          </w:p>
        </w:tc>
        <w:tc>
          <w:tcPr>
            <w:tcW w:w="2933"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Supports other customer views regarding the importance of this Outcome</w:t>
            </w:r>
          </w:p>
        </w:tc>
        <w:tc>
          <w:tcPr>
            <w:tcW w:w="2916" w:type="dxa"/>
            <w:tcBorders>
              <w:top w:val="single" w:sz="4" w:space="0" w:color="auto"/>
              <w:left w:val="single" w:sz="4" w:space="0" w:color="auto"/>
              <w:bottom w:val="single" w:sz="4" w:space="0" w:color="auto"/>
              <w:right w:val="single" w:sz="4" w:space="0" w:color="auto"/>
            </w:tcBorders>
          </w:tcPr>
          <w:p w:rsidR="00E91F89" w:rsidRDefault="00934560" w:rsidP="00E91F89">
            <w:pPr>
              <w:spacing w:before="20" w:after="20"/>
              <w:ind w:left="0"/>
              <w:rPr>
                <w:rFonts w:cs="Arial"/>
                <w:sz w:val="16"/>
                <w:szCs w:val="16"/>
              </w:rPr>
            </w:pPr>
            <w:r>
              <w:rPr>
                <w:rFonts w:cs="Arial"/>
                <w:sz w:val="16"/>
                <w:szCs w:val="16"/>
              </w:rPr>
              <w:t>Managing unplanned interruptions better would reduce unwanted calls.</w:t>
            </w:r>
          </w:p>
        </w:tc>
      </w:tr>
      <w:tr w:rsidR="00E91F89" w:rsidTr="002E2067">
        <w:tc>
          <w:tcPr>
            <w:tcW w:w="2928" w:type="dxa"/>
            <w:tcBorders>
              <w:top w:val="single" w:sz="4" w:space="0" w:color="auto"/>
              <w:left w:val="single" w:sz="4" w:space="0" w:color="auto"/>
              <w:bottom w:val="single" w:sz="4" w:space="0" w:color="auto"/>
              <w:right w:val="single" w:sz="4" w:space="0" w:color="auto"/>
            </w:tcBorders>
          </w:tcPr>
          <w:p w:rsidR="00E91F89" w:rsidRDefault="00E91F89" w:rsidP="00977912">
            <w:pPr>
              <w:spacing w:before="20" w:after="20"/>
              <w:ind w:left="0"/>
              <w:rPr>
                <w:rFonts w:cs="Arial"/>
                <w:sz w:val="16"/>
                <w:szCs w:val="16"/>
              </w:rPr>
            </w:pPr>
            <w:r>
              <w:rPr>
                <w:rFonts w:cs="Arial"/>
                <w:sz w:val="16"/>
                <w:szCs w:val="16"/>
              </w:rPr>
              <w:t>CCWater surveys</w:t>
            </w:r>
            <w:r w:rsidR="00995ADC">
              <w:rPr>
                <w:rFonts w:cs="Arial"/>
                <w:sz w:val="16"/>
                <w:szCs w:val="16"/>
              </w:rPr>
              <w:t xml:space="preserve"> (Appendix</w:t>
            </w:r>
            <w:r w:rsidR="00A60187">
              <w:rPr>
                <w:rFonts w:cs="Arial"/>
                <w:sz w:val="16"/>
                <w:szCs w:val="16"/>
              </w:rPr>
              <w:t xml:space="preserve"> 2.1</w:t>
            </w:r>
            <w:r w:rsidR="00995ADC">
              <w:rPr>
                <w:rFonts w:cs="Arial"/>
                <w:sz w:val="16"/>
                <w:szCs w:val="16"/>
              </w:rPr>
              <w:t xml:space="preserve"> Custom</w:t>
            </w:r>
            <w:r w:rsidR="00A60187">
              <w:rPr>
                <w:rFonts w:cs="Arial"/>
                <w:sz w:val="16"/>
                <w:szCs w:val="16"/>
              </w:rPr>
              <w:t>er Engagement and triangulation</w:t>
            </w:r>
            <w:r w:rsidR="00995ADC">
              <w:rPr>
                <w:rFonts w:cs="Arial"/>
                <w:sz w:val="16"/>
                <w:szCs w:val="16"/>
              </w:rPr>
              <w:t>)</w:t>
            </w:r>
          </w:p>
        </w:tc>
        <w:tc>
          <w:tcPr>
            <w:tcW w:w="2933"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Overall high satisfaction levels with measures relating to this Outcome except hardness</w:t>
            </w:r>
          </w:p>
        </w:tc>
        <w:tc>
          <w:tcPr>
            <w:tcW w:w="2916"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Correlated well with our research.</w:t>
            </w:r>
          </w:p>
        </w:tc>
      </w:tr>
      <w:tr w:rsidR="00E91F89" w:rsidTr="002E2067">
        <w:tc>
          <w:tcPr>
            <w:tcW w:w="2928"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Survey of customers at risk of low pressure</w:t>
            </w:r>
            <w:r w:rsidR="00995ADC">
              <w:rPr>
                <w:rFonts w:cs="Arial"/>
                <w:sz w:val="16"/>
                <w:szCs w:val="16"/>
              </w:rPr>
              <w:t xml:space="preserve"> (Appendix 2.25)</w:t>
            </w:r>
          </w:p>
        </w:tc>
        <w:tc>
          <w:tcPr>
            <w:tcW w:w="2933" w:type="dxa"/>
            <w:tcBorders>
              <w:top w:val="single" w:sz="4" w:space="0" w:color="auto"/>
              <w:left w:val="single" w:sz="4" w:space="0" w:color="auto"/>
              <w:bottom w:val="single" w:sz="4" w:space="0" w:color="auto"/>
              <w:right w:val="single" w:sz="4" w:space="0" w:color="auto"/>
            </w:tcBorders>
          </w:tcPr>
          <w:p w:rsidR="00E91F89" w:rsidRDefault="00E91F89" w:rsidP="00E91F89">
            <w:pPr>
              <w:spacing w:before="20" w:after="20"/>
              <w:ind w:left="0"/>
              <w:rPr>
                <w:rFonts w:cs="Arial"/>
                <w:sz w:val="16"/>
                <w:szCs w:val="16"/>
              </w:rPr>
            </w:pPr>
            <w:r>
              <w:rPr>
                <w:rFonts w:cs="Arial"/>
                <w:sz w:val="16"/>
                <w:szCs w:val="16"/>
              </w:rPr>
              <w:t>78% of surveyed customers were interested in their pressure issues being resolved.</w:t>
            </w:r>
          </w:p>
        </w:tc>
        <w:tc>
          <w:tcPr>
            <w:tcW w:w="2916" w:type="dxa"/>
            <w:tcBorders>
              <w:top w:val="single" w:sz="4" w:space="0" w:color="auto"/>
              <w:left w:val="single" w:sz="4" w:space="0" w:color="auto"/>
              <w:bottom w:val="single" w:sz="4" w:space="0" w:color="auto"/>
              <w:right w:val="single" w:sz="4" w:space="0" w:color="auto"/>
            </w:tcBorders>
          </w:tcPr>
          <w:p w:rsidR="00E91F89" w:rsidRDefault="00E91F89" w:rsidP="00A60187">
            <w:pPr>
              <w:spacing w:before="20" w:after="20"/>
              <w:ind w:left="0"/>
              <w:rPr>
                <w:rFonts w:cs="Arial"/>
                <w:sz w:val="16"/>
                <w:szCs w:val="16"/>
              </w:rPr>
            </w:pPr>
            <w:r>
              <w:rPr>
                <w:rFonts w:cs="Arial"/>
                <w:sz w:val="16"/>
                <w:szCs w:val="16"/>
              </w:rPr>
              <w:t xml:space="preserve">Properties at risk of Low Pressure was chosen as a bespoke Performance </w:t>
            </w:r>
            <w:r w:rsidR="00A60187">
              <w:rPr>
                <w:rFonts w:cs="Arial"/>
                <w:sz w:val="16"/>
                <w:szCs w:val="16"/>
              </w:rPr>
              <w:t>C</w:t>
            </w:r>
            <w:r>
              <w:rPr>
                <w:rFonts w:cs="Arial"/>
                <w:sz w:val="16"/>
                <w:szCs w:val="16"/>
              </w:rPr>
              <w:t>ommitment.</w:t>
            </w:r>
          </w:p>
        </w:tc>
      </w:tr>
    </w:tbl>
    <w:p w:rsidR="00806312" w:rsidRDefault="00806312" w:rsidP="003561B2">
      <w:pPr>
        <w:spacing w:after="0"/>
      </w:pPr>
    </w:p>
    <w:p w:rsidR="00000BCB" w:rsidRPr="00000BCB" w:rsidRDefault="00000BCB" w:rsidP="00000BCB">
      <w:r w:rsidRPr="00000BCB">
        <w:t xml:space="preserve">This Outcome is the most important overall for all of our customers, albeit a higher priority for older customers, with younger customers providing support more evenly over the range of </w:t>
      </w:r>
      <w:r w:rsidR="00934560">
        <w:t>O</w:t>
      </w:r>
      <w:r w:rsidRPr="00000BCB">
        <w:t xml:space="preserve">utcomes.  </w:t>
      </w:r>
      <w:r w:rsidR="00732359">
        <w:t xml:space="preserve">Customers </w:t>
      </w:r>
      <w:r w:rsidRPr="00000BCB">
        <w:t xml:space="preserve">expect the water they are drinking in their homes and businesses to be of good quality and to always be available.  </w:t>
      </w:r>
      <w:r w:rsidR="00732359">
        <w:t>They</w:t>
      </w:r>
      <w:r w:rsidRPr="00000BCB">
        <w:t xml:space="preserve"> generally understand that problems may occasionally arise, but expect good communication and rapid response to mitigate any reduction in service quickly. </w:t>
      </w:r>
    </w:p>
    <w:p w:rsidR="00000BCB" w:rsidRPr="00000BCB" w:rsidRDefault="00000BCB" w:rsidP="00000BCB">
      <w:r w:rsidRPr="00000BCB">
        <w:t>We are well placed, relative to many other companies, to demonstrate how we meet these expectations given our current strong performance on many of the underling metrics.</w:t>
      </w:r>
      <w:r w:rsidR="00934560">
        <w:t xml:space="preserve">  However, we have still challenged our service levels for </w:t>
      </w:r>
      <w:r w:rsidR="003561B2">
        <w:t xml:space="preserve">our </w:t>
      </w:r>
      <w:r w:rsidR="00934560">
        <w:t>PR19 Plan to include further ambition.</w:t>
      </w:r>
    </w:p>
    <w:p w:rsidR="004A2C5C" w:rsidRPr="004A2C5C" w:rsidRDefault="004A2C5C" w:rsidP="004A2C5C">
      <w:pPr>
        <w:rPr>
          <w:b/>
        </w:rPr>
      </w:pPr>
      <w:r w:rsidRPr="004A2C5C">
        <w:rPr>
          <w:b/>
        </w:rPr>
        <w:t xml:space="preserve">Water quality compliance </w:t>
      </w:r>
      <w:r w:rsidR="00ED6865">
        <w:rPr>
          <w:b/>
        </w:rPr>
        <w:t>– what customers said</w:t>
      </w:r>
    </w:p>
    <w:p w:rsidR="00000BCB" w:rsidRPr="00000BCB" w:rsidRDefault="00000BCB" w:rsidP="00000BCB">
      <w:r w:rsidRPr="00000BCB">
        <w:t>Customers expect the water we supply to be safe to drink.  Whilst they do not understand the current metric used to demonstrate this performance, Mean Zonal Compliance, they take comfort that a regulator monitors water quality compliance on beha</w:t>
      </w:r>
      <w:r w:rsidR="00DC3BE9">
        <w:t>lf of the population.  T</w:t>
      </w:r>
      <w:r w:rsidRPr="00000BCB">
        <w:t xml:space="preserve">hey are </w:t>
      </w:r>
      <w:r w:rsidR="00DC3BE9">
        <w:t xml:space="preserve">also </w:t>
      </w:r>
      <w:r w:rsidRPr="00000BCB">
        <w:t xml:space="preserve">pleased that our performance is consistently close to 100%.  </w:t>
      </w:r>
    </w:p>
    <w:p w:rsidR="00000BCB" w:rsidRPr="00000BCB" w:rsidRDefault="00000BCB" w:rsidP="00000BCB">
      <w:r w:rsidRPr="00000BCB">
        <w:t>Similar comments apply for the new Compliance Risk Index, which will not only measure compliance at the customer tap, but also other stages of the production and distribution process.  Based on 2016 and 2017</w:t>
      </w:r>
      <w:r w:rsidR="003561B2">
        <w:t xml:space="preserve"> figures</w:t>
      </w:r>
      <w:r w:rsidRPr="00000BCB">
        <w:t xml:space="preserve"> our performance is very good.  Our ca</w:t>
      </w:r>
      <w:r w:rsidR="00721498">
        <w:t>pital programme for 2020-25 is</w:t>
      </w:r>
      <w:r w:rsidRPr="00000BCB">
        <w:t xml:space="preserve"> based on continuing to comply with all water quality standards and be industry leading on this measure.  This ambition is strongly supported by our customers. </w:t>
      </w:r>
    </w:p>
    <w:p w:rsidR="00000BCB" w:rsidRDefault="00000BCB" w:rsidP="00000BCB">
      <w:r w:rsidRPr="00000BCB">
        <w:t xml:space="preserve">Whilst </w:t>
      </w:r>
      <w:r w:rsidR="00CC31F6">
        <w:t xml:space="preserve">the number of </w:t>
      </w:r>
      <w:r w:rsidRPr="00000BCB">
        <w:t xml:space="preserve">customer contacts </w:t>
      </w:r>
      <w:r w:rsidR="00977912">
        <w:t xml:space="preserve">we receive </w:t>
      </w:r>
      <w:r w:rsidRPr="00000BCB">
        <w:t>relating to water quality are consistently in the lowest three in the industry, we have introduced</w:t>
      </w:r>
      <w:r w:rsidR="003561B2">
        <w:t xml:space="preserve"> staff</w:t>
      </w:r>
      <w:r w:rsidRPr="00000BCB">
        <w:t xml:space="preserve"> training programmes to mitigate the impact on customers when we need to operate </w:t>
      </w:r>
      <w:r w:rsidR="004B363A">
        <w:t xml:space="preserve">values in </w:t>
      </w:r>
      <w:r w:rsidRPr="00000BCB">
        <w:t xml:space="preserve">the network and negate the need for customers to contact us.  Our training on “calm networks” started at the beginning of 2018 and we have </w:t>
      </w:r>
      <w:r w:rsidR="004B363A">
        <w:t xml:space="preserve">since </w:t>
      </w:r>
      <w:r w:rsidRPr="00000BCB">
        <w:t>seen a significant reduction in the number of water contacts relating to appearance.</w:t>
      </w:r>
    </w:p>
    <w:p w:rsidR="00F340DF" w:rsidRPr="00F340DF" w:rsidRDefault="00F340DF" w:rsidP="00F340DF">
      <w:pPr>
        <w:rPr>
          <w:b/>
        </w:rPr>
      </w:pPr>
      <w:r w:rsidRPr="00F340DF">
        <w:rPr>
          <w:b/>
        </w:rPr>
        <w:t>Hardness of the supply</w:t>
      </w:r>
      <w:r w:rsidR="00ED6865">
        <w:rPr>
          <w:b/>
        </w:rPr>
        <w:t xml:space="preserve"> – what customers said</w:t>
      </w:r>
    </w:p>
    <w:p w:rsidR="00F340DF" w:rsidRPr="00F340DF" w:rsidRDefault="00F340DF" w:rsidP="00F340DF">
      <w:r w:rsidRPr="00F340DF">
        <w:t xml:space="preserve">Customers are aware that they receive hard water and the related issues with </w:t>
      </w:r>
      <w:r w:rsidR="00DC3BE9" w:rsidRPr="00F340DF">
        <w:t>limescale</w:t>
      </w:r>
      <w:r w:rsidRPr="00F340DF">
        <w:t xml:space="preserve">.  In focus </w:t>
      </w:r>
      <w:r w:rsidR="00DC3BE9" w:rsidRPr="00F340DF">
        <w:t>groups,</w:t>
      </w:r>
      <w:r w:rsidRPr="00F340DF">
        <w:t xml:space="preserve"> this is always raised and </w:t>
      </w:r>
      <w:r w:rsidR="00DC3BE9" w:rsidRPr="00F340DF">
        <w:t>typically,</w:t>
      </w:r>
      <w:r w:rsidRPr="00F340DF">
        <w:t xml:space="preserve"> there is an appetite for water softening.  However, when we triangulate this with written complaints and customer contacts, it barely features.  </w:t>
      </w:r>
      <w:r w:rsidR="00DC3BE9" w:rsidRPr="00F340DF">
        <w:t>Accordingly,</w:t>
      </w:r>
      <w:r w:rsidRPr="00F340DF">
        <w:t xml:space="preserve"> we decided to do some further research.</w:t>
      </w:r>
    </w:p>
    <w:p w:rsidR="00F340DF" w:rsidRPr="00F340DF" w:rsidRDefault="00F340DF" w:rsidP="00F340DF">
      <w:r w:rsidRPr="00F340DF">
        <w:t xml:space="preserve">Our </w:t>
      </w:r>
      <w:r w:rsidR="00A11EF3">
        <w:t>W</w:t>
      </w:r>
      <w:r w:rsidRPr="00F340DF">
        <w:t xml:space="preserve">ater </w:t>
      </w:r>
      <w:r w:rsidR="00A11EF3">
        <w:t>Q</w:t>
      </w:r>
      <w:r w:rsidRPr="00F340DF">
        <w:t xml:space="preserve">uality team asked customers at the time of </w:t>
      </w:r>
      <w:r w:rsidR="00977912">
        <w:t xml:space="preserve">taking </w:t>
      </w:r>
      <w:r w:rsidRPr="00F340DF">
        <w:t xml:space="preserve">random water quality sampling visits, about their experience of hard water and if they took any action to mitigate the impact of the hardness. </w:t>
      </w:r>
    </w:p>
    <w:p w:rsidR="00F340DF" w:rsidRPr="00F340DF" w:rsidRDefault="00F340DF" w:rsidP="00F340DF">
      <w:r w:rsidRPr="00F340DF">
        <w:t>Our research showed that over 85% of the customers surveyed knew that the water was hard but that less than 20% take action to soften the water when using their washing machines or dishwashers.  More than 85% cannot recall needing to replace the</w:t>
      </w:r>
      <w:r w:rsidR="00DC3BE9">
        <w:t>se appliances because of</w:t>
      </w:r>
      <w:r w:rsidRPr="00F340DF">
        <w:t xml:space="preserve"> </w:t>
      </w:r>
      <w:r w:rsidR="00DC3BE9" w:rsidRPr="00F340DF">
        <w:t>limescale</w:t>
      </w:r>
      <w:r w:rsidRPr="00F340DF">
        <w:t xml:space="preserve">.  Following these </w:t>
      </w:r>
      <w:r w:rsidR="00DC3BE9" w:rsidRPr="00F340DF">
        <w:t>findings,</w:t>
      </w:r>
      <w:r w:rsidRPr="00F340DF">
        <w:t xml:space="preserve"> we investigated the cost of providing softened water to our customers.  The impact on </w:t>
      </w:r>
      <w:r w:rsidR="00B63614">
        <w:t xml:space="preserve">an average </w:t>
      </w:r>
      <w:r w:rsidRPr="00F340DF">
        <w:t>customer bill of both the capital programme and on-going additional operating costs would be in the region of £</w:t>
      </w:r>
      <w:r w:rsidR="00B63614">
        <w:t>15</w:t>
      </w:r>
      <w:r w:rsidRPr="00F340DF">
        <w:t xml:space="preserve"> per annum.  Our cost benefit analysis looked at both customers stated preference to address this issue and the revealed preference from our survey.  We conclude that softening our water would not be cost beneficial.</w:t>
      </w:r>
    </w:p>
    <w:p w:rsidR="00F340DF" w:rsidRPr="00F340DF" w:rsidRDefault="00F340DF" w:rsidP="00F340DF">
      <w:r w:rsidRPr="00F340DF">
        <w:t>We therefore presented this issue to our Customer Advisory Panel</w:t>
      </w:r>
      <w:r w:rsidR="00995ADC">
        <w:t xml:space="preserve"> (Appendix 2.6)</w:t>
      </w:r>
      <w:r w:rsidRPr="00F340DF">
        <w:t xml:space="preserve"> who concluded, on an informed basis, that they did not support water softening.</w:t>
      </w:r>
    </w:p>
    <w:p w:rsidR="00F340DF" w:rsidRPr="00F340DF" w:rsidRDefault="00F340DF" w:rsidP="00F340DF">
      <w:r w:rsidRPr="00F340DF">
        <w:t>We also discussed this issue with health professionals who confirm there are no impacts to health of the hardness of the supply.</w:t>
      </w:r>
    </w:p>
    <w:p w:rsidR="004A2C5C" w:rsidRPr="004A2C5C" w:rsidRDefault="004A2C5C" w:rsidP="004A2C5C">
      <w:pPr>
        <w:rPr>
          <w:b/>
        </w:rPr>
      </w:pPr>
      <w:r w:rsidRPr="004A2C5C">
        <w:rPr>
          <w:b/>
        </w:rPr>
        <w:t>Secure and Reliable supply</w:t>
      </w:r>
      <w:r w:rsidR="00ED6865">
        <w:rPr>
          <w:b/>
        </w:rPr>
        <w:t xml:space="preserve"> – what customers said</w:t>
      </w:r>
    </w:p>
    <w:p w:rsidR="00000BCB" w:rsidRDefault="00000BCB" w:rsidP="00000BCB">
      <w:pPr>
        <w:rPr>
          <w:rFonts w:asciiTheme="minorHAnsi" w:hAnsiTheme="minorHAnsi" w:cs="Arial"/>
          <w:sz w:val="22"/>
          <w:szCs w:val="22"/>
        </w:rPr>
      </w:pPr>
      <w:r>
        <w:rPr>
          <w:rFonts w:cs="Arial"/>
        </w:rPr>
        <w:t>The majority of our customers</w:t>
      </w:r>
      <w:r w:rsidR="00B40579">
        <w:rPr>
          <w:rFonts w:cs="Arial"/>
        </w:rPr>
        <w:t xml:space="preserve"> will not </w:t>
      </w:r>
      <w:r>
        <w:rPr>
          <w:rFonts w:cs="Arial"/>
        </w:rPr>
        <w:t xml:space="preserve">have experienced an interruption to their supply </w:t>
      </w:r>
      <w:r w:rsidR="00B40579">
        <w:rPr>
          <w:rFonts w:cs="Arial"/>
        </w:rPr>
        <w:t xml:space="preserve">in recent </w:t>
      </w:r>
      <w:r>
        <w:rPr>
          <w:rFonts w:cs="Arial"/>
        </w:rPr>
        <w:t>years.  Of those engaged with, only 6% had said that an interruption</w:t>
      </w:r>
      <w:r w:rsidR="00D52F6B">
        <w:rPr>
          <w:rFonts w:cs="Arial"/>
        </w:rPr>
        <w:t>,</w:t>
      </w:r>
      <w:r>
        <w:rPr>
          <w:rFonts w:cs="Arial"/>
        </w:rPr>
        <w:t xml:space="preserve"> which had been greater than 3 hours</w:t>
      </w:r>
      <w:r w:rsidR="00D52F6B">
        <w:rPr>
          <w:rFonts w:cs="Arial"/>
        </w:rPr>
        <w:t>,</w:t>
      </w:r>
      <w:r>
        <w:rPr>
          <w:rFonts w:cs="Arial"/>
        </w:rPr>
        <w:t xml:space="preserve"> had caused them issues.</w:t>
      </w:r>
    </w:p>
    <w:p w:rsidR="00000BCB" w:rsidRDefault="00000BCB" w:rsidP="00000BCB">
      <w:pPr>
        <w:rPr>
          <w:rFonts w:cs="Arial"/>
        </w:rPr>
      </w:pPr>
      <w:r>
        <w:rPr>
          <w:rFonts w:cs="Arial"/>
        </w:rPr>
        <w:t xml:space="preserve">Businesses however highlighted the importance of a constant water supply and the fact that many related to catering and hospitality for example would need to close if hygiene could not be guaranteed.  </w:t>
      </w:r>
      <w:r w:rsidR="00D52F6B">
        <w:rPr>
          <w:rFonts w:cs="Arial"/>
        </w:rPr>
        <w:t>Similarly,</w:t>
      </w:r>
      <w:r>
        <w:rPr>
          <w:rFonts w:cs="Arial"/>
        </w:rPr>
        <w:t xml:space="preserve"> customers were pleased that we have plans in place to ensure that special priority customers, including hospitals, care homes and individual customers who need large volumes of water at home for health reasons, are catered for in our planning.</w:t>
      </w:r>
    </w:p>
    <w:p w:rsidR="00000BCB" w:rsidRDefault="00000BCB" w:rsidP="00000BCB">
      <w:pPr>
        <w:rPr>
          <w:rFonts w:cs="Arial"/>
        </w:rPr>
      </w:pPr>
      <w:r>
        <w:rPr>
          <w:rFonts w:cs="Arial"/>
        </w:rPr>
        <w:t>Customers also understand that the network in particular will need repair or replacement over time.  The key insight from our engagement is that communication before, during and even after any event or activity on the affected customer is key.  Whilst this is relatively straight forward to achieve for small scale planned activity, the recent Freeze</w:t>
      </w:r>
      <w:r w:rsidR="004B363A">
        <w:rPr>
          <w:rFonts w:cs="Arial"/>
        </w:rPr>
        <w:t>/</w:t>
      </w:r>
      <w:r>
        <w:rPr>
          <w:rFonts w:cs="Arial"/>
        </w:rPr>
        <w:t xml:space="preserve">Thaw event highlighted the potential to improve our communication with our customers in the run up to </w:t>
      </w:r>
      <w:r w:rsidR="004B363A">
        <w:rPr>
          <w:rFonts w:cs="Arial"/>
        </w:rPr>
        <w:t xml:space="preserve">a foreseeable </w:t>
      </w:r>
      <w:r>
        <w:rPr>
          <w:rFonts w:cs="Arial"/>
        </w:rPr>
        <w:t>event</w:t>
      </w:r>
      <w:r w:rsidR="00C741CA">
        <w:rPr>
          <w:rFonts w:cs="Arial"/>
        </w:rPr>
        <w:t>, even though we were deemed to handle the event well by Ofwat</w:t>
      </w:r>
      <w:r>
        <w:rPr>
          <w:rFonts w:cs="Arial"/>
        </w:rPr>
        <w:t xml:space="preserve">. </w:t>
      </w:r>
    </w:p>
    <w:p w:rsidR="00000BCB" w:rsidRDefault="00000BCB" w:rsidP="00000BCB">
      <w:pPr>
        <w:rPr>
          <w:rFonts w:cs="Arial"/>
        </w:rPr>
      </w:pPr>
      <w:r>
        <w:rPr>
          <w:rFonts w:cs="Arial"/>
        </w:rPr>
        <w:t>An ongoing risk of low pressure, normally due to the elevation of propert</w:t>
      </w:r>
      <w:r w:rsidR="004B363A">
        <w:rPr>
          <w:rFonts w:cs="Arial"/>
        </w:rPr>
        <w:t>ies</w:t>
      </w:r>
      <w:r>
        <w:rPr>
          <w:rFonts w:cs="Arial"/>
        </w:rPr>
        <w:t xml:space="preserve"> relative to the reservoir that supplies them, </w:t>
      </w:r>
      <w:r w:rsidR="00D52F6B">
        <w:rPr>
          <w:rFonts w:cs="Arial"/>
        </w:rPr>
        <w:t>affects</w:t>
      </w:r>
      <w:r>
        <w:rPr>
          <w:rFonts w:cs="Arial"/>
        </w:rPr>
        <w:t xml:space="preserve"> 70 homes.  We en</w:t>
      </w:r>
      <w:r w:rsidR="00721498">
        <w:rPr>
          <w:rFonts w:cs="Arial"/>
        </w:rPr>
        <w:t>gaged with 49 of the customers a</w:t>
      </w:r>
      <w:r>
        <w:rPr>
          <w:rFonts w:cs="Arial"/>
        </w:rPr>
        <w:t>ffected and, given their support, chose properties at Risk of Low Pressure as a</w:t>
      </w:r>
      <w:r w:rsidR="00995ADC">
        <w:rPr>
          <w:rFonts w:cs="Arial"/>
        </w:rPr>
        <w:t xml:space="preserve"> bespoke Performance Commitment (Appendix 2.25).</w:t>
      </w:r>
    </w:p>
    <w:p w:rsidR="00000BCB" w:rsidRDefault="00D52F6B" w:rsidP="00000BCB">
      <w:pPr>
        <w:rPr>
          <w:rFonts w:cs="Arial"/>
        </w:rPr>
      </w:pPr>
      <w:r>
        <w:rPr>
          <w:rFonts w:cs="Arial"/>
        </w:rPr>
        <w:t>Overall,</w:t>
      </w:r>
      <w:r w:rsidR="00000BCB">
        <w:rPr>
          <w:rFonts w:cs="Arial"/>
        </w:rPr>
        <w:t xml:space="preserve"> </w:t>
      </w:r>
      <w:r w:rsidR="004B363A">
        <w:rPr>
          <w:rFonts w:cs="Arial"/>
        </w:rPr>
        <w:t xml:space="preserve">strong historic reliability </w:t>
      </w:r>
      <w:r w:rsidR="00000BCB">
        <w:rPr>
          <w:rFonts w:cs="Arial"/>
        </w:rPr>
        <w:t>reflects the investment we have undertaken in our network over many years and the ability of our staff to plan and respond to issues in a timely and efficient manner.</w:t>
      </w:r>
    </w:p>
    <w:p w:rsidR="0085097E" w:rsidRDefault="0085097E" w:rsidP="0085097E">
      <w:pPr>
        <w:pStyle w:val="Heading3"/>
      </w:pPr>
      <w:bookmarkStart w:id="44" w:name="_Toc522199976"/>
      <w:bookmarkStart w:id="45" w:name="_Toc522200073"/>
      <w:bookmarkStart w:id="46" w:name="_Toc523651253"/>
      <w:r>
        <w:t>Delivering the Outcome</w:t>
      </w:r>
      <w:bookmarkEnd w:id="44"/>
      <w:bookmarkEnd w:id="45"/>
      <w:bookmarkEnd w:id="46"/>
    </w:p>
    <w:p w:rsidR="00000BCB" w:rsidRDefault="00000BCB" w:rsidP="00000BCB">
      <w:pPr>
        <w:rPr>
          <w:rFonts w:asciiTheme="minorHAnsi" w:hAnsiTheme="minorHAnsi" w:cstheme="minorHAnsi"/>
          <w:sz w:val="22"/>
          <w:szCs w:val="22"/>
        </w:rPr>
      </w:pPr>
      <w:r>
        <w:rPr>
          <w:rFonts w:cstheme="minorHAnsi"/>
        </w:rPr>
        <w:t xml:space="preserve">Delivering a safe, secure and reliable supply of drinking water is at the heart of our business.  We will continue to manage our network to ensure that customers are not impacted by service failures, with ambitious Performance Commitment targets that reflect our overall performance and align to customer preferences and statutory </w:t>
      </w:r>
      <w:r w:rsidR="00721498">
        <w:rPr>
          <w:rFonts w:cstheme="minorHAnsi"/>
        </w:rPr>
        <w:t>requirements.</w:t>
      </w:r>
    </w:p>
    <w:p w:rsidR="00000BCB" w:rsidRDefault="00000BCB" w:rsidP="00000BCB">
      <w:pPr>
        <w:rPr>
          <w:rFonts w:cstheme="minorHAnsi"/>
        </w:rPr>
      </w:pPr>
      <w:r>
        <w:rPr>
          <w:rFonts w:cstheme="minorHAnsi"/>
        </w:rPr>
        <w:t xml:space="preserve">The </w:t>
      </w:r>
      <w:r w:rsidR="00721498">
        <w:rPr>
          <w:rFonts w:cstheme="minorHAnsi"/>
        </w:rPr>
        <w:t xml:space="preserve">March 2018 </w:t>
      </w:r>
      <w:r>
        <w:rPr>
          <w:rFonts w:cstheme="minorHAnsi"/>
        </w:rPr>
        <w:t>Freeze</w:t>
      </w:r>
      <w:r w:rsidR="004B363A">
        <w:rPr>
          <w:rFonts w:cstheme="minorHAnsi"/>
        </w:rPr>
        <w:t>/</w:t>
      </w:r>
      <w:r>
        <w:rPr>
          <w:rFonts w:cstheme="minorHAnsi"/>
        </w:rPr>
        <w:t xml:space="preserve">Thaw event and </w:t>
      </w:r>
      <w:r w:rsidR="00A60187">
        <w:rPr>
          <w:rFonts w:cstheme="minorHAnsi"/>
        </w:rPr>
        <w:t>S</w:t>
      </w:r>
      <w:r>
        <w:rPr>
          <w:rFonts w:cstheme="minorHAnsi"/>
        </w:rPr>
        <w:t xml:space="preserve">ummer 2018 </w:t>
      </w:r>
      <w:r w:rsidR="00977912">
        <w:rPr>
          <w:rFonts w:cstheme="minorHAnsi"/>
        </w:rPr>
        <w:t xml:space="preserve">high demand </w:t>
      </w:r>
      <w:r>
        <w:rPr>
          <w:rFonts w:cstheme="minorHAnsi"/>
        </w:rPr>
        <w:t xml:space="preserve">illustrated how good stewardship over many years has enabled us to </w:t>
      </w:r>
      <w:r w:rsidR="004B363A">
        <w:rPr>
          <w:rFonts w:cstheme="minorHAnsi"/>
        </w:rPr>
        <w:t xml:space="preserve">effectively </w:t>
      </w:r>
      <w:r>
        <w:rPr>
          <w:rFonts w:cstheme="minorHAnsi"/>
        </w:rPr>
        <w:t>manage severe weather events.</w:t>
      </w:r>
      <w:r w:rsidR="00C741CA">
        <w:rPr>
          <w:rFonts w:cstheme="minorHAnsi"/>
        </w:rPr>
        <w:t xml:space="preserve">  Our strong resilience is explained in Chapter 6 Resilience in the Round.</w:t>
      </w:r>
    </w:p>
    <w:p w:rsidR="00000BCB" w:rsidRDefault="00000BCB" w:rsidP="00000BCB">
      <w:pPr>
        <w:rPr>
          <w:rFonts w:cstheme="minorHAnsi"/>
        </w:rPr>
      </w:pPr>
      <w:r w:rsidRPr="00B63614">
        <w:rPr>
          <w:rFonts w:cstheme="minorHAnsi"/>
        </w:rPr>
        <w:t xml:space="preserve">In section </w:t>
      </w:r>
      <w:r w:rsidR="00732359" w:rsidRPr="00B63614">
        <w:rPr>
          <w:rFonts w:cstheme="minorHAnsi"/>
        </w:rPr>
        <w:t>9.1.3</w:t>
      </w:r>
      <w:r w:rsidRPr="00B63614">
        <w:rPr>
          <w:rFonts w:cstheme="minorHAnsi"/>
        </w:rPr>
        <w:t xml:space="preserve"> of this </w:t>
      </w:r>
      <w:r w:rsidR="00D52F6B" w:rsidRPr="00B63614">
        <w:rPr>
          <w:rFonts w:cstheme="minorHAnsi"/>
        </w:rPr>
        <w:t>plan,</w:t>
      </w:r>
      <w:r w:rsidRPr="00B63614">
        <w:rPr>
          <w:rFonts w:cstheme="minorHAnsi"/>
        </w:rPr>
        <w:t xml:space="preserve"> we explain the process that we have undertaken to optimise our plan.</w:t>
      </w:r>
    </w:p>
    <w:p w:rsidR="00BB506C" w:rsidRDefault="00BB506C">
      <w:pPr>
        <w:tabs>
          <w:tab w:val="clear" w:pos="851"/>
        </w:tabs>
        <w:spacing w:after="0"/>
        <w:ind w:left="0"/>
        <w:jc w:val="left"/>
        <w:rPr>
          <w:rFonts w:cs="Arial"/>
          <w:b/>
          <w:bCs/>
        </w:rPr>
      </w:pPr>
      <w:r>
        <w:rPr>
          <w:rFonts w:cs="Arial"/>
          <w:b/>
          <w:bCs/>
        </w:rPr>
        <w:br w:type="page"/>
      </w:r>
    </w:p>
    <w:p w:rsidR="0029294B" w:rsidRPr="0085097E" w:rsidRDefault="0029294B" w:rsidP="0029294B">
      <w:pPr>
        <w:rPr>
          <w:rFonts w:cs="Arial"/>
          <w:b/>
          <w:bCs/>
        </w:rPr>
      </w:pPr>
      <w:r w:rsidRPr="0085097E">
        <w:rPr>
          <w:rFonts w:cs="Arial"/>
          <w:b/>
          <w:bCs/>
        </w:rPr>
        <w:t>Safe drinking water</w:t>
      </w:r>
    </w:p>
    <w:p w:rsidR="00000BCB" w:rsidRPr="00000BCB" w:rsidRDefault="00000BCB" w:rsidP="00000BCB">
      <w:pPr>
        <w:rPr>
          <w:rFonts w:cs="Arial"/>
        </w:rPr>
      </w:pPr>
      <w:r w:rsidRPr="00000BCB">
        <w:rPr>
          <w:rFonts w:cs="Arial"/>
        </w:rPr>
        <w:t xml:space="preserve">The Company strives to supply water of the highest quality and to consistently meet the standards set out by the </w:t>
      </w:r>
      <w:r w:rsidR="004B363A">
        <w:rPr>
          <w:rFonts w:cs="Arial"/>
        </w:rPr>
        <w:t>D</w:t>
      </w:r>
      <w:r w:rsidRPr="00000BCB">
        <w:rPr>
          <w:rFonts w:cs="Arial"/>
        </w:rPr>
        <w:t xml:space="preserve">rinking </w:t>
      </w:r>
      <w:r w:rsidR="004B363A">
        <w:rPr>
          <w:rFonts w:cs="Arial"/>
        </w:rPr>
        <w:t>W</w:t>
      </w:r>
      <w:r w:rsidRPr="00000BCB">
        <w:rPr>
          <w:rFonts w:cs="Arial"/>
        </w:rPr>
        <w:t xml:space="preserve">ater </w:t>
      </w:r>
      <w:r w:rsidR="004B363A">
        <w:rPr>
          <w:rFonts w:cs="Arial"/>
        </w:rPr>
        <w:t>I</w:t>
      </w:r>
      <w:r w:rsidRPr="00000BCB">
        <w:rPr>
          <w:rFonts w:cs="Arial"/>
        </w:rPr>
        <w:t xml:space="preserve">nspectorate. </w:t>
      </w:r>
      <w:r w:rsidR="007A66D9">
        <w:rPr>
          <w:rFonts w:cs="Arial"/>
        </w:rPr>
        <w:t xml:space="preserve"> (See Appendix 3.3).</w:t>
      </w:r>
    </w:p>
    <w:p w:rsidR="00000BCB" w:rsidRPr="00000BCB" w:rsidRDefault="00000BCB" w:rsidP="00000BCB">
      <w:pPr>
        <w:rPr>
          <w:rFonts w:cs="Arial"/>
        </w:rPr>
      </w:pPr>
      <w:r w:rsidRPr="00000BCB">
        <w:rPr>
          <w:rFonts w:cs="Arial"/>
        </w:rPr>
        <w:t>We continuously monitor and test all of our sources, treatment works, reservoirs, distribution systems and customers properties to ensure we consistently deliver in this area. We have invested over the course of AMP6 in achieving UKAS accreditation f</w:t>
      </w:r>
      <w:r w:rsidR="004B363A">
        <w:rPr>
          <w:rFonts w:cs="Arial"/>
        </w:rPr>
        <w:t>or</w:t>
      </w:r>
      <w:r w:rsidR="00721498">
        <w:rPr>
          <w:rFonts w:cs="Arial"/>
        </w:rPr>
        <w:t xml:space="preserve"> our</w:t>
      </w:r>
      <w:r w:rsidRPr="00000BCB">
        <w:rPr>
          <w:rFonts w:cs="Arial"/>
        </w:rPr>
        <w:t xml:space="preserve"> own laboratory</w:t>
      </w:r>
      <w:r w:rsidR="004B363A">
        <w:rPr>
          <w:rFonts w:cs="Arial"/>
        </w:rPr>
        <w:t>.  T</w:t>
      </w:r>
      <w:r w:rsidRPr="00000BCB">
        <w:rPr>
          <w:rFonts w:cs="Arial"/>
        </w:rPr>
        <w:t>his ensures that standards are upheld at all times and that testing can be completed in a fast, efficient, accurate and consistent manner.</w:t>
      </w:r>
    </w:p>
    <w:p w:rsidR="00000BCB" w:rsidRPr="00000BCB" w:rsidRDefault="00000BCB" w:rsidP="00000BCB">
      <w:pPr>
        <w:rPr>
          <w:rFonts w:cs="Arial"/>
        </w:rPr>
      </w:pPr>
      <w:r w:rsidRPr="00000BCB">
        <w:rPr>
          <w:rFonts w:cs="Arial"/>
        </w:rPr>
        <w:t>We have Drinking Water Safety Plans that consider and drive our processes and procedures to mitigate against the risk of water in supply not being wholesome.  We are in the process of integrating aspects of these plans into our ERP system to improve efficiency and auditability of these plans.</w:t>
      </w:r>
    </w:p>
    <w:p w:rsidR="00000BCB" w:rsidRPr="00000BCB" w:rsidRDefault="00000BCB" w:rsidP="00000BCB">
      <w:pPr>
        <w:rPr>
          <w:rFonts w:cs="Arial"/>
        </w:rPr>
      </w:pPr>
      <w:r w:rsidRPr="00000BCB">
        <w:rPr>
          <w:rFonts w:cs="Arial"/>
        </w:rPr>
        <w:t xml:space="preserve">The </w:t>
      </w:r>
      <w:r w:rsidR="00A11EF3">
        <w:rPr>
          <w:rFonts w:cs="Arial"/>
        </w:rPr>
        <w:t>W</w:t>
      </w:r>
      <w:r w:rsidRPr="00000BCB">
        <w:rPr>
          <w:rFonts w:cs="Arial"/>
        </w:rPr>
        <w:t xml:space="preserve">ater </w:t>
      </w:r>
      <w:r w:rsidR="00A11EF3">
        <w:rPr>
          <w:rFonts w:cs="Arial"/>
        </w:rPr>
        <w:t>Q</w:t>
      </w:r>
      <w:r w:rsidRPr="00000BCB">
        <w:rPr>
          <w:rFonts w:cs="Arial"/>
        </w:rPr>
        <w:t xml:space="preserve">uality department </w:t>
      </w:r>
      <w:r w:rsidR="004B363A">
        <w:rPr>
          <w:rFonts w:cs="Arial"/>
        </w:rPr>
        <w:t xml:space="preserve">is </w:t>
      </w:r>
      <w:r w:rsidRPr="00000BCB">
        <w:rPr>
          <w:rFonts w:cs="Arial"/>
        </w:rPr>
        <w:t xml:space="preserve">highly integrated into the Company’s, operational and asset management/ investment processes, </w:t>
      </w:r>
      <w:r w:rsidR="004B363A">
        <w:rPr>
          <w:rFonts w:cs="Arial"/>
        </w:rPr>
        <w:t xml:space="preserve">and </w:t>
      </w:r>
      <w:r w:rsidRPr="00000BCB">
        <w:rPr>
          <w:rFonts w:cs="Arial"/>
        </w:rPr>
        <w:t>involved at all stages. The water quality manager meets regularly with operational managers, weekly, and investment manager, monthly, to discuss any ongoing issues along with future projects.</w:t>
      </w:r>
    </w:p>
    <w:p w:rsidR="00000BCB" w:rsidRPr="00000BCB" w:rsidRDefault="00000BCB" w:rsidP="00000BCB">
      <w:pPr>
        <w:rPr>
          <w:rFonts w:cs="Arial"/>
        </w:rPr>
      </w:pPr>
      <w:r w:rsidRPr="00000BCB">
        <w:rPr>
          <w:rFonts w:cs="Arial"/>
        </w:rPr>
        <w:t>Two Performance Commitments specifically relate to water quality:-</w:t>
      </w:r>
    </w:p>
    <w:p w:rsidR="005A7FEF" w:rsidRPr="005A7FEF" w:rsidRDefault="00000BCB" w:rsidP="00946D16">
      <w:pPr>
        <w:numPr>
          <w:ilvl w:val="0"/>
          <w:numId w:val="12"/>
        </w:numPr>
        <w:rPr>
          <w:rFonts w:cs="Arial"/>
        </w:rPr>
      </w:pPr>
      <w:r w:rsidRPr="00000BCB">
        <w:rPr>
          <w:rFonts w:cs="Arial"/>
          <w:b/>
        </w:rPr>
        <w:t>Water Quality Compliance: CRI</w:t>
      </w:r>
    </w:p>
    <w:tbl>
      <w:tblPr>
        <w:tblStyle w:val="TableGrid"/>
        <w:tblW w:w="8783" w:type="dxa"/>
        <w:tblInd w:w="851" w:type="dxa"/>
        <w:tblLayout w:type="fixed"/>
        <w:tblLook w:val="04A0" w:firstRow="1" w:lastRow="0" w:firstColumn="1" w:lastColumn="0" w:noHBand="0" w:noVBand="1"/>
      </w:tblPr>
      <w:tblGrid>
        <w:gridCol w:w="2830"/>
        <w:gridCol w:w="850"/>
        <w:gridCol w:w="1985"/>
        <w:gridCol w:w="850"/>
        <w:gridCol w:w="851"/>
        <w:gridCol w:w="1417"/>
      </w:tblGrid>
      <w:tr w:rsidR="005A7FEF" w:rsidRPr="008809A2" w:rsidTr="008809A2">
        <w:tc>
          <w:tcPr>
            <w:tcW w:w="2830" w:type="dxa"/>
            <w:shd w:val="clear" w:color="auto" w:fill="2E74B5" w:themeFill="accent1" w:themeFillShade="BF"/>
          </w:tcPr>
          <w:p w:rsidR="005A7FEF" w:rsidRPr="008809A2" w:rsidRDefault="005A7FEF" w:rsidP="00A44009">
            <w:pPr>
              <w:spacing w:after="0"/>
              <w:ind w:left="0"/>
              <w:rPr>
                <w:sz w:val="16"/>
                <w:szCs w:val="16"/>
              </w:rPr>
            </w:pPr>
            <w:r w:rsidRPr="008809A2">
              <w:rPr>
                <w:b/>
                <w:bCs/>
                <w:color w:val="FFFFFF" w:themeColor="background1"/>
                <w:sz w:val="16"/>
                <w:szCs w:val="16"/>
              </w:rPr>
              <w:t>Performance Commitment</w:t>
            </w:r>
          </w:p>
        </w:tc>
        <w:tc>
          <w:tcPr>
            <w:tcW w:w="850" w:type="dxa"/>
            <w:shd w:val="clear" w:color="auto" w:fill="2E74B5" w:themeFill="accent1" w:themeFillShade="BF"/>
          </w:tcPr>
          <w:p w:rsidR="005A7FEF" w:rsidRPr="008809A2" w:rsidRDefault="005A7FEF" w:rsidP="00A44009">
            <w:pPr>
              <w:spacing w:before="20" w:after="20"/>
              <w:ind w:left="0"/>
              <w:jc w:val="center"/>
              <w:rPr>
                <w:b/>
                <w:bCs/>
                <w:color w:val="FFFFFF" w:themeColor="background1"/>
                <w:sz w:val="16"/>
                <w:szCs w:val="16"/>
              </w:rPr>
            </w:pPr>
            <w:r w:rsidRPr="008809A2">
              <w:rPr>
                <w:b/>
                <w:bCs/>
                <w:color w:val="FFFFFF" w:themeColor="background1"/>
                <w:sz w:val="16"/>
                <w:szCs w:val="16"/>
              </w:rPr>
              <w:t>Type</w:t>
            </w:r>
          </w:p>
        </w:tc>
        <w:tc>
          <w:tcPr>
            <w:tcW w:w="1985"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AMP6 Performance</w:t>
            </w:r>
          </w:p>
        </w:tc>
        <w:tc>
          <w:tcPr>
            <w:tcW w:w="850"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2024/25 Target</w:t>
            </w:r>
          </w:p>
        </w:tc>
        <w:tc>
          <w:tcPr>
            <w:tcW w:w="851"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2034/35 Target</w:t>
            </w:r>
          </w:p>
        </w:tc>
        <w:tc>
          <w:tcPr>
            <w:tcW w:w="1417" w:type="dxa"/>
            <w:shd w:val="clear" w:color="auto" w:fill="2E74B5" w:themeFill="accent1" w:themeFillShade="BF"/>
          </w:tcPr>
          <w:p w:rsidR="005A7FEF" w:rsidRPr="008809A2" w:rsidRDefault="005A7FEF" w:rsidP="00A44009">
            <w:pPr>
              <w:spacing w:after="0"/>
              <w:ind w:left="0"/>
              <w:jc w:val="center"/>
              <w:rPr>
                <w:b/>
                <w:color w:val="FFFFFF" w:themeColor="background1"/>
                <w:sz w:val="16"/>
                <w:szCs w:val="16"/>
              </w:rPr>
            </w:pPr>
            <w:r w:rsidRPr="008809A2">
              <w:rPr>
                <w:b/>
                <w:color w:val="FFFFFF" w:themeColor="background1"/>
                <w:sz w:val="16"/>
                <w:szCs w:val="16"/>
              </w:rPr>
              <w:t>Reward/Penalty</w:t>
            </w:r>
          </w:p>
        </w:tc>
      </w:tr>
      <w:tr w:rsidR="005A7FEF" w:rsidRPr="008809A2" w:rsidTr="008809A2">
        <w:tc>
          <w:tcPr>
            <w:tcW w:w="2830" w:type="dxa"/>
          </w:tcPr>
          <w:p w:rsidR="005A7FEF" w:rsidRPr="008809A2" w:rsidRDefault="005A7FEF" w:rsidP="00A44009">
            <w:pPr>
              <w:spacing w:before="20" w:after="20"/>
              <w:ind w:left="0"/>
              <w:rPr>
                <w:sz w:val="16"/>
                <w:szCs w:val="16"/>
              </w:rPr>
            </w:pPr>
            <w:r w:rsidRPr="008809A2">
              <w:rPr>
                <w:sz w:val="16"/>
                <w:szCs w:val="16"/>
              </w:rPr>
              <w:t xml:space="preserve">Water Quality Compliance (CRI) </w:t>
            </w:r>
          </w:p>
        </w:tc>
        <w:tc>
          <w:tcPr>
            <w:tcW w:w="850" w:type="dxa"/>
          </w:tcPr>
          <w:p w:rsidR="005A7FEF" w:rsidRPr="008809A2" w:rsidRDefault="005A7FEF" w:rsidP="00A44009">
            <w:pPr>
              <w:spacing w:before="20" w:after="20"/>
              <w:ind w:left="0"/>
              <w:jc w:val="center"/>
              <w:rPr>
                <w:sz w:val="16"/>
                <w:szCs w:val="16"/>
              </w:rPr>
            </w:pPr>
            <w:r w:rsidRPr="008809A2">
              <w:rPr>
                <w:sz w:val="16"/>
                <w:szCs w:val="16"/>
              </w:rPr>
              <w:t>C</w:t>
            </w:r>
          </w:p>
        </w:tc>
        <w:tc>
          <w:tcPr>
            <w:tcW w:w="1985" w:type="dxa"/>
          </w:tcPr>
          <w:p w:rsidR="005A7FEF" w:rsidRPr="008809A2" w:rsidRDefault="005A7FEF" w:rsidP="00A44009">
            <w:pPr>
              <w:spacing w:after="0"/>
              <w:ind w:left="0"/>
              <w:rPr>
                <w:sz w:val="16"/>
                <w:szCs w:val="16"/>
              </w:rPr>
            </w:pPr>
            <w:r w:rsidRPr="008809A2">
              <w:rPr>
                <w:sz w:val="16"/>
                <w:szCs w:val="16"/>
              </w:rPr>
              <w:t>UQ (2016 and 2017)</w:t>
            </w:r>
          </w:p>
        </w:tc>
        <w:tc>
          <w:tcPr>
            <w:tcW w:w="850" w:type="dxa"/>
          </w:tcPr>
          <w:p w:rsidR="005A7FEF" w:rsidRPr="008809A2" w:rsidRDefault="005A7FEF" w:rsidP="00A44009">
            <w:pPr>
              <w:spacing w:before="20" w:after="20"/>
              <w:ind w:left="0"/>
              <w:rPr>
                <w:sz w:val="16"/>
                <w:szCs w:val="16"/>
              </w:rPr>
            </w:pPr>
            <w:r w:rsidRPr="008809A2">
              <w:rPr>
                <w:sz w:val="16"/>
                <w:szCs w:val="16"/>
              </w:rPr>
              <w:t>UQ</w:t>
            </w:r>
          </w:p>
        </w:tc>
        <w:tc>
          <w:tcPr>
            <w:tcW w:w="851" w:type="dxa"/>
          </w:tcPr>
          <w:p w:rsidR="005A7FEF" w:rsidRPr="008809A2" w:rsidRDefault="005A7FEF" w:rsidP="00A44009">
            <w:pPr>
              <w:spacing w:after="0"/>
              <w:ind w:left="0"/>
              <w:rPr>
                <w:sz w:val="16"/>
                <w:szCs w:val="16"/>
              </w:rPr>
            </w:pPr>
            <w:r w:rsidRPr="008809A2">
              <w:rPr>
                <w:sz w:val="16"/>
                <w:szCs w:val="16"/>
              </w:rPr>
              <w:t>UQ</w:t>
            </w:r>
          </w:p>
        </w:tc>
        <w:tc>
          <w:tcPr>
            <w:tcW w:w="1417" w:type="dxa"/>
          </w:tcPr>
          <w:p w:rsidR="005A7FEF" w:rsidRPr="008809A2" w:rsidRDefault="005A7FEF" w:rsidP="00A44009">
            <w:pPr>
              <w:spacing w:after="0"/>
              <w:ind w:left="0"/>
              <w:jc w:val="center"/>
              <w:rPr>
                <w:sz w:val="16"/>
                <w:szCs w:val="16"/>
              </w:rPr>
            </w:pPr>
            <w:r w:rsidRPr="008809A2">
              <w:rPr>
                <w:sz w:val="16"/>
                <w:szCs w:val="16"/>
              </w:rPr>
              <w:t>P</w:t>
            </w:r>
          </w:p>
        </w:tc>
      </w:tr>
    </w:tbl>
    <w:p w:rsidR="00A60187" w:rsidRDefault="00A60187" w:rsidP="00A60187">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000BCB" w:rsidRPr="00000BCB" w:rsidRDefault="00721498" w:rsidP="003941AC">
      <w:r>
        <w:t>As this is new measure designed by the DWI, we</w:t>
      </w:r>
      <w:r w:rsidR="00000BCB" w:rsidRPr="00000BCB">
        <w:t xml:space="preserve"> have little historic data, but the data we do have points to a strong performance.  We have targeted upper quartile performance with a penalty only ODI. Our customers considered this </w:t>
      </w:r>
      <w:r w:rsidR="001A4ABE" w:rsidRPr="00000BCB">
        <w:t>a</w:t>
      </w:r>
      <w:r w:rsidR="00000BCB" w:rsidRPr="00000BCB">
        <w:t xml:space="preserve"> stretching target and we consider that an industry focus on this new metric will drive improvements that will ensure that upper quartile is appropriately ambitious.  </w:t>
      </w:r>
    </w:p>
    <w:p w:rsidR="005A7FEF" w:rsidRPr="005A7FEF" w:rsidRDefault="00000BCB" w:rsidP="00946D16">
      <w:pPr>
        <w:numPr>
          <w:ilvl w:val="0"/>
          <w:numId w:val="12"/>
        </w:numPr>
        <w:rPr>
          <w:rFonts w:cs="Arial"/>
        </w:rPr>
      </w:pPr>
      <w:r w:rsidRPr="00000BCB">
        <w:rPr>
          <w:rFonts w:cs="Arial"/>
          <w:b/>
        </w:rPr>
        <w:t>Water Quality Contacts – Orange, Brown, Blac</w:t>
      </w:r>
      <w:r w:rsidR="005A7FEF">
        <w:rPr>
          <w:rFonts w:cs="Arial"/>
          <w:b/>
        </w:rPr>
        <w:t>k</w:t>
      </w:r>
    </w:p>
    <w:tbl>
      <w:tblPr>
        <w:tblStyle w:val="TableGrid"/>
        <w:tblW w:w="8783" w:type="dxa"/>
        <w:tblInd w:w="851" w:type="dxa"/>
        <w:tblLayout w:type="fixed"/>
        <w:tblLook w:val="04A0" w:firstRow="1" w:lastRow="0" w:firstColumn="1" w:lastColumn="0" w:noHBand="0" w:noVBand="1"/>
      </w:tblPr>
      <w:tblGrid>
        <w:gridCol w:w="2830"/>
        <w:gridCol w:w="850"/>
        <w:gridCol w:w="1985"/>
        <w:gridCol w:w="850"/>
        <w:gridCol w:w="851"/>
        <w:gridCol w:w="1417"/>
      </w:tblGrid>
      <w:tr w:rsidR="005A7FEF" w:rsidRPr="008809A2" w:rsidTr="008809A2">
        <w:tc>
          <w:tcPr>
            <w:tcW w:w="2830" w:type="dxa"/>
            <w:shd w:val="clear" w:color="auto" w:fill="2E74B5" w:themeFill="accent1" w:themeFillShade="BF"/>
          </w:tcPr>
          <w:p w:rsidR="005A7FEF" w:rsidRPr="008809A2" w:rsidRDefault="005A7FEF" w:rsidP="00A44009">
            <w:pPr>
              <w:spacing w:after="0"/>
              <w:ind w:left="0"/>
              <w:rPr>
                <w:sz w:val="16"/>
                <w:szCs w:val="16"/>
              </w:rPr>
            </w:pPr>
            <w:r w:rsidRPr="008809A2">
              <w:rPr>
                <w:b/>
                <w:bCs/>
                <w:color w:val="FFFFFF" w:themeColor="background1"/>
                <w:sz w:val="16"/>
                <w:szCs w:val="16"/>
              </w:rPr>
              <w:t>Performance Commitment</w:t>
            </w:r>
          </w:p>
        </w:tc>
        <w:tc>
          <w:tcPr>
            <w:tcW w:w="850" w:type="dxa"/>
            <w:shd w:val="clear" w:color="auto" w:fill="2E74B5" w:themeFill="accent1" w:themeFillShade="BF"/>
          </w:tcPr>
          <w:p w:rsidR="005A7FEF" w:rsidRPr="008809A2" w:rsidRDefault="005A7FEF" w:rsidP="00A44009">
            <w:pPr>
              <w:spacing w:before="20" w:after="20"/>
              <w:ind w:left="0"/>
              <w:jc w:val="center"/>
              <w:rPr>
                <w:b/>
                <w:bCs/>
                <w:color w:val="FFFFFF" w:themeColor="background1"/>
                <w:sz w:val="16"/>
                <w:szCs w:val="16"/>
              </w:rPr>
            </w:pPr>
            <w:r w:rsidRPr="008809A2">
              <w:rPr>
                <w:b/>
                <w:bCs/>
                <w:color w:val="FFFFFF" w:themeColor="background1"/>
                <w:sz w:val="16"/>
                <w:szCs w:val="16"/>
              </w:rPr>
              <w:t>Type</w:t>
            </w:r>
          </w:p>
        </w:tc>
        <w:tc>
          <w:tcPr>
            <w:tcW w:w="1985"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AMP6 Performance</w:t>
            </w:r>
          </w:p>
        </w:tc>
        <w:tc>
          <w:tcPr>
            <w:tcW w:w="850"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2024/25 Target</w:t>
            </w:r>
          </w:p>
        </w:tc>
        <w:tc>
          <w:tcPr>
            <w:tcW w:w="851"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2034/35 Target</w:t>
            </w:r>
          </w:p>
        </w:tc>
        <w:tc>
          <w:tcPr>
            <w:tcW w:w="1417" w:type="dxa"/>
            <w:shd w:val="clear" w:color="auto" w:fill="2E74B5" w:themeFill="accent1" w:themeFillShade="BF"/>
          </w:tcPr>
          <w:p w:rsidR="005A7FEF" w:rsidRPr="008809A2" w:rsidRDefault="005A7FEF" w:rsidP="00A44009">
            <w:pPr>
              <w:spacing w:after="0"/>
              <w:ind w:left="0"/>
              <w:jc w:val="center"/>
              <w:rPr>
                <w:b/>
                <w:color w:val="FFFFFF" w:themeColor="background1"/>
                <w:sz w:val="16"/>
                <w:szCs w:val="16"/>
              </w:rPr>
            </w:pPr>
            <w:r w:rsidRPr="008809A2">
              <w:rPr>
                <w:b/>
                <w:color w:val="FFFFFF" w:themeColor="background1"/>
                <w:sz w:val="16"/>
                <w:szCs w:val="16"/>
              </w:rPr>
              <w:t>Reward/Penalty</w:t>
            </w:r>
          </w:p>
        </w:tc>
      </w:tr>
      <w:tr w:rsidR="005A7FEF" w:rsidRPr="008809A2" w:rsidTr="008809A2">
        <w:tc>
          <w:tcPr>
            <w:tcW w:w="2830" w:type="dxa"/>
          </w:tcPr>
          <w:p w:rsidR="005A7FEF" w:rsidRPr="008809A2" w:rsidRDefault="005A7FEF" w:rsidP="00A60187">
            <w:pPr>
              <w:spacing w:before="20" w:after="20"/>
              <w:ind w:left="0"/>
              <w:rPr>
                <w:sz w:val="16"/>
                <w:szCs w:val="16"/>
              </w:rPr>
            </w:pPr>
            <w:r w:rsidRPr="008809A2">
              <w:rPr>
                <w:sz w:val="16"/>
                <w:szCs w:val="16"/>
              </w:rPr>
              <w:t>Customer Contacts relating to the colour of the water (</w:t>
            </w:r>
            <w:r w:rsidR="00A60187">
              <w:rPr>
                <w:sz w:val="16"/>
                <w:szCs w:val="16"/>
              </w:rPr>
              <w:t xml:space="preserve">orange, brown, </w:t>
            </w:r>
            <w:r w:rsidRPr="008809A2">
              <w:rPr>
                <w:sz w:val="16"/>
                <w:szCs w:val="16"/>
              </w:rPr>
              <w:t xml:space="preserve">black). </w:t>
            </w:r>
          </w:p>
        </w:tc>
        <w:tc>
          <w:tcPr>
            <w:tcW w:w="850" w:type="dxa"/>
          </w:tcPr>
          <w:p w:rsidR="005A7FEF" w:rsidRPr="008809A2" w:rsidRDefault="005A7FEF" w:rsidP="00A44009">
            <w:pPr>
              <w:spacing w:before="20" w:after="20"/>
              <w:ind w:left="0"/>
              <w:jc w:val="center"/>
              <w:rPr>
                <w:sz w:val="16"/>
                <w:szCs w:val="16"/>
              </w:rPr>
            </w:pPr>
            <w:r w:rsidRPr="008809A2">
              <w:rPr>
                <w:sz w:val="16"/>
                <w:szCs w:val="16"/>
              </w:rPr>
              <w:t>B</w:t>
            </w:r>
          </w:p>
        </w:tc>
        <w:tc>
          <w:tcPr>
            <w:tcW w:w="1985" w:type="dxa"/>
          </w:tcPr>
          <w:p w:rsidR="005A7FEF" w:rsidRPr="008809A2" w:rsidRDefault="005A7FEF" w:rsidP="00A44009">
            <w:pPr>
              <w:spacing w:after="0"/>
              <w:ind w:left="0"/>
              <w:rPr>
                <w:sz w:val="16"/>
                <w:szCs w:val="16"/>
              </w:rPr>
            </w:pPr>
            <w:r w:rsidRPr="008809A2">
              <w:rPr>
                <w:sz w:val="16"/>
                <w:szCs w:val="16"/>
              </w:rPr>
              <w:t>UQ (AMP6 to date)</w:t>
            </w:r>
          </w:p>
        </w:tc>
        <w:tc>
          <w:tcPr>
            <w:tcW w:w="850" w:type="dxa"/>
          </w:tcPr>
          <w:p w:rsidR="005A7FEF" w:rsidRPr="008809A2" w:rsidRDefault="005A7FEF" w:rsidP="00A44009">
            <w:pPr>
              <w:spacing w:before="20" w:after="20"/>
              <w:ind w:left="0"/>
              <w:rPr>
                <w:sz w:val="16"/>
                <w:szCs w:val="16"/>
              </w:rPr>
            </w:pPr>
            <w:r w:rsidRPr="008809A2">
              <w:rPr>
                <w:sz w:val="16"/>
                <w:szCs w:val="16"/>
              </w:rPr>
              <w:t>UQ</w:t>
            </w:r>
          </w:p>
        </w:tc>
        <w:tc>
          <w:tcPr>
            <w:tcW w:w="851" w:type="dxa"/>
          </w:tcPr>
          <w:p w:rsidR="005A7FEF" w:rsidRPr="008809A2" w:rsidRDefault="005A7FEF" w:rsidP="00A44009">
            <w:pPr>
              <w:spacing w:after="0"/>
              <w:ind w:left="0"/>
              <w:rPr>
                <w:sz w:val="16"/>
                <w:szCs w:val="16"/>
              </w:rPr>
            </w:pPr>
            <w:r w:rsidRPr="008809A2">
              <w:rPr>
                <w:sz w:val="16"/>
                <w:szCs w:val="16"/>
              </w:rPr>
              <w:t>UQ</w:t>
            </w:r>
          </w:p>
        </w:tc>
        <w:tc>
          <w:tcPr>
            <w:tcW w:w="1417" w:type="dxa"/>
          </w:tcPr>
          <w:p w:rsidR="005A7FEF" w:rsidRPr="008809A2" w:rsidRDefault="005A7FEF" w:rsidP="00A44009">
            <w:pPr>
              <w:spacing w:after="0"/>
              <w:ind w:left="0"/>
              <w:jc w:val="center"/>
              <w:rPr>
                <w:sz w:val="16"/>
                <w:szCs w:val="16"/>
              </w:rPr>
            </w:pPr>
            <w:r w:rsidRPr="008809A2">
              <w:rPr>
                <w:sz w:val="16"/>
                <w:szCs w:val="16"/>
              </w:rPr>
              <w:t>R/P</w:t>
            </w:r>
          </w:p>
        </w:tc>
      </w:tr>
    </w:tbl>
    <w:p w:rsidR="00A60187" w:rsidRDefault="00A60187" w:rsidP="00A60187">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000BCB" w:rsidRPr="00000BCB" w:rsidRDefault="00000BCB" w:rsidP="00777C75">
      <w:r w:rsidRPr="00000BCB">
        <w:t xml:space="preserve">This </w:t>
      </w:r>
      <w:r w:rsidR="001A4ABE">
        <w:t>“</w:t>
      </w:r>
      <w:r w:rsidRPr="00000BCB">
        <w:t>pick list</w:t>
      </w:r>
      <w:r w:rsidR="001A4ABE">
        <w:t>”</w:t>
      </w:r>
      <w:r w:rsidRPr="00000BCB">
        <w:t xml:space="preserve"> bespoke Performance Commitment has been chosen as it is closely aligned to our PR14 measure, which was all Water Quality Contacts. </w:t>
      </w:r>
      <w:r w:rsidR="00001BA8">
        <w:t xml:space="preserve"> </w:t>
      </w:r>
      <w:r w:rsidRPr="00000BCB">
        <w:t xml:space="preserve">This </w:t>
      </w:r>
      <w:r w:rsidR="00721498">
        <w:t xml:space="preserve">measure </w:t>
      </w:r>
      <w:r w:rsidRPr="00000BCB">
        <w:t xml:space="preserve">is also appropriate as dirty water incidents causing this type of discolouration are a real possibility, with the resultant customer impacts, in areas of our network with a high proportion of iron mains.  </w:t>
      </w:r>
      <w:r w:rsidR="00732359">
        <w:t xml:space="preserve">During </w:t>
      </w:r>
      <w:r w:rsidR="001A4ABE">
        <w:t>AMP6,</w:t>
      </w:r>
      <w:r w:rsidR="00732359">
        <w:t xml:space="preserve"> we introduced new working practices, additional equipment, enhanced risk management and training that has resulted in a 42% reduction in discolouratio</w:t>
      </w:r>
      <w:r w:rsidR="004B363A">
        <w:t>n (</w:t>
      </w:r>
      <w:r w:rsidR="00A60187">
        <w:t xml:space="preserve">orange, brown, </w:t>
      </w:r>
      <w:r w:rsidR="004B363A">
        <w:t>black</w:t>
      </w:r>
      <w:r w:rsidR="00A60187">
        <w:t>)</w:t>
      </w:r>
      <w:r w:rsidR="004B363A">
        <w:t xml:space="preserve"> contacts.  T</w:t>
      </w:r>
      <w:r w:rsidR="00732359">
        <w:t>herefore</w:t>
      </w:r>
      <w:r w:rsidRPr="00000BCB">
        <w:t xml:space="preserve"> targeting upper quartile performance with both a reward and penalty.</w:t>
      </w:r>
    </w:p>
    <w:p w:rsidR="00000BCB" w:rsidRPr="00000BCB" w:rsidRDefault="00000BCB" w:rsidP="00000BCB">
      <w:pPr>
        <w:rPr>
          <w:rFonts w:cs="Arial"/>
        </w:rPr>
      </w:pPr>
      <w:r w:rsidRPr="00000BCB">
        <w:rPr>
          <w:rFonts w:cs="Arial"/>
        </w:rPr>
        <w:t>In order to maintain water quality, we have assessed risks and determined the interventions that are required in the next AMP to address deteriorating water quality.  This result</w:t>
      </w:r>
      <w:r w:rsidR="00BB506C">
        <w:rPr>
          <w:rFonts w:cs="Arial"/>
        </w:rPr>
        <w:t>s</w:t>
      </w:r>
      <w:r w:rsidRPr="00000BCB">
        <w:rPr>
          <w:rFonts w:cs="Arial"/>
        </w:rPr>
        <w:t xml:space="preserve"> in a proposal to introduce UV treatment at two works to counter the risk of cryptosporidium and blending at one works to manage nitrate levels.  </w:t>
      </w:r>
    </w:p>
    <w:p w:rsidR="00000BCB" w:rsidRPr="00000BCB" w:rsidRDefault="00000BCB" w:rsidP="00000BCB">
      <w:pPr>
        <w:rPr>
          <w:rFonts w:cs="Arial"/>
        </w:rPr>
      </w:pPr>
      <w:r w:rsidRPr="00000BCB">
        <w:rPr>
          <w:rFonts w:cs="Arial"/>
        </w:rPr>
        <w:t>Lead supply pipes are common within large parts of our area of supply.  Whilst we dose with orthophosphoric</w:t>
      </w:r>
      <w:r w:rsidR="001A4ABE">
        <w:rPr>
          <w:rFonts w:cs="Arial"/>
        </w:rPr>
        <w:t xml:space="preserve"> acid</w:t>
      </w:r>
      <w:r w:rsidRPr="00000BCB">
        <w:rPr>
          <w:rFonts w:cs="Arial"/>
        </w:rPr>
        <w:t xml:space="preserve"> at treatment works where lead exists in customers pipes, this alone cannot completely remove the risk of lead sample failures at customer’s taps.  For AMP7 we are proposing, with DWI support, a trial lead </w:t>
      </w:r>
      <w:r w:rsidR="00721498">
        <w:rPr>
          <w:rFonts w:cs="Arial"/>
        </w:rPr>
        <w:t xml:space="preserve">pipe </w:t>
      </w:r>
      <w:r w:rsidRPr="00000BCB">
        <w:rPr>
          <w:rFonts w:cs="Arial"/>
        </w:rPr>
        <w:t>replacement programme.</w:t>
      </w:r>
      <w:r w:rsidR="00934560">
        <w:rPr>
          <w:rFonts w:cs="Arial"/>
        </w:rPr>
        <w:t xml:space="preserve">  This trial will educate targeted customers on the impacts of lead on health.  We will then assess the le</w:t>
      </w:r>
      <w:r w:rsidR="001A4ABE">
        <w:rPr>
          <w:rFonts w:cs="Arial"/>
        </w:rPr>
        <w:t>vel of financial subsidy</w:t>
      </w:r>
      <w:r w:rsidR="00934560">
        <w:rPr>
          <w:rFonts w:cs="Arial"/>
        </w:rPr>
        <w:t xml:space="preserve"> needed to instigate the replacement of their pipework.  We will also seek to understand how such replacements can be undertaken in the most cost efficient way.</w:t>
      </w:r>
    </w:p>
    <w:p w:rsidR="00000BCB" w:rsidRPr="00000BCB" w:rsidRDefault="00000BCB" w:rsidP="00000BCB">
      <w:pPr>
        <w:rPr>
          <w:rFonts w:cs="Arial"/>
        </w:rPr>
      </w:pPr>
      <w:r w:rsidRPr="00000BCB">
        <w:rPr>
          <w:rFonts w:cs="Arial"/>
        </w:rPr>
        <w:t xml:space="preserve">Additionally, section 2.5 of our plan covers our outcome ‘An improved environment, supporting biodiversity’ explains our innovative approach to </w:t>
      </w:r>
      <w:r w:rsidR="00A11EF3">
        <w:rPr>
          <w:rFonts w:cs="Arial"/>
        </w:rPr>
        <w:t>c</w:t>
      </w:r>
      <w:r w:rsidRPr="00000BCB">
        <w:rPr>
          <w:rFonts w:cs="Arial"/>
        </w:rPr>
        <w:t xml:space="preserve">atchment </w:t>
      </w:r>
      <w:r w:rsidR="00A11EF3">
        <w:rPr>
          <w:rFonts w:cs="Arial"/>
        </w:rPr>
        <w:t>m</w:t>
      </w:r>
      <w:r w:rsidRPr="00000BCB">
        <w:rPr>
          <w:rFonts w:cs="Arial"/>
        </w:rPr>
        <w:t xml:space="preserve">anagement to mitigate some of the </w:t>
      </w:r>
      <w:r w:rsidR="001A4ABE" w:rsidRPr="00000BCB">
        <w:rPr>
          <w:rFonts w:cs="Arial"/>
        </w:rPr>
        <w:t>longer-term</w:t>
      </w:r>
      <w:r w:rsidRPr="00000BCB">
        <w:rPr>
          <w:rFonts w:cs="Arial"/>
        </w:rPr>
        <w:t xml:space="preserve"> risks and issues relating to water quality.</w:t>
      </w:r>
    </w:p>
    <w:p w:rsidR="00000BCB" w:rsidRPr="00000BCB" w:rsidRDefault="00000BCB" w:rsidP="00000BCB">
      <w:pPr>
        <w:rPr>
          <w:rFonts w:cs="Arial"/>
        </w:rPr>
      </w:pPr>
      <w:r w:rsidRPr="00000BCB">
        <w:rPr>
          <w:rFonts w:cs="Arial"/>
        </w:rPr>
        <w:t xml:space="preserve">The costs below form part of our overall Capital Expenditure </w:t>
      </w:r>
      <w:r w:rsidR="001A4ABE" w:rsidRPr="00000BCB">
        <w:rPr>
          <w:rFonts w:cs="Arial"/>
        </w:rPr>
        <w:t>plan that</w:t>
      </w:r>
      <w:r w:rsidRPr="00000BCB">
        <w:rPr>
          <w:rFonts w:cs="Arial"/>
        </w:rPr>
        <w:t xml:space="preserve"> tot</w:t>
      </w:r>
      <w:r w:rsidR="00732359">
        <w:rPr>
          <w:rFonts w:cs="Arial"/>
        </w:rPr>
        <w:t>als £73.430 million for the AMP, excluding Havant Thicket Winter Storage Reservoir.</w:t>
      </w:r>
    </w:p>
    <w:tbl>
      <w:tblPr>
        <w:tblStyle w:val="TableGrid40"/>
        <w:tblW w:w="8788" w:type="dxa"/>
        <w:tblInd w:w="846" w:type="dxa"/>
        <w:tblLook w:val="04A0" w:firstRow="1" w:lastRow="0" w:firstColumn="1" w:lastColumn="0" w:noHBand="0" w:noVBand="1"/>
      </w:tblPr>
      <w:tblGrid>
        <w:gridCol w:w="2693"/>
        <w:gridCol w:w="2126"/>
        <w:gridCol w:w="2835"/>
        <w:gridCol w:w="1134"/>
      </w:tblGrid>
      <w:tr w:rsidR="004A2C5C" w:rsidRPr="004A2C5C" w:rsidTr="007A66D9">
        <w:tc>
          <w:tcPr>
            <w:tcW w:w="2693" w:type="dxa"/>
            <w:shd w:val="clear" w:color="auto" w:fill="2E74B5" w:themeFill="accent1" w:themeFillShade="BF"/>
          </w:tcPr>
          <w:p w:rsidR="004A2C5C" w:rsidRPr="00B73C0A" w:rsidRDefault="004A2C5C" w:rsidP="004A2C5C">
            <w:pPr>
              <w:tabs>
                <w:tab w:val="clear" w:pos="851"/>
              </w:tabs>
              <w:spacing w:after="0"/>
              <w:ind w:left="0"/>
              <w:jc w:val="left"/>
              <w:rPr>
                <w:rFonts w:cs="Arial"/>
                <w:b/>
                <w:color w:val="FFFFFF" w:themeColor="background1"/>
                <w:sz w:val="16"/>
                <w:szCs w:val="16"/>
              </w:rPr>
            </w:pPr>
            <w:r w:rsidRPr="00B73C0A">
              <w:rPr>
                <w:rFonts w:cs="Arial"/>
                <w:b/>
                <w:color w:val="FFFFFF" w:themeColor="background1"/>
                <w:sz w:val="16"/>
                <w:szCs w:val="16"/>
              </w:rPr>
              <w:t>Proposed Intervention</w:t>
            </w:r>
          </w:p>
        </w:tc>
        <w:tc>
          <w:tcPr>
            <w:tcW w:w="2126" w:type="dxa"/>
            <w:shd w:val="clear" w:color="auto" w:fill="2E74B5" w:themeFill="accent1" w:themeFillShade="BF"/>
          </w:tcPr>
          <w:p w:rsidR="004A2C5C" w:rsidRPr="00B73C0A" w:rsidRDefault="004A2C5C" w:rsidP="004A2C5C">
            <w:pPr>
              <w:tabs>
                <w:tab w:val="clear" w:pos="851"/>
              </w:tabs>
              <w:spacing w:after="0"/>
              <w:ind w:left="0"/>
              <w:jc w:val="left"/>
              <w:rPr>
                <w:rFonts w:cs="Arial"/>
                <w:b/>
                <w:color w:val="FFFFFF" w:themeColor="background1"/>
                <w:sz w:val="16"/>
                <w:szCs w:val="16"/>
              </w:rPr>
            </w:pPr>
            <w:r w:rsidRPr="00B73C0A">
              <w:rPr>
                <w:rFonts w:cs="Arial"/>
                <w:b/>
                <w:color w:val="FFFFFF" w:themeColor="background1"/>
                <w:sz w:val="16"/>
                <w:szCs w:val="16"/>
              </w:rPr>
              <w:t>Location</w:t>
            </w:r>
          </w:p>
        </w:tc>
        <w:tc>
          <w:tcPr>
            <w:tcW w:w="2835" w:type="dxa"/>
            <w:shd w:val="clear" w:color="auto" w:fill="2E74B5" w:themeFill="accent1" w:themeFillShade="BF"/>
          </w:tcPr>
          <w:p w:rsidR="004A2C5C" w:rsidRPr="00B73C0A" w:rsidRDefault="004A2C5C" w:rsidP="004A2C5C">
            <w:pPr>
              <w:tabs>
                <w:tab w:val="clear" w:pos="851"/>
              </w:tabs>
              <w:spacing w:after="0"/>
              <w:ind w:left="0"/>
              <w:jc w:val="left"/>
              <w:rPr>
                <w:rFonts w:cs="Arial"/>
                <w:b/>
                <w:color w:val="FFFFFF" w:themeColor="background1"/>
                <w:sz w:val="16"/>
                <w:szCs w:val="16"/>
              </w:rPr>
            </w:pPr>
            <w:r w:rsidRPr="00B73C0A">
              <w:rPr>
                <w:rFonts w:cs="Arial"/>
                <w:b/>
                <w:color w:val="FFFFFF" w:themeColor="background1"/>
                <w:sz w:val="16"/>
                <w:szCs w:val="16"/>
              </w:rPr>
              <w:t>DWI Opinion</w:t>
            </w:r>
          </w:p>
        </w:tc>
        <w:tc>
          <w:tcPr>
            <w:tcW w:w="1134" w:type="dxa"/>
            <w:shd w:val="clear" w:color="auto" w:fill="2E74B5" w:themeFill="accent1" w:themeFillShade="BF"/>
          </w:tcPr>
          <w:p w:rsidR="004A2C5C" w:rsidRPr="00B73C0A" w:rsidRDefault="004A2C5C" w:rsidP="004A2C5C">
            <w:pPr>
              <w:tabs>
                <w:tab w:val="clear" w:pos="851"/>
              </w:tabs>
              <w:spacing w:after="0"/>
              <w:ind w:left="0"/>
              <w:jc w:val="left"/>
              <w:rPr>
                <w:rFonts w:cs="Arial"/>
                <w:b/>
                <w:color w:val="FFFFFF" w:themeColor="background1"/>
                <w:sz w:val="16"/>
                <w:szCs w:val="16"/>
              </w:rPr>
            </w:pPr>
            <w:r w:rsidRPr="00B73C0A">
              <w:rPr>
                <w:rFonts w:cs="Arial"/>
                <w:b/>
                <w:color w:val="FFFFFF" w:themeColor="background1"/>
                <w:sz w:val="16"/>
                <w:szCs w:val="16"/>
              </w:rPr>
              <w:t>Cost</w:t>
            </w:r>
          </w:p>
        </w:tc>
      </w:tr>
      <w:tr w:rsidR="00000BCB" w:rsidRPr="004A2C5C" w:rsidTr="007A66D9">
        <w:tc>
          <w:tcPr>
            <w:tcW w:w="2693" w:type="dxa"/>
          </w:tcPr>
          <w:p w:rsidR="00000BCB" w:rsidRPr="00AD039A" w:rsidRDefault="00000BCB" w:rsidP="004B363A">
            <w:pPr>
              <w:ind w:left="0"/>
              <w:jc w:val="left"/>
              <w:rPr>
                <w:sz w:val="16"/>
                <w:szCs w:val="16"/>
              </w:rPr>
            </w:pPr>
            <w:r w:rsidRPr="00AD039A">
              <w:rPr>
                <w:sz w:val="16"/>
                <w:szCs w:val="16"/>
              </w:rPr>
              <w:t xml:space="preserve">New </w:t>
            </w:r>
            <w:r w:rsidR="004B363A">
              <w:rPr>
                <w:sz w:val="16"/>
                <w:szCs w:val="16"/>
              </w:rPr>
              <w:t>b</w:t>
            </w:r>
            <w:r w:rsidRPr="00AD039A">
              <w:rPr>
                <w:sz w:val="16"/>
                <w:szCs w:val="16"/>
              </w:rPr>
              <w:t xml:space="preserve">lending </w:t>
            </w:r>
            <w:r w:rsidR="004B363A">
              <w:rPr>
                <w:sz w:val="16"/>
                <w:szCs w:val="16"/>
              </w:rPr>
              <w:t>c</w:t>
            </w:r>
            <w:r w:rsidRPr="00AD039A">
              <w:rPr>
                <w:sz w:val="16"/>
                <w:szCs w:val="16"/>
              </w:rPr>
              <w:t>hamber to counter risk of high nitrate levels.</w:t>
            </w:r>
          </w:p>
        </w:tc>
        <w:tc>
          <w:tcPr>
            <w:tcW w:w="2126" w:type="dxa"/>
          </w:tcPr>
          <w:p w:rsidR="00000BCB" w:rsidRPr="00AD039A" w:rsidRDefault="00000BCB" w:rsidP="00000BCB">
            <w:pPr>
              <w:ind w:left="0"/>
              <w:rPr>
                <w:sz w:val="16"/>
                <w:szCs w:val="16"/>
              </w:rPr>
            </w:pPr>
            <w:r w:rsidRPr="00AD039A">
              <w:rPr>
                <w:sz w:val="16"/>
                <w:szCs w:val="16"/>
              </w:rPr>
              <w:t>Lovedean Water Treatment Works</w:t>
            </w:r>
          </w:p>
        </w:tc>
        <w:tc>
          <w:tcPr>
            <w:tcW w:w="2835" w:type="dxa"/>
          </w:tcPr>
          <w:p w:rsidR="00000BCB" w:rsidRPr="00AD039A" w:rsidRDefault="00000BCB" w:rsidP="00000BCB">
            <w:pPr>
              <w:ind w:left="0"/>
              <w:rPr>
                <w:sz w:val="16"/>
                <w:szCs w:val="16"/>
              </w:rPr>
            </w:pPr>
            <w:r w:rsidRPr="00AD039A">
              <w:rPr>
                <w:sz w:val="16"/>
                <w:szCs w:val="16"/>
              </w:rPr>
              <w:t>DWI has Commended to support this scheme.</w:t>
            </w:r>
          </w:p>
        </w:tc>
        <w:tc>
          <w:tcPr>
            <w:tcW w:w="1134" w:type="dxa"/>
          </w:tcPr>
          <w:p w:rsidR="00000BCB" w:rsidRPr="00AD039A" w:rsidRDefault="00000BCB" w:rsidP="00000BCB">
            <w:pPr>
              <w:ind w:left="0"/>
              <w:rPr>
                <w:sz w:val="16"/>
                <w:szCs w:val="16"/>
              </w:rPr>
            </w:pPr>
            <w:r w:rsidRPr="00AD039A">
              <w:rPr>
                <w:sz w:val="16"/>
                <w:szCs w:val="16"/>
              </w:rPr>
              <w:t>£1.717m</w:t>
            </w:r>
          </w:p>
        </w:tc>
      </w:tr>
      <w:tr w:rsidR="00000BCB" w:rsidRPr="004A2C5C" w:rsidTr="007A66D9">
        <w:tc>
          <w:tcPr>
            <w:tcW w:w="2693" w:type="dxa"/>
          </w:tcPr>
          <w:p w:rsidR="00000BCB" w:rsidRPr="00AD039A" w:rsidRDefault="00000BCB" w:rsidP="00000BCB">
            <w:pPr>
              <w:ind w:left="0"/>
              <w:jc w:val="left"/>
              <w:rPr>
                <w:sz w:val="16"/>
                <w:szCs w:val="16"/>
              </w:rPr>
            </w:pPr>
            <w:r w:rsidRPr="00AD039A">
              <w:rPr>
                <w:sz w:val="16"/>
                <w:szCs w:val="16"/>
              </w:rPr>
              <w:t>Provision of UV and modifications to disinfection system to deal with cryptosporidium risk.</w:t>
            </w:r>
          </w:p>
        </w:tc>
        <w:tc>
          <w:tcPr>
            <w:tcW w:w="2126" w:type="dxa"/>
          </w:tcPr>
          <w:p w:rsidR="00000BCB" w:rsidRPr="00AD039A" w:rsidRDefault="00000BCB" w:rsidP="00000BCB">
            <w:pPr>
              <w:ind w:left="0"/>
              <w:rPr>
                <w:sz w:val="16"/>
                <w:szCs w:val="16"/>
              </w:rPr>
            </w:pPr>
            <w:r w:rsidRPr="00AD039A">
              <w:rPr>
                <w:sz w:val="16"/>
                <w:szCs w:val="16"/>
              </w:rPr>
              <w:t>Funtington Water Treatment Works</w:t>
            </w:r>
          </w:p>
        </w:tc>
        <w:tc>
          <w:tcPr>
            <w:tcW w:w="2835" w:type="dxa"/>
            <w:shd w:val="clear" w:color="auto" w:fill="auto"/>
          </w:tcPr>
          <w:p w:rsidR="008B5AC2" w:rsidRPr="00AD039A" w:rsidRDefault="008B5AC2" w:rsidP="00000BCB">
            <w:pPr>
              <w:ind w:left="0"/>
              <w:rPr>
                <w:sz w:val="16"/>
                <w:szCs w:val="16"/>
              </w:rPr>
            </w:pPr>
            <w:r>
              <w:rPr>
                <w:sz w:val="16"/>
                <w:szCs w:val="16"/>
              </w:rPr>
              <w:t>DWI currently assessing scheme (late submission) DWI have stated preliminary assessments indicates they are likely to support scheme.</w:t>
            </w:r>
          </w:p>
        </w:tc>
        <w:tc>
          <w:tcPr>
            <w:tcW w:w="1134" w:type="dxa"/>
          </w:tcPr>
          <w:p w:rsidR="00000BCB" w:rsidRPr="00AD039A" w:rsidRDefault="00000BCB" w:rsidP="00000BCB">
            <w:pPr>
              <w:ind w:left="0"/>
              <w:rPr>
                <w:sz w:val="16"/>
                <w:szCs w:val="16"/>
              </w:rPr>
            </w:pPr>
            <w:r w:rsidRPr="00AD039A">
              <w:rPr>
                <w:sz w:val="16"/>
                <w:szCs w:val="16"/>
              </w:rPr>
              <w:t>£2.872m</w:t>
            </w:r>
          </w:p>
        </w:tc>
      </w:tr>
      <w:tr w:rsidR="00000BCB" w:rsidRPr="004A2C5C" w:rsidTr="007A66D9">
        <w:tc>
          <w:tcPr>
            <w:tcW w:w="2693" w:type="dxa"/>
          </w:tcPr>
          <w:p w:rsidR="00000BCB" w:rsidRPr="00AD039A" w:rsidRDefault="00000BCB" w:rsidP="00000BCB">
            <w:pPr>
              <w:ind w:left="0"/>
              <w:jc w:val="left"/>
              <w:rPr>
                <w:sz w:val="16"/>
                <w:szCs w:val="16"/>
              </w:rPr>
            </w:pPr>
            <w:r w:rsidRPr="00AD039A">
              <w:rPr>
                <w:sz w:val="16"/>
                <w:szCs w:val="16"/>
              </w:rPr>
              <w:t>Provision of UV and modifications to disinfection system to deal with cryptosporidium risk.</w:t>
            </w:r>
          </w:p>
        </w:tc>
        <w:tc>
          <w:tcPr>
            <w:tcW w:w="2126" w:type="dxa"/>
          </w:tcPr>
          <w:p w:rsidR="00000BCB" w:rsidRPr="00AD039A" w:rsidRDefault="00000BCB" w:rsidP="00000BCB">
            <w:pPr>
              <w:ind w:left="0"/>
              <w:rPr>
                <w:sz w:val="16"/>
                <w:szCs w:val="16"/>
              </w:rPr>
            </w:pPr>
            <w:r w:rsidRPr="00AD039A">
              <w:rPr>
                <w:sz w:val="16"/>
                <w:szCs w:val="16"/>
              </w:rPr>
              <w:t>Maindell Water Treatment Works</w:t>
            </w:r>
          </w:p>
        </w:tc>
        <w:tc>
          <w:tcPr>
            <w:tcW w:w="2835" w:type="dxa"/>
          </w:tcPr>
          <w:p w:rsidR="00000BCB" w:rsidRPr="00AD039A" w:rsidRDefault="00000BCB" w:rsidP="00A60187">
            <w:pPr>
              <w:ind w:left="0"/>
              <w:rPr>
                <w:sz w:val="16"/>
                <w:szCs w:val="16"/>
              </w:rPr>
            </w:pPr>
            <w:r w:rsidRPr="00AD039A">
              <w:rPr>
                <w:sz w:val="16"/>
                <w:szCs w:val="16"/>
              </w:rPr>
              <w:t xml:space="preserve">DWI support obtained, Regulation 28 </w:t>
            </w:r>
            <w:r w:rsidR="00A60187">
              <w:rPr>
                <w:sz w:val="16"/>
                <w:szCs w:val="16"/>
              </w:rPr>
              <w:t>N</w:t>
            </w:r>
            <w:r w:rsidRPr="00AD039A">
              <w:rPr>
                <w:sz w:val="16"/>
                <w:szCs w:val="16"/>
              </w:rPr>
              <w:t>otice received.</w:t>
            </w:r>
          </w:p>
        </w:tc>
        <w:tc>
          <w:tcPr>
            <w:tcW w:w="1134" w:type="dxa"/>
          </w:tcPr>
          <w:p w:rsidR="00000BCB" w:rsidRPr="00AD039A" w:rsidRDefault="00732359" w:rsidP="00000BCB">
            <w:pPr>
              <w:ind w:left="0"/>
              <w:rPr>
                <w:sz w:val="16"/>
                <w:szCs w:val="16"/>
              </w:rPr>
            </w:pPr>
            <w:r>
              <w:rPr>
                <w:sz w:val="16"/>
                <w:szCs w:val="16"/>
              </w:rPr>
              <w:t>£1.186</w:t>
            </w:r>
            <w:r w:rsidR="00000BCB" w:rsidRPr="00AD039A">
              <w:rPr>
                <w:sz w:val="16"/>
                <w:szCs w:val="16"/>
              </w:rPr>
              <w:t>m</w:t>
            </w:r>
          </w:p>
        </w:tc>
      </w:tr>
      <w:tr w:rsidR="00000BCB" w:rsidRPr="004A2C5C" w:rsidTr="007A66D9">
        <w:tc>
          <w:tcPr>
            <w:tcW w:w="2693" w:type="dxa"/>
          </w:tcPr>
          <w:p w:rsidR="00000BCB" w:rsidRPr="00AD039A" w:rsidRDefault="00000BCB" w:rsidP="00000BCB">
            <w:pPr>
              <w:ind w:left="0"/>
              <w:jc w:val="left"/>
              <w:rPr>
                <w:sz w:val="16"/>
                <w:szCs w:val="16"/>
              </w:rPr>
            </w:pPr>
            <w:r w:rsidRPr="00AD039A">
              <w:rPr>
                <w:sz w:val="16"/>
                <w:szCs w:val="16"/>
              </w:rPr>
              <w:t>Lead Replacement Scheme trial</w:t>
            </w:r>
          </w:p>
        </w:tc>
        <w:tc>
          <w:tcPr>
            <w:tcW w:w="2126" w:type="dxa"/>
          </w:tcPr>
          <w:p w:rsidR="00000BCB" w:rsidRPr="00AD039A" w:rsidRDefault="00000BCB" w:rsidP="00000BCB">
            <w:pPr>
              <w:ind w:left="0"/>
              <w:rPr>
                <w:sz w:val="16"/>
                <w:szCs w:val="16"/>
              </w:rPr>
            </w:pPr>
            <w:r w:rsidRPr="00AD039A">
              <w:rPr>
                <w:sz w:val="16"/>
                <w:szCs w:val="16"/>
              </w:rPr>
              <w:t>Targeted areas</w:t>
            </w:r>
          </w:p>
        </w:tc>
        <w:tc>
          <w:tcPr>
            <w:tcW w:w="2835" w:type="dxa"/>
          </w:tcPr>
          <w:p w:rsidR="00000BCB" w:rsidRPr="00AD039A" w:rsidRDefault="00000BCB" w:rsidP="00A60187">
            <w:pPr>
              <w:ind w:left="0"/>
              <w:rPr>
                <w:sz w:val="16"/>
                <w:szCs w:val="16"/>
              </w:rPr>
            </w:pPr>
            <w:r w:rsidRPr="00AD039A">
              <w:rPr>
                <w:sz w:val="16"/>
                <w:szCs w:val="16"/>
              </w:rPr>
              <w:t xml:space="preserve">DWI support obtained, Regulation 28 </w:t>
            </w:r>
            <w:r w:rsidR="00A60187">
              <w:rPr>
                <w:sz w:val="16"/>
                <w:szCs w:val="16"/>
              </w:rPr>
              <w:t>N</w:t>
            </w:r>
            <w:r w:rsidRPr="00AD039A">
              <w:rPr>
                <w:sz w:val="16"/>
                <w:szCs w:val="16"/>
              </w:rPr>
              <w:t>otice received.</w:t>
            </w:r>
          </w:p>
        </w:tc>
        <w:tc>
          <w:tcPr>
            <w:tcW w:w="1134" w:type="dxa"/>
          </w:tcPr>
          <w:p w:rsidR="00000BCB" w:rsidRPr="00AD039A" w:rsidRDefault="00000BCB" w:rsidP="00000BCB">
            <w:pPr>
              <w:ind w:left="0"/>
              <w:rPr>
                <w:sz w:val="16"/>
                <w:szCs w:val="16"/>
              </w:rPr>
            </w:pPr>
            <w:r w:rsidRPr="00AD039A">
              <w:rPr>
                <w:sz w:val="16"/>
                <w:szCs w:val="16"/>
              </w:rPr>
              <w:t>£0.250m</w:t>
            </w:r>
          </w:p>
        </w:tc>
      </w:tr>
    </w:tbl>
    <w:p w:rsidR="00721498" w:rsidRDefault="00721498" w:rsidP="008809A2">
      <w:pPr>
        <w:spacing w:after="0"/>
        <w:rPr>
          <w:rFonts w:cs="Arial"/>
          <w:b/>
          <w:bCs/>
        </w:rPr>
      </w:pPr>
    </w:p>
    <w:p w:rsidR="004A2C5C" w:rsidRPr="004A2C5C" w:rsidRDefault="004A2C5C" w:rsidP="004A2C5C">
      <w:pPr>
        <w:rPr>
          <w:rFonts w:cs="Arial"/>
          <w:b/>
          <w:bCs/>
        </w:rPr>
      </w:pPr>
      <w:r w:rsidRPr="004A2C5C">
        <w:rPr>
          <w:rFonts w:cs="Arial"/>
          <w:b/>
          <w:bCs/>
        </w:rPr>
        <w:t>Secure Supplies</w:t>
      </w:r>
    </w:p>
    <w:p w:rsidR="00000BCB" w:rsidRDefault="00000BCB" w:rsidP="00000BCB">
      <w:pPr>
        <w:rPr>
          <w:rFonts w:cstheme="minorHAnsi"/>
          <w:bCs/>
        </w:rPr>
      </w:pPr>
      <w:r>
        <w:rPr>
          <w:rFonts w:cstheme="minorHAnsi"/>
          <w:bCs/>
        </w:rPr>
        <w:t>Our philosophy and network design is built on having storage and interconnectivity to mitigate against the risk of loss of supplies due to a problem at</w:t>
      </w:r>
      <w:r w:rsidR="00721498">
        <w:rPr>
          <w:rFonts w:cstheme="minorHAnsi"/>
          <w:bCs/>
        </w:rPr>
        <w:t xml:space="preserve"> any</w:t>
      </w:r>
      <w:r>
        <w:rPr>
          <w:rFonts w:cstheme="minorHAnsi"/>
          <w:bCs/>
        </w:rPr>
        <w:t xml:space="preserve"> one of our </w:t>
      </w:r>
      <w:r w:rsidR="004B363A">
        <w:rPr>
          <w:rFonts w:cstheme="minorHAnsi"/>
          <w:bCs/>
        </w:rPr>
        <w:t>w</w:t>
      </w:r>
      <w:r>
        <w:rPr>
          <w:rFonts w:cstheme="minorHAnsi"/>
          <w:bCs/>
        </w:rPr>
        <w:t xml:space="preserve">ater </w:t>
      </w:r>
      <w:r w:rsidR="004B363A">
        <w:rPr>
          <w:rFonts w:cstheme="minorHAnsi"/>
          <w:bCs/>
        </w:rPr>
        <w:t>t</w:t>
      </w:r>
      <w:r>
        <w:rPr>
          <w:rFonts w:cstheme="minorHAnsi"/>
          <w:bCs/>
        </w:rPr>
        <w:t xml:space="preserve">reatment </w:t>
      </w:r>
      <w:r w:rsidR="004B363A">
        <w:rPr>
          <w:rFonts w:cstheme="minorHAnsi"/>
          <w:bCs/>
        </w:rPr>
        <w:t>w</w:t>
      </w:r>
      <w:r>
        <w:rPr>
          <w:rFonts w:cstheme="minorHAnsi"/>
          <w:bCs/>
        </w:rPr>
        <w:t>orks.</w:t>
      </w:r>
      <w:r w:rsidR="00BB506C">
        <w:rPr>
          <w:rFonts w:cstheme="minorHAnsi"/>
          <w:bCs/>
        </w:rPr>
        <w:t xml:space="preserve">  </w:t>
      </w:r>
      <w:r>
        <w:rPr>
          <w:rFonts w:cstheme="minorHAnsi"/>
          <w:bCs/>
        </w:rPr>
        <w:t xml:space="preserve">We have </w:t>
      </w:r>
      <w:r w:rsidR="00914092">
        <w:rPr>
          <w:rFonts w:cstheme="minorHAnsi"/>
          <w:bCs/>
        </w:rPr>
        <w:t xml:space="preserve">two </w:t>
      </w:r>
      <w:r>
        <w:rPr>
          <w:rFonts w:cstheme="minorHAnsi"/>
          <w:bCs/>
        </w:rPr>
        <w:t>Performance Commitment</w:t>
      </w:r>
      <w:r w:rsidR="00914092">
        <w:rPr>
          <w:rFonts w:cstheme="minorHAnsi"/>
          <w:bCs/>
        </w:rPr>
        <w:t>s</w:t>
      </w:r>
      <w:r>
        <w:rPr>
          <w:rFonts w:cstheme="minorHAnsi"/>
          <w:bCs/>
        </w:rPr>
        <w:t xml:space="preserve"> relating to secure supplies:-</w:t>
      </w:r>
    </w:p>
    <w:p w:rsidR="005A7FEF" w:rsidRDefault="002548B5" w:rsidP="002548B5">
      <w:pPr>
        <w:rPr>
          <w:rFonts w:cs="Arial"/>
          <w:bCs/>
        </w:rPr>
      </w:pPr>
      <w:r>
        <w:rPr>
          <w:rFonts w:cs="Arial"/>
          <w:b/>
          <w:bCs/>
        </w:rPr>
        <w:t>1.</w:t>
      </w:r>
      <w:r>
        <w:rPr>
          <w:rFonts w:cs="Arial"/>
          <w:b/>
          <w:bCs/>
        </w:rPr>
        <w:tab/>
      </w:r>
      <w:r w:rsidR="004A2C5C" w:rsidRPr="004A2C5C">
        <w:rPr>
          <w:rFonts w:cs="Arial"/>
          <w:b/>
          <w:bCs/>
        </w:rPr>
        <w:t>Asset Health: Unplanned Outage</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5A7FEF" w:rsidRPr="008809A2" w:rsidTr="00B63614">
        <w:tc>
          <w:tcPr>
            <w:tcW w:w="2405" w:type="dxa"/>
            <w:shd w:val="clear" w:color="auto" w:fill="2E74B5" w:themeFill="accent1" w:themeFillShade="BF"/>
          </w:tcPr>
          <w:p w:rsidR="005A7FEF" w:rsidRPr="008809A2" w:rsidRDefault="005A7FEF" w:rsidP="00A44009">
            <w:pPr>
              <w:spacing w:after="0"/>
              <w:ind w:left="0"/>
              <w:rPr>
                <w:sz w:val="16"/>
                <w:szCs w:val="16"/>
              </w:rPr>
            </w:pPr>
            <w:r w:rsidRPr="008809A2">
              <w:rPr>
                <w:b/>
                <w:bCs/>
                <w:color w:val="FFFFFF" w:themeColor="background1"/>
                <w:sz w:val="16"/>
                <w:szCs w:val="16"/>
              </w:rPr>
              <w:t>Performance Commitment</w:t>
            </w:r>
          </w:p>
        </w:tc>
        <w:tc>
          <w:tcPr>
            <w:tcW w:w="708" w:type="dxa"/>
            <w:shd w:val="clear" w:color="auto" w:fill="2E74B5" w:themeFill="accent1" w:themeFillShade="BF"/>
          </w:tcPr>
          <w:p w:rsidR="005A7FEF" w:rsidRPr="008809A2" w:rsidRDefault="005A7FEF" w:rsidP="00A44009">
            <w:pPr>
              <w:spacing w:before="20" w:after="20"/>
              <w:ind w:left="0"/>
              <w:jc w:val="center"/>
              <w:rPr>
                <w:b/>
                <w:bCs/>
                <w:color w:val="FFFFFF" w:themeColor="background1"/>
                <w:sz w:val="16"/>
                <w:szCs w:val="16"/>
              </w:rPr>
            </w:pPr>
            <w:r w:rsidRPr="008809A2">
              <w:rPr>
                <w:b/>
                <w:bCs/>
                <w:color w:val="FFFFFF" w:themeColor="background1"/>
                <w:sz w:val="16"/>
                <w:szCs w:val="16"/>
              </w:rPr>
              <w:t>Type</w:t>
            </w:r>
          </w:p>
        </w:tc>
        <w:tc>
          <w:tcPr>
            <w:tcW w:w="1512"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AMP6 Performance</w:t>
            </w:r>
          </w:p>
        </w:tc>
        <w:tc>
          <w:tcPr>
            <w:tcW w:w="1654"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2024/25 Target</w:t>
            </w:r>
          </w:p>
        </w:tc>
        <w:tc>
          <w:tcPr>
            <w:tcW w:w="1654"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2034/35 Target</w:t>
            </w:r>
          </w:p>
        </w:tc>
        <w:tc>
          <w:tcPr>
            <w:tcW w:w="850" w:type="dxa"/>
            <w:shd w:val="clear" w:color="auto" w:fill="2E74B5" w:themeFill="accent1" w:themeFillShade="BF"/>
          </w:tcPr>
          <w:p w:rsidR="005A7FEF" w:rsidRPr="008809A2" w:rsidRDefault="005A7FEF" w:rsidP="00A44009">
            <w:pPr>
              <w:spacing w:after="0"/>
              <w:ind w:left="0"/>
              <w:jc w:val="center"/>
              <w:rPr>
                <w:b/>
                <w:color w:val="FFFFFF" w:themeColor="background1"/>
                <w:sz w:val="16"/>
                <w:szCs w:val="16"/>
              </w:rPr>
            </w:pPr>
            <w:r w:rsidRPr="008809A2">
              <w:rPr>
                <w:b/>
                <w:color w:val="FFFFFF" w:themeColor="background1"/>
                <w:sz w:val="16"/>
                <w:szCs w:val="16"/>
              </w:rPr>
              <w:t>Reward/Penalty</w:t>
            </w:r>
          </w:p>
        </w:tc>
      </w:tr>
      <w:tr w:rsidR="005A7FEF" w:rsidRPr="008809A2" w:rsidTr="00B63614">
        <w:tc>
          <w:tcPr>
            <w:tcW w:w="2405" w:type="dxa"/>
          </w:tcPr>
          <w:p w:rsidR="005A7FEF" w:rsidRPr="008809A2" w:rsidRDefault="005A7FEF" w:rsidP="00A44009">
            <w:pPr>
              <w:spacing w:before="20" w:after="20"/>
              <w:ind w:left="0"/>
              <w:rPr>
                <w:sz w:val="16"/>
                <w:szCs w:val="16"/>
              </w:rPr>
            </w:pPr>
            <w:r w:rsidRPr="008809A2">
              <w:rPr>
                <w:sz w:val="16"/>
                <w:szCs w:val="16"/>
              </w:rPr>
              <w:t xml:space="preserve">Unplanned Outage </w:t>
            </w:r>
          </w:p>
        </w:tc>
        <w:tc>
          <w:tcPr>
            <w:tcW w:w="708" w:type="dxa"/>
          </w:tcPr>
          <w:p w:rsidR="005A7FEF" w:rsidRPr="008809A2" w:rsidRDefault="005A7FEF" w:rsidP="00A44009">
            <w:pPr>
              <w:spacing w:before="20" w:after="20"/>
              <w:ind w:left="0"/>
              <w:jc w:val="center"/>
              <w:rPr>
                <w:sz w:val="16"/>
                <w:szCs w:val="16"/>
              </w:rPr>
            </w:pPr>
            <w:r w:rsidRPr="008809A2">
              <w:rPr>
                <w:sz w:val="16"/>
                <w:szCs w:val="16"/>
              </w:rPr>
              <w:t>C</w:t>
            </w:r>
          </w:p>
        </w:tc>
        <w:tc>
          <w:tcPr>
            <w:tcW w:w="1512" w:type="dxa"/>
          </w:tcPr>
          <w:p w:rsidR="005A7FEF" w:rsidRPr="008809A2" w:rsidRDefault="005A7FEF" w:rsidP="00A44009">
            <w:pPr>
              <w:spacing w:after="0"/>
              <w:ind w:left="0"/>
              <w:rPr>
                <w:sz w:val="16"/>
                <w:szCs w:val="16"/>
              </w:rPr>
            </w:pPr>
            <w:r w:rsidRPr="008809A2">
              <w:rPr>
                <w:sz w:val="16"/>
                <w:szCs w:val="16"/>
              </w:rPr>
              <w:t>6.95% (2017/18)</w:t>
            </w:r>
          </w:p>
        </w:tc>
        <w:tc>
          <w:tcPr>
            <w:tcW w:w="1654" w:type="dxa"/>
          </w:tcPr>
          <w:p w:rsidR="005A7FEF" w:rsidRPr="008809A2" w:rsidRDefault="005A7FEF" w:rsidP="00A44009">
            <w:pPr>
              <w:spacing w:before="20" w:after="20"/>
              <w:ind w:left="0"/>
              <w:rPr>
                <w:sz w:val="16"/>
                <w:szCs w:val="16"/>
              </w:rPr>
            </w:pPr>
            <w:r w:rsidRPr="008809A2">
              <w:rPr>
                <w:sz w:val="16"/>
                <w:szCs w:val="16"/>
              </w:rPr>
              <w:t>3.0%</w:t>
            </w:r>
          </w:p>
        </w:tc>
        <w:tc>
          <w:tcPr>
            <w:tcW w:w="1654" w:type="dxa"/>
          </w:tcPr>
          <w:p w:rsidR="005A7FEF" w:rsidRPr="008809A2" w:rsidRDefault="00977912" w:rsidP="00A44009">
            <w:pPr>
              <w:spacing w:after="0"/>
              <w:ind w:left="0"/>
              <w:rPr>
                <w:sz w:val="16"/>
                <w:szCs w:val="16"/>
              </w:rPr>
            </w:pPr>
            <w:r>
              <w:rPr>
                <w:sz w:val="16"/>
                <w:szCs w:val="16"/>
              </w:rPr>
              <w:t>2</w:t>
            </w:r>
            <w:r w:rsidR="005A7FEF" w:rsidRPr="008809A2">
              <w:rPr>
                <w:sz w:val="16"/>
                <w:szCs w:val="16"/>
              </w:rPr>
              <w:t>.0%</w:t>
            </w:r>
          </w:p>
        </w:tc>
        <w:tc>
          <w:tcPr>
            <w:tcW w:w="850" w:type="dxa"/>
          </w:tcPr>
          <w:p w:rsidR="005A7FEF" w:rsidRPr="008809A2" w:rsidRDefault="00977912" w:rsidP="00977912">
            <w:pPr>
              <w:spacing w:after="0"/>
              <w:ind w:left="0"/>
              <w:jc w:val="center"/>
              <w:rPr>
                <w:sz w:val="16"/>
                <w:szCs w:val="16"/>
              </w:rPr>
            </w:pPr>
            <w:r>
              <w:rPr>
                <w:sz w:val="16"/>
                <w:szCs w:val="16"/>
              </w:rPr>
              <w:t>RE</w:t>
            </w:r>
            <w:r w:rsidR="00934560" w:rsidRPr="008809A2">
              <w:rPr>
                <w:sz w:val="16"/>
                <w:szCs w:val="16"/>
              </w:rPr>
              <w:t>P</w:t>
            </w:r>
          </w:p>
        </w:tc>
      </w:tr>
    </w:tbl>
    <w:p w:rsidR="00011015" w:rsidRDefault="00011015" w:rsidP="0001101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4A2C5C" w:rsidRDefault="00000BCB" w:rsidP="005A7FEF">
      <w:pPr>
        <w:rPr>
          <w:rFonts w:cs="Arial"/>
          <w:bCs/>
        </w:rPr>
      </w:pPr>
      <w:r w:rsidRPr="00000BCB">
        <w:rPr>
          <w:rFonts w:cs="Arial"/>
          <w:bCs/>
        </w:rPr>
        <w:t>This</w:t>
      </w:r>
      <w:r w:rsidR="00721498">
        <w:rPr>
          <w:rFonts w:cs="Arial"/>
          <w:bCs/>
        </w:rPr>
        <w:t xml:space="preserve"> </w:t>
      </w:r>
      <w:r w:rsidR="005F2894">
        <w:rPr>
          <w:rFonts w:cs="Arial"/>
          <w:bCs/>
        </w:rPr>
        <w:t xml:space="preserve">is </w:t>
      </w:r>
      <w:r w:rsidR="001A4ABE">
        <w:rPr>
          <w:rFonts w:cs="Arial"/>
          <w:bCs/>
        </w:rPr>
        <w:t xml:space="preserve">a </w:t>
      </w:r>
      <w:r w:rsidR="001A4ABE" w:rsidRPr="00000BCB">
        <w:rPr>
          <w:rFonts w:cs="Arial"/>
          <w:bCs/>
        </w:rPr>
        <w:t>bespoke</w:t>
      </w:r>
      <w:r w:rsidRPr="00000BCB">
        <w:rPr>
          <w:rFonts w:cs="Arial"/>
          <w:bCs/>
        </w:rPr>
        <w:t xml:space="preserve"> pick-list Performance </w:t>
      </w:r>
      <w:r w:rsidR="00721498">
        <w:rPr>
          <w:rFonts w:cs="Arial"/>
          <w:bCs/>
        </w:rPr>
        <w:t>C</w:t>
      </w:r>
      <w:r w:rsidRPr="00000BCB">
        <w:rPr>
          <w:rFonts w:cs="Arial"/>
          <w:bCs/>
        </w:rPr>
        <w:t xml:space="preserve">ommitment. We have targeted no more than 3% outage during any reporting year.  This ODI is reputational only as there should be no impact on the end customer </w:t>
      </w:r>
      <w:r w:rsidR="001A4ABE" w:rsidRPr="00000BCB">
        <w:rPr>
          <w:rFonts w:cs="Arial"/>
          <w:bCs/>
        </w:rPr>
        <w:t>because</w:t>
      </w:r>
      <w:r w:rsidRPr="00000BCB">
        <w:rPr>
          <w:rFonts w:cs="Arial"/>
          <w:bCs/>
        </w:rPr>
        <w:t xml:space="preserve"> of these outages.</w:t>
      </w:r>
      <w:r w:rsidR="00721498">
        <w:rPr>
          <w:rFonts w:cs="Arial"/>
          <w:bCs/>
        </w:rPr>
        <w:t xml:space="preserve"> This is because of the resilience of our network and ability to re-</w:t>
      </w:r>
      <w:r w:rsidR="00934560">
        <w:rPr>
          <w:rFonts w:cs="Arial"/>
          <w:bCs/>
        </w:rPr>
        <w:t>route</w:t>
      </w:r>
      <w:r w:rsidR="00721498">
        <w:rPr>
          <w:rFonts w:cs="Arial"/>
          <w:bCs/>
        </w:rPr>
        <w:t xml:space="preserve"> </w:t>
      </w:r>
      <w:r w:rsidR="00E24F68">
        <w:rPr>
          <w:rFonts w:cs="Arial"/>
          <w:bCs/>
        </w:rPr>
        <w:t>supplies if a works fails.</w:t>
      </w:r>
    </w:p>
    <w:p w:rsidR="005A7FEF" w:rsidRPr="005A7FEF" w:rsidRDefault="002548B5" w:rsidP="002548B5">
      <w:pPr>
        <w:rPr>
          <w:rFonts w:cs="Arial"/>
          <w:bCs/>
        </w:rPr>
      </w:pPr>
      <w:r>
        <w:rPr>
          <w:rFonts w:cs="Arial"/>
          <w:b/>
          <w:bCs/>
        </w:rPr>
        <w:t>2.</w:t>
      </w:r>
      <w:r>
        <w:rPr>
          <w:rFonts w:cs="Arial"/>
          <w:b/>
          <w:bCs/>
        </w:rPr>
        <w:tab/>
      </w:r>
      <w:r w:rsidR="00914092" w:rsidRPr="009E7BCB">
        <w:rPr>
          <w:rFonts w:cs="Arial"/>
          <w:b/>
          <w:bCs/>
        </w:rPr>
        <w:t>Resilience Schemes</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5A7FEF" w:rsidRPr="008809A2" w:rsidTr="00B63614">
        <w:tc>
          <w:tcPr>
            <w:tcW w:w="2405" w:type="dxa"/>
            <w:shd w:val="clear" w:color="auto" w:fill="2E74B5" w:themeFill="accent1" w:themeFillShade="BF"/>
          </w:tcPr>
          <w:p w:rsidR="005A7FEF" w:rsidRPr="008809A2" w:rsidRDefault="005A7FEF" w:rsidP="00A44009">
            <w:pPr>
              <w:spacing w:after="0"/>
              <w:ind w:left="0"/>
              <w:rPr>
                <w:sz w:val="16"/>
                <w:szCs w:val="16"/>
              </w:rPr>
            </w:pPr>
            <w:r w:rsidRPr="008809A2">
              <w:rPr>
                <w:b/>
                <w:bCs/>
                <w:color w:val="FFFFFF" w:themeColor="background1"/>
                <w:sz w:val="16"/>
                <w:szCs w:val="16"/>
              </w:rPr>
              <w:t>Performance Commitment</w:t>
            </w:r>
          </w:p>
        </w:tc>
        <w:tc>
          <w:tcPr>
            <w:tcW w:w="708" w:type="dxa"/>
            <w:shd w:val="clear" w:color="auto" w:fill="2E74B5" w:themeFill="accent1" w:themeFillShade="BF"/>
          </w:tcPr>
          <w:p w:rsidR="005A7FEF" w:rsidRPr="008809A2" w:rsidRDefault="005A7FEF" w:rsidP="00A44009">
            <w:pPr>
              <w:spacing w:before="20" w:after="20"/>
              <w:ind w:left="0"/>
              <w:jc w:val="center"/>
              <w:rPr>
                <w:b/>
                <w:bCs/>
                <w:color w:val="FFFFFF" w:themeColor="background1"/>
                <w:sz w:val="16"/>
                <w:szCs w:val="16"/>
              </w:rPr>
            </w:pPr>
            <w:r w:rsidRPr="008809A2">
              <w:rPr>
                <w:b/>
                <w:bCs/>
                <w:color w:val="FFFFFF" w:themeColor="background1"/>
                <w:sz w:val="16"/>
                <w:szCs w:val="16"/>
              </w:rPr>
              <w:t>Type</w:t>
            </w:r>
          </w:p>
        </w:tc>
        <w:tc>
          <w:tcPr>
            <w:tcW w:w="1512"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AMP6 Performance</w:t>
            </w:r>
          </w:p>
        </w:tc>
        <w:tc>
          <w:tcPr>
            <w:tcW w:w="1654"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2024/25 Target</w:t>
            </w:r>
          </w:p>
        </w:tc>
        <w:tc>
          <w:tcPr>
            <w:tcW w:w="1654"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2034/35 Target</w:t>
            </w:r>
          </w:p>
        </w:tc>
        <w:tc>
          <w:tcPr>
            <w:tcW w:w="850" w:type="dxa"/>
            <w:shd w:val="clear" w:color="auto" w:fill="2E74B5" w:themeFill="accent1" w:themeFillShade="BF"/>
          </w:tcPr>
          <w:p w:rsidR="005A7FEF" w:rsidRPr="008809A2" w:rsidRDefault="005A7FEF" w:rsidP="00A44009">
            <w:pPr>
              <w:spacing w:after="0"/>
              <w:ind w:left="0"/>
              <w:jc w:val="center"/>
              <w:rPr>
                <w:b/>
                <w:color w:val="FFFFFF" w:themeColor="background1"/>
                <w:sz w:val="16"/>
                <w:szCs w:val="16"/>
              </w:rPr>
            </w:pPr>
            <w:r w:rsidRPr="008809A2">
              <w:rPr>
                <w:b/>
                <w:color w:val="FFFFFF" w:themeColor="background1"/>
                <w:sz w:val="16"/>
                <w:szCs w:val="16"/>
              </w:rPr>
              <w:t>Reward/Penalty</w:t>
            </w:r>
          </w:p>
        </w:tc>
      </w:tr>
      <w:tr w:rsidR="005A7FEF" w:rsidRPr="008809A2" w:rsidTr="00B63614">
        <w:tc>
          <w:tcPr>
            <w:tcW w:w="2405" w:type="dxa"/>
          </w:tcPr>
          <w:p w:rsidR="005A7FEF" w:rsidRPr="008809A2" w:rsidRDefault="005A7FEF" w:rsidP="00A44009">
            <w:pPr>
              <w:spacing w:before="20" w:after="20"/>
              <w:ind w:left="0"/>
              <w:rPr>
                <w:sz w:val="16"/>
                <w:szCs w:val="16"/>
              </w:rPr>
            </w:pPr>
            <w:r w:rsidRPr="008809A2">
              <w:rPr>
                <w:sz w:val="16"/>
                <w:szCs w:val="16"/>
              </w:rPr>
              <w:t>Resilience Schemes</w:t>
            </w:r>
          </w:p>
        </w:tc>
        <w:tc>
          <w:tcPr>
            <w:tcW w:w="708" w:type="dxa"/>
          </w:tcPr>
          <w:p w:rsidR="005A7FEF" w:rsidRPr="008809A2" w:rsidRDefault="005A7FEF" w:rsidP="00A44009">
            <w:pPr>
              <w:spacing w:before="20" w:after="20"/>
              <w:ind w:left="0"/>
              <w:jc w:val="center"/>
              <w:rPr>
                <w:sz w:val="16"/>
                <w:szCs w:val="16"/>
              </w:rPr>
            </w:pPr>
            <w:r w:rsidRPr="008809A2">
              <w:rPr>
                <w:sz w:val="16"/>
                <w:szCs w:val="16"/>
              </w:rPr>
              <w:t>B</w:t>
            </w:r>
          </w:p>
        </w:tc>
        <w:tc>
          <w:tcPr>
            <w:tcW w:w="1512" w:type="dxa"/>
          </w:tcPr>
          <w:p w:rsidR="005A7FEF" w:rsidRPr="008809A2" w:rsidRDefault="005A7FEF" w:rsidP="00A44009">
            <w:pPr>
              <w:spacing w:after="0"/>
              <w:ind w:left="0"/>
              <w:rPr>
                <w:sz w:val="16"/>
                <w:szCs w:val="16"/>
              </w:rPr>
            </w:pPr>
            <w:r w:rsidRPr="008809A2">
              <w:rPr>
                <w:sz w:val="16"/>
                <w:szCs w:val="16"/>
              </w:rPr>
              <w:t>n/a</w:t>
            </w:r>
          </w:p>
        </w:tc>
        <w:tc>
          <w:tcPr>
            <w:tcW w:w="1654" w:type="dxa"/>
          </w:tcPr>
          <w:p w:rsidR="005A7FEF" w:rsidRPr="008809A2" w:rsidRDefault="005A7FEF" w:rsidP="00A44009">
            <w:pPr>
              <w:spacing w:before="20" w:after="20"/>
              <w:ind w:left="0"/>
              <w:jc w:val="left"/>
              <w:rPr>
                <w:sz w:val="16"/>
                <w:szCs w:val="16"/>
              </w:rPr>
            </w:pPr>
            <w:r w:rsidRPr="008809A2">
              <w:rPr>
                <w:sz w:val="16"/>
                <w:szCs w:val="16"/>
              </w:rPr>
              <w:t>Capital Progress Delivery</w:t>
            </w:r>
          </w:p>
        </w:tc>
        <w:tc>
          <w:tcPr>
            <w:tcW w:w="1654" w:type="dxa"/>
          </w:tcPr>
          <w:p w:rsidR="005A7FEF" w:rsidRPr="008809A2" w:rsidRDefault="005A7FEF" w:rsidP="00A44009">
            <w:pPr>
              <w:spacing w:after="0"/>
              <w:ind w:left="0"/>
              <w:rPr>
                <w:sz w:val="16"/>
                <w:szCs w:val="16"/>
              </w:rPr>
            </w:pPr>
            <w:r w:rsidRPr="008809A2">
              <w:rPr>
                <w:sz w:val="16"/>
                <w:szCs w:val="16"/>
              </w:rPr>
              <w:t>n/a</w:t>
            </w:r>
          </w:p>
        </w:tc>
        <w:tc>
          <w:tcPr>
            <w:tcW w:w="850" w:type="dxa"/>
          </w:tcPr>
          <w:p w:rsidR="005A7FEF" w:rsidRPr="008809A2" w:rsidRDefault="005A7FEF" w:rsidP="00A44009">
            <w:pPr>
              <w:spacing w:after="0"/>
              <w:ind w:left="0"/>
              <w:jc w:val="center"/>
              <w:rPr>
                <w:sz w:val="16"/>
                <w:szCs w:val="16"/>
              </w:rPr>
            </w:pPr>
            <w:r w:rsidRPr="008809A2">
              <w:rPr>
                <w:sz w:val="16"/>
                <w:szCs w:val="16"/>
              </w:rPr>
              <w:t>REP</w:t>
            </w:r>
          </w:p>
        </w:tc>
      </w:tr>
    </w:tbl>
    <w:p w:rsidR="00011015" w:rsidRDefault="00011015" w:rsidP="0001101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914092" w:rsidRDefault="00914092" w:rsidP="005A7FEF">
      <w:pPr>
        <w:rPr>
          <w:rFonts w:cs="Arial"/>
          <w:bCs/>
        </w:rPr>
      </w:pPr>
      <w:r>
        <w:rPr>
          <w:rFonts w:cs="Arial"/>
          <w:bCs/>
        </w:rPr>
        <w:t xml:space="preserve">This is a bespoke Performance Commitment.  Our commitment is to deliver </w:t>
      </w:r>
      <w:r w:rsidR="001A4ABE">
        <w:rPr>
          <w:rFonts w:cs="Arial"/>
          <w:bCs/>
        </w:rPr>
        <w:t xml:space="preserve">the schemes, detailed below, </w:t>
      </w:r>
      <w:r>
        <w:rPr>
          <w:rFonts w:cs="Arial"/>
          <w:bCs/>
        </w:rPr>
        <w:t xml:space="preserve">on time.  This is </w:t>
      </w:r>
      <w:r w:rsidR="001A4ABE">
        <w:rPr>
          <w:rFonts w:cs="Arial"/>
          <w:bCs/>
        </w:rPr>
        <w:t xml:space="preserve">a </w:t>
      </w:r>
      <w:r>
        <w:rPr>
          <w:rFonts w:cs="Arial"/>
          <w:bCs/>
        </w:rPr>
        <w:t>reputation only ODI.</w:t>
      </w:r>
    </w:p>
    <w:p w:rsidR="00000BCB" w:rsidRDefault="00000BCB" w:rsidP="00000BCB">
      <w:pPr>
        <w:rPr>
          <w:rFonts w:cs="Arial"/>
          <w:bCs/>
        </w:rPr>
      </w:pPr>
      <w:r w:rsidRPr="00000BCB">
        <w:rPr>
          <w:rFonts w:cs="Arial"/>
          <w:bCs/>
        </w:rPr>
        <w:t xml:space="preserve">We already have a high level of resilience built into our networks with 99.7% of customers fed directly from </w:t>
      </w:r>
      <w:r w:rsidR="00DE66B9">
        <w:rPr>
          <w:rFonts w:cs="Arial"/>
          <w:bCs/>
        </w:rPr>
        <w:t xml:space="preserve">service </w:t>
      </w:r>
      <w:r w:rsidR="00DE66B9" w:rsidRPr="00000BCB">
        <w:rPr>
          <w:rFonts w:cs="Arial"/>
          <w:bCs/>
        </w:rPr>
        <w:t>reservoirs, which</w:t>
      </w:r>
      <w:r w:rsidRPr="00000BCB">
        <w:rPr>
          <w:rFonts w:cs="Arial"/>
          <w:bCs/>
        </w:rPr>
        <w:t xml:space="preserve"> on average hold 2 days water storage. In </w:t>
      </w:r>
      <w:r w:rsidR="00DE66B9" w:rsidRPr="00000BCB">
        <w:rPr>
          <w:rFonts w:cs="Arial"/>
          <w:bCs/>
        </w:rPr>
        <w:t>addition,</w:t>
      </w:r>
      <w:r w:rsidRPr="00000BCB">
        <w:rPr>
          <w:rFonts w:cs="Arial"/>
          <w:bCs/>
        </w:rPr>
        <w:t xml:space="preserve"> the trunk main and distribution systems include a high level of interconnections allowing for reconfiguration of areas a</w:t>
      </w:r>
      <w:r w:rsidR="00DE66B9">
        <w:rPr>
          <w:rFonts w:cs="Arial"/>
          <w:bCs/>
        </w:rPr>
        <w:t xml:space="preserve">nd ability to transfer water </w:t>
      </w:r>
      <w:r w:rsidR="00001BA8">
        <w:rPr>
          <w:rFonts w:cs="Arial"/>
          <w:bCs/>
        </w:rPr>
        <w:t>to mitigate issues.</w:t>
      </w:r>
    </w:p>
    <w:p w:rsidR="00F340DF" w:rsidRPr="00000BCB" w:rsidRDefault="00F340DF" w:rsidP="00000BCB">
      <w:pPr>
        <w:rPr>
          <w:rFonts w:cs="Arial"/>
          <w:bCs/>
        </w:rPr>
      </w:pPr>
      <w:r>
        <w:rPr>
          <w:rFonts w:cs="Arial"/>
          <w:bCs/>
        </w:rPr>
        <w:t>After a number of oil spills</w:t>
      </w:r>
      <w:r w:rsidR="00F30667">
        <w:rPr>
          <w:rFonts w:cs="Arial"/>
          <w:bCs/>
        </w:rPr>
        <w:t xml:space="preserve"> in our catchment areas</w:t>
      </w:r>
      <w:r>
        <w:rPr>
          <w:rFonts w:cs="Arial"/>
          <w:bCs/>
        </w:rPr>
        <w:t xml:space="preserve"> in the previous 10 years, we wanted to understand our resilience to the effect on our supply of the loss of one or more treatment works, particularly as our largest works represent 35% of our supply.  We therefore</w:t>
      </w:r>
      <w:r w:rsidR="00DE66B9">
        <w:rPr>
          <w:rFonts w:cs="Arial"/>
          <w:bCs/>
        </w:rPr>
        <w:t xml:space="preserve"> undertook</w:t>
      </w:r>
      <w:r>
        <w:rPr>
          <w:rFonts w:cs="Arial"/>
          <w:bCs/>
        </w:rPr>
        <w:t xml:space="preserve"> a resilience study in </w:t>
      </w:r>
      <w:r w:rsidR="00DE66B9">
        <w:rPr>
          <w:rFonts w:cs="Arial"/>
          <w:bCs/>
        </w:rPr>
        <w:t xml:space="preserve">this period. </w:t>
      </w:r>
    </w:p>
    <w:p w:rsidR="00000BCB" w:rsidRPr="00000BCB" w:rsidRDefault="00000BCB" w:rsidP="00000BCB">
      <w:pPr>
        <w:rPr>
          <w:rFonts w:cs="Arial"/>
          <w:bCs/>
        </w:rPr>
      </w:pPr>
      <w:r w:rsidRPr="00000BCB">
        <w:rPr>
          <w:rFonts w:cs="Arial"/>
          <w:bCs/>
        </w:rPr>
        <w:t>Working closely with Serv</w:t>
      </w:r>
      <w:r w:rsidR="00A60187">
        <w:rPr>
          <w:rFonts w:cs="Arial"/>
          <w:bCs/>
        </w:rPr>
        <w:t>e</w:t>
      </w:r>
      <w:r w:rsidRPr="00000BCB">
        <w:rPr>
          <w:rFonts w:cs="Arial"/>
          <w:bCs/>
        </w:rPr>
        <w:t>lec</w:t>
      </w:r>
      <w:r w:rsidR="00995ADC">
        <w:rPr>
          <w:rFonts w:cs="Arial"/>
          <w:bCs/>
        </w:rPr>
        <w:t xml:space="preserve"> </w:t>
      </w:r>
      <w:r w:rsidR="00995ADC" w:rsidRPr="004B363A">
        <w:rPr>
          <w:rFonts w:cs="Arial"/>
          <w:bCs/>
        </w:rPr>
        <w:t xml:space="preserve">(Appendix </w:t>
      </w:r>
      <w:r w:rsidR="00F30667" w:rsidRPr="004B363A">
        <w:rPr>
          <w:rFonts w:cs="Arial"/>
          <w:bCs/>
        </w:rPr>
        <w:t>9.8.4.1</w:t>
      </w:r>
      <w:r w:rsidR="00995ADC" w:rsidRPr="004B363A">
        <w:rPr>
          <w:rFonts w:cs="Arial"/>
          <w:bCs/>
        </w:rPr>
        <w:t>)</w:t>
      </w:r>
      <w:r w:rsidRPr="00000BCB">
        <w:rPr>
          <w:rFonts w:cs="Arial"/>
          <w:bCs/>
        </w:rPr>
        <w:t xml:space="preserve"> and Hydroco</w:t>
      </w:r>
      <w:r w:rsidR="006D50A2">
        <w:rPr>
          <w:rFonts w:cs="Arial"/>
          <w:bCs/>
        </w:rPr>
        <w:t xml:space="preserve">, </w:t>
      </w:r>
      <w:r w:rsidRPr="00000BCB">
        <w:rPr>
          <w:rFonts w:cs="Arial"/>
          <w:bCs/>
        </w:rPr>
        <w:t xml:space="preserve">we have conducted a comprehensive review, including extensive modelling and evaluation of our supply and distribution systems in terms of both its long and </w:t>
      </w:r>
      <w:r w:rsidR="00C3703C" w:rsidRPr="00000BCB">
        <w:rPr>
          <w:rFonts w:cs="Arial"/>
          <w:bCs/>
        </w:rPr>
        <w:t>short-term</w:t>
      </w:r>
      <w:r w:rsidRPr="00000BCB">
        <w:rPr>
          <w:rFonts w:cs="Arial"/>
          <w:bCs/>
        </w:rPr>
        <w:t xml:space="preserve"> resilience to outages. </w:t>
      </w:r>
      <w:r w:rsidR="00F30667">
        <w:rPr>
          <w:rFonts w:cs="Arial"/>
          <w:bCs/>
        </w:rPr>
        <w:t xml:space="preserve"> Details in PPA 1102, Appendix 9.5.7 and TD</w:t>
      </w:r>
      <w:r w:rsidR="006D50A2">
        <w:rPr>
          <w:rFonts w:cs="Arial"/>
          <w:bCs/>
        </w:rPr>
        <w:t>S S754-10 Appendix 9.9.2.2.</w:t>
      </w:r>
    </w:p>
    <w:p w:rsidR="00000BCB" w:rsidRPr="00000BCB" w:rsidRDefault="00000BCB" w:rsidP="00000BCB">
      <w:pPr>
        <w:rPr>
          <w:rFonts w:cs="Arial"/>
          <w:bCs/>
        </w:rPr>
      </w:pPr>
      <w:r w:rsidRPr="00000BCB">
        <w:rPr>
          <w:rFonts w:cs="Arial"/>
          <w:bCs/>
        </w:rPr>
        <w:t>In total 444 failure scenarios were identified and tested under average and peak demand conditions, raising 888 separate scenarios. These included 120 ‘single component’ failures, and a variety of combined failure scenarios, 247 with (2 points), 62 (3 points), 12 (4 points), 2 (5 points) and 1 with (6 points)</w:t>
      </w:r>
      <w:r w:rsidR="00A60187">
        <w:rPr>
          <w:rFonts w:cs="Arial"/>
          <w:bCs/>
        </w:rPr>
        <w:t>.</w:t>
      </w:r>
    </w:p>
    <w:p w:rsidR="00000BCB" w:rsidRPr="00000BCB" w:rsidRDefault="00000BCB" w:rsidP="00000BCB">
      <w:pPr>
        <w:rPr>
          <w:rFonts w:cs="Arial"/>
          <w:bCs/>
        </w:rPr>
      </w:pPr>
      <w:r w:rsidRPr="00000BCB">
        <w:rPr>
          <w:rFonts w:cs="Arial"/>
          <w:bCs/>
        </w:rPr>
        <w:t xml:space="preserve">Each of the failure scenarios was simulated for 1 week running at </w:t>
      </w:r>
      <w:r w:rsidR="001A4ABE" w:rsidRPr="00000BCB">
        <w:rPr>
          <w:rFonts w:cs="Arial"/>
          <w:bCs/>
        </w:rPr>
        <w:t>30-minute</w:t>
      </w:r>
      <w:r w:rsidRPr="00000BCB">
        <w:rPr>
          <w:rFonts w:cs="Arial"/>
          <w:bCs/>
        </w:rPr>
        <w:t xml:space="preserve"> time step intervals. This enabled demand deficits to be calculated, and identified the ability of the system to cope with </w:t>
      </w:r>
      <w:r w:rsidR="001A4ABE" w:rsidRPr="00000BCB">
        <w:rPr>
          <w:rFonts w:cs="Arial"/>
          <w:bCs/>
        </w:rPr>
        <w:t>short-term</w:t>
      </w:r>
      <w:r w:rsidRPr="00000BCB">
        <w:rPr>
          <w:rFonts w:cs="Arial"/>
          <w:bCs/>
        </w:rPr>
        <w:t xml:space="preserve"> outages, but also showed when storage would eventually be exhausted. A total demand deficit, or demand deficit at risk, for our system, was calculated to be 233 Ml/</w:t>
      </w:r>
      <w:r w:rsidR="001A4ABE" w:rsidRPr="00000BCB">
        <w:rPr>
          <w:rFonts w:cs="Arial"/>
          <w:bCs/>
        </w:rPr>
        <w:t>yr.</w:t>
      </w:r>
      <w:r w:rsidRPr="00000BCB">
        <w:rPr>
          <w:rFonts w:cs="Arial"/>
          <w:bCs/>
        </w:rPr>
        <w:t>, this equates to the following:</w:t>
      </w:r>
    </w:p>
    <w:p w:rsidR="00000BCB" w:rsidRPr="00BC3719" w:rsidRDefault="00000BCB" w:rsidP="002E2067">
      <w:pPr>
        <w:pStyle w:val="Bullets"/>
      </w:pPr>
      <w:r w:rsidRPr="00BC3719">
        <w:t>No properties are at risk of loss of supply from a single source of supply failure on an average day</w:t>
      </w:r>
    </w:p>
    <w:p w:rsidR="00000BCB" w:rsidRPr="00BC3719" w:rsidRDefault="00000BCB" w:rsidP="002E2067">
      <w:pPr>
        <w:pStyle w:val="Bullets"/>
      </w:pPr>
      <w:r w:rsidRPr="00BC3719">
        <w:t>100,000 properties are at risk of loss of supply, for a proportion of the day, from a single source of supply failure on a peak day.</w:t>
      </w:r>
    </w:p>
    <w:p w:rsidR="00000BCB" w:rsidRDefault="00000BCB" w:rsidP="002E2067">
      <w:pPr>
        <w:pStyle w:val="Bullets"/>
      </w:pPr>
      <w:r w:rsidRPr="00BC3719">
        <w:t>44 properties fed via boosters are at risk of loss of supply from a single source of failure on an average and peak day.</w:t>
      </w:r>
    </w:p>
    <w:p w:rsidR="002E2067" w:rsidRPr="00BC3719" w:rsidRDefault="002E2067" w:rsidP="002E2067">
      <w:pPr>
        <w:pStyle w:val="Bullets"/>
        <w:numPr>
          <w:ilvl w:val="0"/>
          <w:numId w:val="0"/>
        </w:numPr>
        <w:ind w:left="1848"/>
      </w:pPr>
    </w:p>
    <w:p w:rsidR="00000BCB" w:rsidRPr="00000BCB" w:rsidRDefault="00000BCB" w:rsidP="00000BCB">
      <w:pPr>
        <w:rPr>
          <w:rFonts w:cs="Arial"/>
          <w:bCs/>
        </w:rPr>
      </w:pPr>
      <w:r w:rsidRPr="00000BCB">
        <w:rPr>
          <w:rFonts w:cs="Arial"/>
          <w:bCs/>
        </w:rPr>
        <w:t>The top 80 scenarios from the modelling were discussed and 7 priority risk areas highlighted. We then worked closely with Atkins, Hydroco</w:t>
      </w:r>
      <w:r w:rsidR="00995ADC">
        <w:rPr>
          <w:rFonts w:cs="Arial"/>
          <w:bCs/>
        </w:rPr>
        <w:t xml:space="preserve"> </w:t>
      </w:r>
      <w:r w:rsidRPr="00000BCB">
        <w:rPr>
          <w:rFonts w:cs="Arial"/>
          <w:bCs/>
        </w:rPr>
        <w:t>and Serv</w:t>
      </w:r>
      <w:r w:rsidR="00A60187">
        <w:rPr>
          <w:rFonts w:cs="Arial"/>
          <w:bCs/>
        </w:rPr>
        <w:t>e</w:t>
      </w:r>
      <w:r w:rsidRPr="00000BCB">
        <w:rPr>
          <w:rFonts w:cs="Arial"/>
          <w:bCs/>
        </w:rPr>
        <w:t xml:space="preserve">lec to develop a number of solutions for each of the risk areas. </w:t>
      </w:r>
    </w:p>
    <w:p w:rsidR="00000BCB" w:rsidRPr="00000BCB" w:rsidRDefault="007444BD" w:rsidP="00DE66B9">
      <w:pPr>
        <w:rPr>
          <w:rFonts w:cs="Arial"/>
          <w:bCs/>
        </w:rPr>
      </w:pPr>
      <w:r w:rsidRPr="00000BCB">
        <w:rPr>
          <w:rFonts w:cs="Arial"/>
          <w:bCs/>
        </w:rPr>
        <w:t>Finally,</w:t>
      </w:r>
      <w:r w:rsidR="00000BCB" w:rsidRPr="00000BCB">
        <w:rPr>
          <w:rFonts w:cs="Arial"/>
          <w:bCs/>
        </w:rPr>
        <w:t xml:space="preserve"> the schemes were evaluated using the optimisation tool and CBA, this resulted in the selection of schemes</w:t>
      </w:r>
      <w:r w:rsidR="00B40579">
        <w:rPr>
          <w:rFonts w:cs="Arial"/>
          <w:bCs/>
        </w:rPr>
        <w:t xml:space="preserve"> below </w:t>
      </w:r>
      <w:r w:rsidR="00000BCB" w:rsidRPr="00000BCB">
        <w:rPr>
          <w:rFonts w:cs="Arial"/>
          <w:bCs/>
        </w:rPr>
        <w:t xml:space="preserve">for inclusion in the </w:t>
      </w:r>
      <w:r w:rsidR="004B363A">
        <w:rPr>
          <w:rFonts w:cs="Arial"/>
          <w:bCs/>
        </w:rPr>
        <w:t>B</w:t>
      </w:r>
      <w:r w:rsidR="00000BCB" w:rsidRPr="00000BCB">
        <w:rPr>
          <w:rFonts w:cs="Arial"/>
          <w:bCs/>
        </w:rPr>
        <w:t xml:space="preserve">usiness </w:t>
      </w:r>
      <w:r w:rsidR="004B363A">
        <w:rPr>
          <w:rFonts w:cs="Arial"/>
          <w:bCs/>
        </w:rPr>
        <w:t>P</w:t>
      </w:r>
      <w:r w:rsidR="00000BCB" w:rsidRPr="00000BCB">
        <w:rPr>
          <w:rFonts w:cs="Arial"/>
          <w:bCs/>
        </w:rPr>
        <w:t xml:space="preserve">lan. This will reduce the predicted annual demand deficit from 233ML to 61ML for a total investment of £2,473k. (Implementing all 7 schemes </w:t>
      </w:r>
      <w:r w:rsidR="00DE66B9">
        <w:rPr>
          <w:rFonts w:cs="Arial"/>
          <w:bCs/>
        </w:rPr>
        <w:t>would reduce the deficit to 4M</w:t>
      </w:r>
      <w:r w:rsidR="00977912">
        <w:rPr>
          <w:rFonts w:cs="Arial"/>
          <w:bCs/>
        </w:rPr>
        <w:t>l</w:t>
      </w:r>
      <w:r w:rsidR="00DE66B9">
        <w:rPr>
          <w:rFonts w:cs="Arial"/>
          <w:bCs/>
        </w:rPr>
        <w:t xml:space="preserve">/year </w:t>
      </w:r>
      <w:r w:rsidR="005F2894">
        <w:rPr>
          <w:rFonts w:cs="Arial"/>
          <w:bCs/>
        </w:rPr>
        <w:t>but at a cost of £9,612</w:t>
      </w:r>
      <w:r w:rsidR="003D0BD7">
        <w:rPr>
          <w:rFonts w:cs="Arial"/>
          <w:bCs/>
        </w:rPr>
        <w:t xml:space="preserve">k - </w:t>
      </w:r>
      <w:r w:rsidR="00000BCB" w:rsidRPr="00000BCB">
        <w:rPr>
          <w:rFonts w:cs="Arial"/>
          <w:bCs/>
        </w:rPr>
        <w:t xml:space="preserve">it is proposed that the remaining risks are actively managed and monitored through </w:t>
      </w:r>
      <w:r w:rsidR="00964B14">
        <w:rPr>
          <w:rFonts w:cs="Arial"/>
          <w:bCs/>
        </w:rPr>
        <w:t>Opex</w:t>
      </w:r>
      <w:r>
        <w:rPr>
          <w:rFonts w:cs="Arial"/>
          <w:bCs/>
        </w:rPr>
        <w:t xml:space="preserve"> rather than </w:t>
      </w:r>
      <w:r w:rsidR="00964B14">
        <w:rPr>
          <w:rFonts w:cs="Arial"/>
          <w:bCs/>
        </w:rPr>
        <w:t>Capex</w:t>
      </w:r>
      <w:r>
        <w:rPr>
          <w:rFonts w:cs="Arial"/>
          <w:bCs/>
        </w:rPr>
        <w:t xml:space="preserve"> solutions</w:t>
      </w:r>
      <w:r w:rsidR="00000BCB" w:rsidRPr="00000BCB">
        <w:rPr>
          <w:rFonts w:cs="Arial"/>
          <w:bCs/>
        </w:rPr>
        <w:t>)</w:t>
      </w:r>
      <w:r>
        <w:rPr>
          <w:rFonts w:cs="Arial"/>
          <w:bCs/>
        </w:rPr>
        <w:t>.</w:t>
      </w:r>
      <w:r w:rsidR="00000BCB" w:rsidRPr="00000BCB">
        <w:rPr>
          <w:rFonts w:cs="Arial"/>
          <w:bCs/>
        </w:rPr>
        <w:t xml:space="preserve"> </w:t>
      </w:r>
    </w:p>
    <w:p w:rsidR="00000BCB" w:rsidRDefault="00000BCB" w:rsidP="00000BCB">
      <w:pPr>
        <w:rPr>
          <w:rFonts w:cs="Arial"/>
          <w:bCs/>
        </w:rPr>
      </w:pPr>
      <w:r w:rsidRPr="00000BCB">
        <w:rPr>
          <w:rFonts w:cs="Arial"/>
          <w:bCs/>
        </w:rPr>
        <w:t xml:space="preserve">The </w:t>
      </w:r>
      <w:r w:rsidR="00DE66B9">
        <w:rPr>
          <w:rFonts w:cs="Arial"/>
          <w:bCs/>
        </w:rPr>
        <w:t>four</w:t>
      </w:r>
      <w:r w:rsidRPr="00000BCB">
        <w:rPr>
          <w:rFonts w:cs="Arial"/>
          <w:bCs/>
        </w:rPr>
        <w:t xml:space="preserve"> schemes included in AMP7 are shown below:</w:t>
      </w:r>
    </w:p>
    <w:tbl>
      <w:tblPr>
        <w:tblW w:w="8788" w:type="dxa"/>
        <w:tblInd w:w="841" w:type="dxa"/>
        <w:tblLayout w:type="fixed"/>
        <w:tblCellMar>
          <w:left w:w="0" w:type="dxa"/>
          <w:right w:w="0" w:type="dxa"/>
        </w:tblCellMar>
        <w:tblLook w:val="04A0" w:firstRow="1" w:lastRow="0" w:firstColumn="1" w:lastColumn="0" w:noHBand="0" w:noVBand="1"/>
      </w:tblPr>
      <w:tblGrid>
        <w:gridCol w:w="1276"/>
        <w:gridCol w:w="1559"/>
        <w:gridCol w:w="3544"/>
        <w:gridCol w:w="1275"/>
        <w:gridCol w:w="1134"/>
      </w:tblGrid>
      <w:tr w:rsidR="00BC3719" w:rsidRPr="00B73C0A" w:rsidTr="00B73C0A">
        <w:trPr>
          <w:trHeight w:val="773"/>
        </w:trPr>
        <w:tc>
          <w:tcPr>
            <w:tcW w:w="1276" w:type="dxa"/>
            <w:tcBorders>
              <w:top w:val="single" w:sz="8" w:space="0" w:color="FFFFFF"/>
              <w:left w:val="single" w:sz="8" w:space="0" w:color="FFFFFF"/>
              <w:bottom w:val="single" w:sz="12"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C3719">
            <w:pPr>
              <w:tabs>
                <w:tab w:val="clear" w:pos="851"/>
              </w:tabs>
              <w:spacing w:after="0" w:line="256" w:lineRule="auto"/>
              <w:ind w:left="0"/>
              <w:jc w:val="left"/>
              <w:rPr>
                <w:rFonts w:eastAsia="Calibri" w:cs="Arial"/>
                <w:sz w:val="16"/>
                <w:szCs w:val="16"/>
                <w:lang w:eastAsia="en-US"/>
              </w:rPr>
            </w:pPr>
          </w:p>
        </w:tc>
        <w:tc>
          <w:tcPr>
            <w:tcW w:w="1559" w:type="dxa"/>
            <w:tcBorders>
              <w:top w:val="single" w:sz="8" w:space="0" w:color="FFFFFF"/>
              <w:left w:val="single" w:sz="8" w:space="0" w:color="FFFFFF"/>
              <w:bottom w:val="single" w:sz="12"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73C0A">
            <w:pPr>
              <w:tabs>
                <w:tab w:val="clear" w:pos="851"/>
              </w:tabs>
              <w:spacing w:after="0"/>
              <w:ind w:left="0"/>
              <w:jc w:val="center"/>
              <w:rPr>
                <w:rFonts w:eastAsia="Times" w:cs="Arial"/>
                <w:color w:val="FFFFFF"/>
                <w:sz w:val="16"/>
                <w:szCs w:val="16"/>
                <w:lang w:eastAsia="en-US"/>
              </w:rPr>
            </w:pPr>
            <w:r w:rsidRPr="00B73C0A">
              <w:rPr>
                <w:rFonts w:eastAsia="Times" w:cs="Arial"/>
                <w:b/>
                <w:bCs/>
                <w:color w:val="FFFFFF"/>
                <w:sz w:val="16"/>
                <w:szCs w:val="16"/>
                <w:lang w:eastAsia="en-US"/>
              </w:rPr>
              <w:t>Risk mitigated</w:t>
            </w:r>
          </w:p>
        </w:tc>
        <w:tc>
          <w:tcPr>
            <w:tcW w:w="3544" w:type="dxa"/>
            <w:tcBorders>
              <w:top w:val="single" w:sz="8" w:space="0" w:color="FFFFFF"/>
              <w:left w:val="single" w:sz="8" w:space="0" w:color="FFFFFF"/>
              <w:bottom w:val="single" w:sz="12"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73C0A">
            <w:pPr>
              <w:tabs>
                <w:tab w:val="clear" w:pos="851"/>
              </w:tabs>
              <w:spacing w:after="0"/>
              <w:ind w:left="0"/>
              <w:jc w:val="center"/>
              <w:rPr>
                <w:rFonts w:eastAsia="Times" w:cs="Arial"/>
                <w:color w:val="FFFFFF"/>
                <w:sz w:val="16"/>
                <w:szCs w:val="16"/>
                <w:lang w:eastAsia="en-US"/>
              </w:rPr>
            </w:pPr>
            <w:r w:rsidRPr="00B73C0A">
              <w:rPr>
                <w:rFonts w:eastAsia="Times" w:cs="Arial"/>
                <w:b/>
                <w:bCs/>
                <w:color w:val="FFFFFF"/>
                <w:sz w:val="16"/>
                <w:szCs w:val="16"/>
                <w:lang w:eastAsia="en-US"/>
              </w:rPr>
              <w:t>Resilience Schemes</w:t>
            </w:r>
          </w:p>
        </w:tc>
        <w:tc>
          <w:tcPr>
            <w:tcW w:w="1275" w:type="dxa"/>
            <w:tcBorders>
              <w:top w:val="single" w:sz="8" w:space="0" w:color="FFFFFF"/>
              <w:left w:val="single" w:sz="8" w:space="0" w:color="FFFFFF"/>
              <w:bottom w:val="single" w:sz="12"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73C0A">
            <w:pPr>
              <w:tabs>
                <w:tab w:val="clear" w:pos="851"/>
              </w:tabs>
              <w:spacing w:after="0"/>
              <w:ind w:left="0"/>
              <w:jc w:val="center"/>
              <w:rPr>
                <w:rFonts w:eastAsia="Times" w:cs="Arial"/>
                <w:color w:val="FFFFFF"/>
                <w:sz w:val="16"/>
                <w:szCs w:val="16"/>
                <w:lang w:eastAsia="en-US"/>
              </w:rPr>
            </w:pPr>
            <w:r w:rsidRPr="00B73C0A">
              <w:rPr>
                <w:rFonts w:eastAsia="Times" w:cs="Arial"/>
                <w:b/>
                <w:bCs/>
                <w:color w:val="FFFFFF"/>
                <w:sz w:val="16"/>
                <w:szCs w:val="16"/>
                <w:lang w:eastAsia="en-US"/>
              </w:rPr>
              <w:t>PR19 Estimate (£,000)</w:t>
            </w:r>
          </w:p>
        </w:tc>
        <w:tc>
          <w:tcPr>
            <w:tcW w:w="1134" w:type="dxa"/>
            <w:tcBorders>
              <w:top w:val="single" w:sz="8" w:space="0" w:color="FFFFFF"/>
              <w:left w:val="single" w:sz="8" w:space="0" w:color="FFFFFF"/>
              <w:bottom w:val="single" w:sz="12"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73C0A">
            <w:pPr>
              <w:tabs>
                <w:tab w:val="clear" w:pos="851"/>
              </w:tabs>
              <w:spacing w:after="0"/>
              <w:ind w:left="0"/>
              <w:jc w:val="center"/>
              <w:rPr>
                <w:rFonts w:eastAsia="Times" w:cs="Arial"/>
                <w:color w:val="FFFFFF"/>
                <w:sz w:val="16"/>
                <w:szCs w:val="16"/>
                <w:lang w:eastAsia="en-US"/>
              </w:rPr>
            </w:pPr>
            <w:r w:rsidRPr="00B73C0A">
              <w:rPr>
                <w:rFonts w:eastAsia="Times" w:cs="Arial"/>
                <w:b/>
                <w:bCs/>
                <w:color w:val="FFFFFF"/>
                <w:sz w:val="16"/>
                <w:szCs w:val="16"/>
                <w:lang w:eastAsia="en-US"/>
              </w:rPr>
              <w:t>Demand Deficit reduction</w:t>
            </w:r>
          </w:p>
        </w:tc>
      </w:tr>
      <w:tr w:rsidR="00BC3719" w:rsidRPr="00B73C0A" w:rsidTr="00B73C0A">
        <w:trPr>
          <w:trHeight w:val="522"/>
        </w:trPr>
        <w:tc>
          <w:tcPr>
            <w:tcW w:w="1276" w:type="dxa"/>
            <w:tcBorders>
              <w:top w:val="single" w:sz="12" w:space="0" w:color="FFFFFF"/>
              <w:left w:val="single" w:sz="8" w:space="0" w:color="FFFFFF"/>
              <w:bottom w:val="single" w:sz="8"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73C0A">
            <w:pPr>
              <w:tabs>
                <w:tab w:val="clear" w:pos="851"/>
              </w:tabs>
              <w:spacing w:after="0"/>
              <w:ind w:left="0"/>
              <w:jc w:val="left"/>
              <w:rPr>
                <w:rFonts w:eastAsia="Times" w:cs="Arial"/>
                <w:color w:val="FFFFFF"/>
                <w:sz w:val="16"/>
                <w:szCs w:val="16"/>
                <w:lang w:eastAsia="en-US"/>
              </w:rPr>
            </w:pPr>
            <w:r w:rsidRPr="00B73C0A">
              <w:rPr>
                <w:rFonts w:eastAsia="Times" w:cs="Arial"/>
                <w:b/>
                <w:bCs/>
                <w:color w:val="FFFFFF"/>
                <w:sz w:val="16"/>
                <w:szCs w:val="16"/>
                <w:lang w:eastAsia="en-US"/>
              </w:rPr>
              <w:t>Scheme 1</w:t>
            </w:r>
          </w:p>
        </w:tc>
        <w:tc>
          <w:tcPr>
            <w:tcW w:w="1559" w:type="dxa"/>
            <w:tcBorders>
              <w:top w:val="single" w:sz="12"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left"/>
              <w:rPr>
                <w:rFonts w:eastAsia="Times" w:cs="Arial"/>
                <w:sz w:val="16"/>
                <w:szCs w:val="16"/>
                <w:lang w:eastAsia="en-US"/>
              </w:rPr>
            </w:pPr>
            <w:r w:rsidRPr="00B73C0A">
              <w:rPr>
                <w:rFonts w:eastAsia="Times" w:cs="Arial"/>
                <w:sz w:val="16"/>
                <w:szCs w:val="16"/>
                <w:lang w:eastAsia="en-US"/>
              </w:rPr>
              <w:t>Oil pollution at WTW’s</w:t>
            </w:r>
          </w:p>
        </w:tc>
        <w:tc>
          <w:tcPr>
            <w:tcW w:w="3544" w:type="dxa"/>
            <w:tcBorders>
              <w:top w:val="single" w:sz="12"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left"/>
              <w:rPr>
                <w:rFonts w:eastAsia="Times" w:cs="Arial"/>
                <w:sz w:val="16"/>
                <w:szCs w:val="16"/>
                <w:lang w:eastAsia="en-US"/>
              </w:rPr>
            </w:pPr>
            <w:r w:rsidRPr="00B73C0A">
              <w:rPr>
                <w:rFonts w:eastAsia="Times" w:cs="Arial"/>
                <w:sz w:val="16"/>
                <w:szCs w:val="16"/>
                <w:lang w:eastAsia="en-US"/>
              </w:rPr>
              <w:t xml:space="preserve">Installation of VOC Monitors at all WTW’s to prevent oil pollution affecting the works </w:t>
            </w:r>
          </w:p>
        </w:tc>
        <w:tc>
          <w:tcPr>
            <w:tcW w:w="1275" w:type="dxa"/>
            <w:tcBorders>
              <w:top w:val="single" w:sz="12"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center"/>
              <w:rPr>
                <w:rFonts w:eastAsia="Times" w:cs="Arial"/>
                <w:sz w:val="16"/>
                <w:szCs w:val="16"/>
                <w:lang w:eastAsia="en-US"/>
              </w:rPr>
            </w:pPr>
            <w:r w:rsidRPr="00B73C0A">
              <w:rPr>
                <w:rFonts w:eastAsia="Times" w:cs="Arial"/>
                <w:sz w:val="16"/>
                <w:szCs w:val="16"/>
                <w:lang w:eastAsia="en-US"/>
              </w:rPr>
              <w:t>£369</w:t>
            </w:r>
          </w:p>
        </w:tc>
        <w:tc>
          <w:tcPr>
            <w:tcW w:w="1134" w:type="dxa"/>
            <w:tcBorders>
              <w:top w:val="single" w:sz="12"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center"/>
              <w:rPr>
                <w:rFonts w:eastAsia="Times" w:cs="Arial"/>
                <w:sz w:val="16"/>
                <w:szCs w:val="16"/>
                <w:lang w:eastAsia="en-US"/>
              </w:rPr>
            </w:pPr>
            <w:r w:rsidRPr="00B73C0A">
              <w:rPr>
                <w:rFonts w:eastAsia="Times" w:cs="Arial"/>
                <w:sz w:val="16"/>
                <w:szCs w:val="16"/>
                <w:lang w:eastAsia="en-US"/>
              </w:rPr>
              <w:t>124</w:t>
            </w:r>
          </w:p>
        </w:tc>
      </w:tr>
      <w:tr w:rsidR="00BC3719" w:rsidRPr="00B73C0A" w:rsidTr="00B73C0A">
        <w:trPr>
          <w:trHeight w:val="498"/>
        </w:trPr>
        <w:tc>
          <w:tcPr>
            <w:tcW w:w="1276" w:type="dxa"/>
            <w:tcBorders>
              <w:top w:val="single" w:sz="8" w:space="0" w:color="FFFFFF"/>
              <w:left w:val="single" w:sz="8" w:space="0" w:color="FFFFFF"/>
              <w:bottom w:val="single" w:sz="8"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73C0A">
            <w:pPr>
              <w:tabs>
                <w:tab w:val="clear" w:pos="851"/>
              </w:tabs>
              <w:spacing w:after="0"/>
              <w:ind w:left="0"/>
              <w:jc w:val="left"/>
              <w:rPr>
                <w:rFonts w:eastAsia="Times" w:cs="Arial"/>
                <w:color w:val="FFFFFF"/>
                <w:sz w:val="16"/>
                <w:szCs w:val="16"/>
                <w:lang w:eastAsia="en-US"/>
              </w:rPr>
            </w:pPr>
            <w:r w:rsidRPr="00B73C0A">
              <w:rPr>
                <w:rFonts w:eastAsia="Times" w:cs="Arial"/>
                <w:b/>
                <w:bCs/>
                <w:color w:val="FFFFFF"/>
                <w:sz w:val="16"/>
                <w:szCs w:val="16"/>
                <w:lang w:eastAsia="en-US"/>
              </w:rPr>
              <w:t>Scheme 3</w:t>
            </w:r>
          </w:p>
        </w:tc>
        <w:tc>
          <w:tcPr>
            <w:tcW w:w="1559"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left"/>
              <w:rPr>
                <w:rFonts w:eastAsia="Times" w:cs="Arial"/>
                <w:sz w:val="16"/>
                <w:szCs w:val="16"/>
                <w:lang w:eastAsia="en-US"/>
              </w:rPr>
            </w:pPr>
            <w:r w:rsidRPr="00B73C0A">
              <w:rPr>
                <w:rFonts w:eastAsia="Times" w:cs="Arial"/>
                <w:sz w:val="16"/>
                <w:szCs w:val="16"/>
                <w:lang w:eastAsia="en-US"/>
              </w:rPr>
              <w:t>Supply deficit Farlington</w:t>
            </w:r>
          </w:p>
        </w:tc>
        <w:tc>
          <w:tcPr>
            <w:tcW w:w="3544"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left"/>
              <w:rPr>
                <w:rFonts w:eastAsia="Times" w:cs="Arial"/>
                <w:sz w:val="16"/>
                <w:szCs w:val="16"/>
                <w:lang w:eastAsia="en-US"/>
              </w:rPr>
            </w:pPr>
            <w:r w:rsidRPr="00B73C0A">
              <w:rPr>
                <w:rFonts w:eastAsia="Times" w:cs="Arial"/>
                <w:sz w:val="16"/>
                <w:szCs w:val="16"/>
                <w:lang w:eastAsia="en-US"/>
              </w:rPr>
              <w:t>Works to increase transfer capacity into the Farlington Zone.</w:t>
            </w:r>
          </w:p>
        </w:tc>
        <w:tc>
          <w:tcPr>
            <w:tcW w:w="1275"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center"/>
              <w:rPr>
                <w:rFonts w:eastAsia="Times" w:cs="Arial"/>
                <w:sz w:val="16"/>
                <w:szCs w:val="16"/>
                <w:lang w:eastAsia="en-US"/>
              </w:rPr>
            </w:pPr>
            <w:r w:rsidRPr="00B73C0A">
              <w:rPr>
                <w:rFonts w:eastAsia="Times" w:cs="Arial"/>
                <w:sz w:val="16"/>
                <w:szCs w:val="16"/>
                <w:lang w:eastAsia="en-US"/>
              </w:rPr>
              <w:t>£1,304</w:t>
            </w:r>
          </w:p>
        </w:tc>
        <w:tc>
          <w:tcPr>
            <w:tcW w:w="1134"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center"/>
              <w:rPr>
                <w:rFonts w:eastAsia="Times" w:cs="Arial"/>
                <w:sz w:val="16"/>
                <w:szCs w:val="16"/>
                <w:lang w:eastAsia="en-US"/>
              </w:rPr>
            </w:pPr>
            <w:r w:rsidRPr="00B73C0A">
              <w:rPr>
                <w:rFonts w:eastAsia="Times" w:cs="Arial"/>
                <w:sz w:val="16"/>
                <w:szCs w:val="16"/>
                <w:lang w:eastAsia="en-US"/>
              </w:rPr>
              <w:t>26</w:t>
            </w:r>
          </w:p>
        </w:tc>
      </w:tr>
      <w:tr w:rsidR="00BC3719" w:rsidRPr="00B73C0A" w:rsidTr="00B73C0A">
        <w:trPr>
          <w:trHeight w:val="478"/>
        </w:trPr>
        <w:tc>
          <w:tcPr>
            <w:tcW w:w="1276" w:type="dxa"/>
            <w:tcBorders>
              <w:top w:val="single" w:sz="8" w:space="0" w:color="FFFFFF"/>
              <w:left w:val="single" w:sz="8" w:space="0" w:color="FFFFFF"/>
              <w:bottom w:val="single" w:sz="8"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73C0A">
            <w:pPr>
              <w:tabs>
                <w:tab w:val="clear" w:pos="851"/>
              </w:tabs>
              <w:spacing w:after="0" w:line="256" w:lineRule="auto"/>
              <w:ind w:left="0"/>
              <w:jc w:val="left"/>
              <w:textAlignment w:val="center"/>
              <w:rPr>
                <w:rFonts w:cs="Arial"/>
                <w:color w:val="FFFFFF"/>
                <w:sz w:val="16"/>
                <w:szCs w:val="16"/>
                <w:lang w:eastAsia="en-US"/>
              </w:rPr>
            </w:pPr>
            <w:r w:rsidRPr="00B73C0A">
              <w:rPr>
                <w:rFonts w:cs="Arial"/>
                <w:b/>
                <w:bCs/>
                <w:color w:val="FFFFFF"/>
                <w:kern w:val="24"/>
                <w:sz w:val="16"/>
                <w:szCs w:val="16"/>
                <w:lang w:eastAsia="en-US"/>
              </w:rPr>
              <w:t>Scheme 6a</w:t>
            </w:r>
          </w:p>
        </w:tc>
        <w:tc>
          <w:tcPr>
            <w:tcW w:w="1559"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line="256" w:lineRule="auto"/>
              <w:ind w:left="0"/>
              <w:jc w:val="left"/>
              <w:textAlignment w:val="center"/>
              <w:rPr>
                <w:rFonts w:cs="Arial"/>
                <w:sz w:val="16"/>
                <w:szCs w:val="16"/>
                <w:lang w:eastAsia="en-US"/>
              </w:rPr>
            </w:pPr>
            <w:r w:rsidRPr="00B73C0A">
              <w:rPr>
                <w:rFonts w:cs="Arial"/>
                <w:kern w:val="24"/>
                <w:sz w:val="16"/>
                <w:szCs w:val="16"/>
                <w:lang w:eastAsia="en-US"/>
              </w:rPr>
              <w:t>Hoads Hill to Gosport main</w:t>
            </w:r>
          </w:p>
        </w:tc>
        <w:tc>
          <w:tcPr>
            <w:tcW w:w="3544"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line="256" w:lineRule="auto"/>
              <w:ind w:left="0"/>
              <w:jc w:val="left"/>
              <w:textAlignment w:val="center"/>
              <w:rPr>
                <w:rFonts w:cs="Arial"/>
                <w:sz w:val="16"/>
                <w:szCs w:val="16"/>
                <w:lang w:eastAsia="en-US"/>
              </w:rPr>
            </w:pPr>
            <w:r w:rsidRPr="00B73C0A">
              <w:rPr>
                <w:rFonts w:cs="Arial"/>
                <w:kern w:val="24"/>
                <w:sz w:val="16"/>
                <w:szCs w:val="16"/>
                <w:lang w:eastAsia="en-US"/>
              </w:rPr>
              <w:t xml:space="preserve">Mitigate against a single point of failure at the </w:t>
            </w:r>
            <w:r w:rsidRPr="00B73C0A">
              <w:rPr>
                <w:rFonts w:cs="Arial"/>
                <w:sz w:val="16"/>
                <w:szCs w:val="16"/>
                <w:lang w:eastAsia="en-US"/>
              </w:rPr>
              <w:t>A27 Underpass</w:t>
            </w:r>
          </w:p>
        </w:tc>
        <w:tc>
          <w:tcPr>
            <w:tcW w:w="1275"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line="256" w:lineRule="auto"/>
              <w:ind w:left="0"/>
              <w:jc w:val="center"/>
              <w:textAlignment w:val="center"/>
              <w:rPr>
                <w:rFonts w:cs="Arial"/>
                <w:sz w:val="16"/>
                <w:szCs w:val="16"/>
                <w:lang w:eastAsia="en-US"/>
              </w:rPr>
            </w:pPr>
            <w:r w:rsidRPr="00B73C0A">
              <w:rPr>
                <w:rFonts w:cs="Arial"/>
                <w:kern w:val="24"/>
                <w:sz w:val="16"/>
                <w:szCs w:val="16"/>
                <w:lang w:eastAsia="en-US"/>
              </w:rPr>
              <w:t>£548</w:t>
            </w:r>
          </w:p>
        </w:tc>
        <w:tc>
          <w:tcPr>
            <w:tcW w:w="1134"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line="256" w:lineRule="auto"/>
              <w:ind w:left="0"/>
              <w:jc w:val="center"/>
              <w:textAlignment w:val="center"/>
              <w:rPr>
                <w:rFonts w:cs="Arial"/>
                <w:sz w:val="16"/>
                <w:szCs w:val="16"/>
                <w:lang w:eastAsia="en-US"/>
              </w:rPr>
            </w:pPr>
            <w:r w:rsidRPr="00B73C0A">
              <w:rPr>
                <w:rFonts w:cs="Arial"/>
                <w:kern w:val="24"/>
                <w:sz w:val="16"/>
                <w:szCs w:val="16"/>
                <w:lang w:eastAsia="en-US"/>
              </w:rPr>
              <w:t>9</w:t>
            </w:r>
          </w:p>
        </w:tc>
      </w:tr>
      <w:tr w:rsidR="00BC3719" w:rsidRPr="00B73C0A" w:rsidTr="00B73C0A">
        <w:trPr>
          <w:trHeight w:val="458"/>
        </w:trPr>
        <w:tc>
          <w:tcPr>
            <w:tcW w:w="1276" w:type="dxa"/>
            <w:tcBorders>
              <w:top w:val="single" w:sz="8" w:space="0" w:color="FFFFFF"/>
              <w:left w:val="single" w:sz="8" w:space="0" w:color="FFFFFF"/>
              <w:bottom w:val="single" w:sz="8"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73C0A">
            <w:pPr>
              <w:tabs>
                <w:tab w:val="clear" w:pos="851"/>
              </w:tabs>
              <w:spacing w:after="0"/>
              <w:ind w:left="0"/>
              <w:jc w:val="left"/>
              <w:rPr>
                <w:rFonts w:eastAsia="Times" w:cs="Arial"/>
                <w:color w:val="FFFFFF"/>
                <w:sz w:val="16"/>
                <w:szCs w:val="16"/>
                <w:lang w:eastAsia="en-US"/>
              </w:rPr>
            </w:pPr>
            <w:r w:rsidRPr="00B73C0A">
              <w:rPr>
                <w:rFonts w:eastAsia="Times" w:cs="Arial"/>
                <w:b/>
                <w:bCs/>
                <w:color w:val="FFFFFF"/>
                <w:sz w:val="16"/>
                <w:szCs w:val="16"/>
                <w:lang w:eastAsia="en-US"/>
              </w:rPr>
              <w:t>Scheme 7</w:t>
            </w:r>
          </w:p>
        </w:tc>
        <w:tc>
          <w:tcPr>
            <w:tcW w:w="1559"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left"/>
              <w:rPr>
                <w:rFonts w:eastAsia="Times" w:cs="Arial"/>
                <w:sz w:val="16"/>
                <w:szCs w:val="16"/>
                <w:lang w:eastAsia="en-US"/>
              </w:rPr>
            </w:pPr>
            <w:r w:rsidRPr="00B73C0A">
              <w:rPr>
                <w:rFonts w:eastAsia="Times" w:cs="Arial"/>
                <w:sz w:val="16"/>
                <w:szCs w:val="16"/>
                <w:lang w:eastAsia="en-US"/>
              </w:rPr>
              <w:t>Nelson to Lovedean main</w:t>
            </w:r>
          </w:p>
        </w:tc>
        <w:tc>
          <w:tcPr>
            <w:tcW w:w="3544"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left"/>
              <w:rPr>
                <w:rFonts w:eastAsia="Times" w:cs="Arial"/>
                <w:sz w:val="16"/>
                <w:szCs w:val="16"/>
                <w:lang w:eastAsia="en-US"/>
              </w:rPr>
            </w:pPr>
            <w:r w:rsidRPr="00B73C0A">
              <w:rPr>
                <w:rFonts w:eastAsia="Times" w:cs="Arial"/>
                <w:sz w:val="16"/>
                <w:szCs w:val="16"/>
                <w:lang w:eastAsia="en-US"/>
              </w:rPr>
              <w:t>Upgrade Leigh park booster to mitigate loss of Nelson to Lovedean main</w:t>
            </w:r>
          </w:p>
        </w:tc>
        <w:tc>
          <w:tcPr>
            <w:tcW w:w="1275"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center"/>
              <w:rPr>
                <w:rFonts w:eastAsia="Times" w:cs="Arial"/>
                <w:sz w:val="16"/>
                <w:szCs w:val="16"/>
                <w:lang w:eastAsia="en-US"/>
              </w:rPr>
            </w:pPr>
            <w:r w:rsidRPr="00B73C0A">
              <w:rPr>
                <w:rFonts w:eastAsia="Times" w:cs="Arial"/>
                <w:sz w:val="16"/>
                <w:szCs w:val="16"/>
                <w:lang w:eastAsia="en-US"/>
              </w:rPr>
              <w:t>£252</w:t>
            </w:r>
          </w:p>
        </w:tc>
        <w:tc>
          <w:tcPr>
            <w:tcW w:w="1134" w:type="dxa"/>
            <w:tcBorders>
              <w:top w:val="single" w:sz="8" w:space="0" w:color="FFFFFF"/>
              <w:left w:val="single" w:sz="8" w:space="0" w:color="FFFFFF"/>
              <w:bottom w:val="single" w:sz="8" w:space="0" w:color="FFFFFF"/>
              <w:right w:val="single" w:sz="8" w:space="0" w:color="FFFFFF"/>
            </w:tcBorders>
            <w:shd w:val="clear" w:color="auto" w:fill="CDD3EC"/>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center"/>
              <w:rPr>
                <w:rFonts w:eastAsia="Times" w:cs="Arial"/>
                <w:sz w:val="16"/>
                <w:szCs w:val="16"/>
                <w:lang w:eastAsia="en-US"/>
              </w:rPr>
            </w:pPr>
            <w:r w:rsidRPr="00B73C0A">
              <w:rPr>
                <w:rFonts w:eastAsia="Times" w:cs="Arial"/>
                <w:sz w:val="16"/>
                <w:szCs w:val="16"/>
                <w:lang w:eastAsia="en-US"/>
              </w:rPr>
              <w:t>13</w:t>
            </w:r>
          </w:p>
        </w:tc>
      </w:tr>
      <w:tr w:rsidR="00BC3719" w:rsidRPr="00B73C0A" w:rsidTr="00B73C0A">
        <w:trPr>
          <w:trHeight w:val="405"/>
        </w:trPr>
        <w:tc>
          <w:tcPr>
            <w:tcW w:w="1276" w:type="dxa"/>
            <w:tcBorders>
              <w:top w:val="single" w:sz="8" w:space="0" w:color="FFFFFF"/>
              <w:left w:val="single" w:sz="8" w:space="0" w:color="FFFFFF"/>
              <w:bottom w:val="single" w:sz="8" w:space="0" w:color="FFFFFF"/>
              <w:right w:val="single" w:sz="8" w:space="0" w:color="FFFFFF"/>
            </w:tcBorders>
            <w:shd w:val="clear" w:color="auto" w:fill="2E74B5" w:themeFill="accent1" w:themeFillShade="BF"/>
            <w:tcMar>
              <w:top w:w="13" w:type="dxa"/>
              <w:left w:w="13" w:type="dxa"/>
              <w:bottom w:w="0" w:type="dxa"/>
              <w:right w:w="13" w:type="dxa"/>
            </w:tcMar>
            <w:vAlign w:val="center"/>
            <w:hideMark/>
          </w:tcPr>
          <w:p w:rsidR="00BC3719" w:rsidRPr="00B73C0A" w:rsidRDefault="00BC3719" w:rsidP="00BC3719">
            <w:pPr>
              <w:tabs>
                <w:tab w:val="clear" w:pos="851"/>
              </w:tabs>
              <w:spacing w:after="160" w:line="256" w:lineRule="auto"/>
              <w:ind w:left="0"/>
              <w:jc w:val="left"/>
              <w:rPr>
                <w:rFonts w:eastAsia="Times" w:cs="Arial"/>
                <w:sz w:val="16"/>
                <w:szCs w:val="16"/>
                <w:lang w:eastAsia="en-US"/>
              </w:rPr>
            </w:pPr>
          </w:p>
        </w:tc>
        <w:tc>
          <w:tcPr>
            <w:tcW w:w="1559" w:type="dxa"/>
            <w:tcBorders>
              <w:top w:val="single" w:sz="8" w:space="0" w:color="FFFFFF"/>
              <w:left w:val="single" w:sz="8" w:space="0" w:color="FFFFFF"/>
              <w:bottom w:val="single" w:sz="8" w:space="0" w:color="FFFFFF"/>
              <w:right w:val="single" w:sz="8" w:space="0" w:color="FFFFFF"/>
            </w:tcBorders>
            <w:shd w:val="clear" w:color="auto" w:fill="E8EAF6"/>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left"/>
              <w:rPr>
                <w:rFonts w:eastAsia="Times" w:cs="Arial"/>
                <w:sz w:val="16"/>
                <w:szCs w:val="16"/>
                <w:lang w:eastAsia="en-US"/>
              </w:rPr>
            </w:pPr>
            <w:r w:rsidRPr="00B73C0A">
              <w:rPr>
                <w:rFonts w:eastAsia="Times" w:cs="Arial"/>
                <w:sz w:val="16"/>
                <w:szCs w:val="16"/>
                <w:lang w:eastAsia="en-US"/>
              </w:rPr>
              <w:t> </w:t>
            </w:r>
          </w:p>
        </w:tc>
        <w:tc>
          <w:tcPr>
            <w:tcW w:w="3544" w:type="dxa"/>
            <w:tcBorders>
              <w:top w:val="single" w:sz="8" w:space="0" w:color="FFFFFF"/>
              <w:left w:val="single" w:sz="8" w:space="0" w:color="FFFFFF"/>
              <w:bottom w:val="single" w:sz="8" w:space="0" w:color="FFFFFF"/>
              <w:right w:val="single" w:sz="8" w:space="0" w:color="FFFFFF"/>
            </w:tcBorders>
            <w:shd w:val="clear" w:color="auto" w:fill="E8EAF6"/>
            <w:tcMar>
              <w:top w:w="13" w:type="dxa"/>
              <w:left w:w="13" w:type="dxa"/>
              <w:bottom w:w="0" w:type="dxa"/>
              <w:right w:w="13" w:type="dxa"/>
            </w:tcMar>
            <w:vAlign w:val="center"/>
            <w:hideMark/>
          </w:tcPr>
          <w:p w:rsidR="00BC3719" w:rsidRPr="00B73C0A" w:rsidRDefault="00BC3719" w:rsidP="00BC3719">
            <w:pPr>
              <w:tabs>
                <w:tab w:val="clear" w:pos="851"/>
              </w:tabs>
              <w:spacing w:after="0"/>
              <w:ind w:left="0"/>
              <w:jc w:val="left"/>
              <w:rPr>
                <w:rFonts w:eastAsia="Times" w:cs="Arial"/>
                <w:sz w:val="16"/>
                <w:szCs w:val="16"/>
                <w:lang w:eastAsia="en-US"/>
              </w:rPr>
            </w:pPr>
            <w:r w:rsidRPr="00B73C0A">
              <w:rPr>
                <w:rFonts w:eastAsia="Times" w:cs="Arial"/>
                <w:sz w:val="16"/>
                <w:szCs w:val="16"/>
                <w:lang w:eastAsia="en-US"/>
              </w:rPr>
              <w:t>Total</w:t>
            </w:r>
          </w:p>
        </w:tc>
        <w:tc>
          <w:tcPr>
            <w:tcW w:w="1275" w:type="dxa"/>
            <w:tcBorders>
              <w:top w:val="single" w:sz="8" w:space="0" w:color="FFFFFF"/>
              <w:left w:val="single" w:sz="8" w:space="0" w:color="FFFFFF"/>
              <w:bottom w:val="single" w:sz="8" w:space="0" w:color="FFFFFF"/>
              <w:right w:val="single" w:sz="8" w:space="0" w:color="FFFFFF"/>
            </w:tcBorders>
            <w:shd w:val="clear" w:color="auto" w:fill="E8EAF6"/>
            <w:tcMar>
              <w:top w:w="13" w:type="dxa"/>
              <w:left w:w="13" w:type="dxa"/>
              <w:bottom w:w="0" w:type="dxa"/>
              <w:right w:w="13" w:type="dxa"/>
            </w:tcMar>
            <w:vAlign w:val="center"/>
            <w:hideMark/>
          </w:tcPr>
          <w:p w:rsidR="00BC3719" w:rsidRPr="00B73C0A" w:rsidRDefault="00BC3719" w:rsidP="00BC3719">
            <w:pPr>
              <w:tabs>
                <w:tab w:val="clear" w:pos="851"/>
              </w:tabs>
              <w:spacing w:after="0" w:line="256" w:lineRule="auto"/>
              <w:ind w:left="0"/>
              <w:jc w:val="center"/>
              <w:textAlignment w:val="center"/>
              <w:rPr>
                <w:rFonts w:cs="Arial"/>
                <w:sz w:val="16"/>
                <w:szCs w:val="16"/>
                <w:lang w:eastAsia="en-US"/>
              </w:rPr>
            </w:pPr>
            <w:r w:rsidRPr="00B73C0A">
              <w:rPr>
                <w:rFonts w:cs="Arial"/>
                <w:kern w:val="24"/>
                <w:sz w:val="16"/>
                <w:szCs w:val="16"/>
                <w:lang w:eastAsia="en-US"/>
              </w:rPr>
              <w:t>£2,473</w:t>
            </w:r>
          </w:p>
        </w:tc>
        <w:tc>
          <w:tcPr>
            <w:tcW w:w="1134" w:type="dxa"/>
            <w:tcBorders>
              <w:top w:val="single" w:sz="8" w:space="0" w:color="FFFFFF"/>
              <w:left w:val="single" w:sz="8" w:space="0" w:color="FFFFFF"/>
              <w:bottom w:val="single" w:sz="8" w:space="0" w:color="FFFFFF"/>
              <w:right w:val="single" w:sz="8" w:space="0" w:color="FFFFFF"/>
            </w:tcBorders>
            <w:shd w:val="clear" w:color="auto" w:fill="E8EAF6"/>
            <w:tcMar>
              <w:top w:w="13" w:type="dxa"/>
              <w:left w:w="13" w:type="dxa"/>
              <w:bottom w:w="0" w:type="dxa"/>
              <w:right w:w="13" w:type="dxa"/>
            </w:tcMar>
            <w:vAlign w:val="center"/>
            <w:hideMark/>
          </w:tcPr>
          <w:p w:rsidR="00BC3719" w:rsidRPr="00B73C0A" w:rsidRDefault="00BC3719" w:rsidP="00BC3719">
            <w:pPr>
              <w:tabs>
                <w:tab w:val="clear" w:pos="851"/>
              </w:tabs>
              <w:spacing w:after="0" w:line="256" w:lineRule="auto"/>
              <w:ind w:left="0"/>
              <w:jc w:val="center"/>
              <w:textAlignment w:val="center"/>
              <w:rPr>
                <w:rFonts w:cs="Arial"/>
                <w:sz w:val="16"/>
                <w:szCs w:val="16"/>
                <w:lang w:eastAsia="en-US"/>
              </w:rPr>
            </w:pPr>
            <w:r w:rsidRPr="00B73C0A">
              <w:rPr>
                <w:rFonts w:cs="Arial"/>
                <w:kern w:val="24"/>
                <w:sz w:val="16"/>
                <w:szCs w:val="16"/>
                <w:lang w:eastAsia="en-US"/>
              </w:rPr>
              <w:t>172</w:t>
            </w:r>
          </w:p>
        </w:tc>
      </w:tr>
    </w:tbl>
    <w:p w:rsidR="00000BCB" w:rsidRPr="00B73C0A" w:rsidRDefault="00000BCB" w:rsidP="00001BA8">
      <w:pPr>
        <w:spacing w:after="0"/>
        <w:rPr>
          <w:rFonts w:cs="Arial"/>
          <w:bCs/>
          <w:sz w:val="16"/>
          <w:szCs w:val="16"/>
        </w:rPr>
      </w:pPr>
    </w:p>
    <w:p w:rsidR="005F2894" w:rsidRPr="005F2894" w:rsidRDefault="00C6348C" w:rsidP="0029294B">
      <w:pPr>
        <w:rPr>
          <w:rFonts w:cs="Arial"/>
          <w:bCs/>
        </w:rPr>
      </w:pPr>
      <w:r>
        <w:rPr>
          <w:rFonts w:cs="Arial"/>
          <w:bCs/>
        </w:rPr>
        <w:t xml:space="preserve">These schemes significantly reduce the risk to customers from the loss of </w:t>
      </w:r>
      <w:r w:rsidR="006D50A2">
        <w:rPr>
          <w:rFonts w:cs="Arial"/>
          <w:bCs/>
        </w:rPr>
        <w:t xml:space="preserve">one or more </w:t>
      </w:r>
      <w:r>
        <w:rPr>
          <w:rFonts w:cs="Arial"/>
          <w:bCs/>
        </w:rPr>
        <w:t xml:space="preserve">treatment works at peak demand. </w:t>
      </w:r>
    </w:p>
    <w:p w:rsidR="0029294B" w:rsidRPr="0085097E" w:rsidRDefault="0029294B" w:rsidP="0029294B">
      <w:pPr>
        <w:rPr>
          <w:rFonts w:cs="Arial"/>
          <w:b/>
          <w:bCs/>
        </w:rPr>
      </w:pPr>
      <w:r w:rsidRPr="0085097E">
        <w:rPr>
          <w:rFonts w:cs="Arial"/>
          <w:b/>
          <w:bCs/>
        </w:rPr>
        <w:t>Reliable supply of drinking water</w:t>
      </w:r>
    </w:p>
    <w:p w:rsidR="00BC3719" w:rsidRPr="00BC3719" w:rsidRDefault="00BC3719" w:rsidP="00BC3719">
      <w:pPr>
        <w:rPr>
          <w:rFonts w:cs="Arial"/>
        </w:rPr>
      </w:pPr>
      <w:r w:rsidRPr="00BC3719">
        <w:rPr>
          <w:rFonts w:cs="Arial"/>
        </w:rPr>
        <w:t>Our approach to long</w:t>
      </w:r>
      <w:r w:rsidR="004B363A">
        <w:rPr>
          <w:rFonts w:cs="Arial"/>
        </w:rPr>
        <w:t>-</w:t>
      </w:r>
      <w:r w:rsidRPr="00BC3719">
        <w:rPr>
          <w:rFonts w:cs="Arial"/>
        </w:rPr>
        <w:t>term planning is designed to minimising pain points for customers and meeting our stretching Performance Commitment targets</w:t>
      </w:r>
      <w:r w:rsidR="00977912">
        <w:rPr>
          <w:rFonts w:cs="Arial"/>
        </w:rPr>
        <w:t xml:space="preserve"> and</w:t>
      </w:r>
      <w:r w:rsidRPr="00BC3719">
        <w:rPr>
          <w:rFonts w:cs="Arial"/>
        </w:rPr>
        <w:t xml:space="preserve"> will ensure that customers are even less likely to suffer from any reliability issues.</w:t>
      </w:r>
    </w:p>
    <w:p w:rsidR="00BC3719" w:rsidRPr="00BC3719" w:rsidRDefault="00BC3719" w:rsidP="00BC3719">
      <w:pPr>
        <w:rPr>
          <w:rFonts w:cs="Arial"/>
        </w:rPr>
      </w:pPr>
      <w:r w:rsidRPr="00BC3719">
        <w:rPr>
          <w:rFonts w:cs="Arial"/>
        </w:rPr>
        <w:t>We have the following Performance Commitments relating to reliable supplies:-</w:t>
      </w:r>
    </w:p>
    <w:p w:rsidR="005A7FEF" w:rsidRDefault="00BC3719" w:rsidP="00946D16">
      <w:pPr>
        <w:numPr>
          <w:ilvl w:val="0"/>
          <w:numId w:val="13"/>
        </w:numPr>
        <w:rPr>
          <w:rFonts w:cs="Arial"/>
        </w:rPr>
      </w:pPr>
      <w:r w:rsidRPr="00BC3719">
        <w:rPr>
          <w:rFonts w:cs="Arial"/>
          <w:b/>
        </w:rPr>
        <w:t>Asset Heath: Mains Bursts</w:t>
      </w:r>
      <w:r w:rsidR="00B63614">
        <w:rPr>
          <w:rFonts w:cs="Arial"/>
          <w:b/>
        </w:rPr>
        <w:t>/Repairs</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5A7FEF" w:rsidRPr="008809A2" w:rsidTr="00977912">
        <w:tc>
          <w:tcPr>
            <w:tcW w:w="2405" w:type="dxa"/>
            <w:shd w:val="clear" w:color="auto" w:fill="2E74B5" w:themeFill="accent1" w:themeFillShade="BF"/>
          </w:tcPr>
          <w:p w:rsidR="005A7FEF" w:rsidRPr="008809A2" w:rsidRDefault="005A7FEF" w:rsidP="00A44009">
            <w:pPr>
              <w:spacing w:after="0"/>
              <w:ind w:left="0"/>
              <w:rPr>
                <w:sz w:val="16"/>
                <w:szCs w:val="16"/>
              </w:rPr>
            </w:pPr>
            <w:r w:rsidRPr="008809A2">
              <w:rPr>
                <w:b/>
                <w:bCs/>
                <w:color w:val="FFFFFF" w:themeColor="background1"/>
                <w:sz w:val="16"/>
                <w:szCs w:val="16"/>
              </w:rPr>
              <w:t>Performance Commitment</w:t>
            </w:r>
          </w:p>
        </w:tc>
        <w:tc>
          <w:tcPr>
            <w:tcW w:w="708" w:type="dxa"/>
            <w:shd w:val="clear" w:color="auto" w:fill="2E74B5" w:themeFill="accent1" w:themeFillShade="BF"/>
          </w:tcPr>
          <w:p w:rsidR="005A7FEF" w:rsidRPr="008809A2" w:rsidRDefault="005A7FEF" w:rsidP="00A44009">
            <w:pPr>
              <w:spacing w:before="20" w:after="20"/>
              <w:ind w:left="0"/>
              <w:jc w:val="center"/>
              <w:rPr>
                <w:b/>
                <w:bCs/>
                <w:color w:val="FFFFFF" w:themeColor="background1"/>
                <w:sz w:val="16"/>
                <w:szCs w:val="16"/>
              </w:rPr>
            </w:pPr>
            <w:r w:rsidRPr="008809A2">
              <w:rPr>
                <w:b/>
                <w:bCs/>
                <w:color w:val="FFFFFF" w:themeColor="background1"/>
                <w:sz w:val="16"/>
                <w:szCs w:val="16"/>
              </w:rPr>
              <w:t>Type</w:t>
            </w:r>
          </w:p>
        </w:tc>
        <w:tc>
          <w:tcPr>
            <w:tcW w:w="1512"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AMP6 Performance</w:t>
            </w:r>
          </w:p>
        </w:tc>
        <w:tc>
          <w:tcPr>
            <w:tcW w:w="1654"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2024/25 Target</w:t>
            </w:r>
          </w:p>
        </w:tc>
        <w:tc>
          <w:tcPr>
            <w:tcW w:w="1654"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2034/35 Target</w:t>
            </w:r>
          </w:p>
        </w:tc>
        <w:tc>
          <w:tcPr>
            <w:tcW w:w="850" w:type="dxa"/>
            <w:shd w:val="clear" w:color="auto" w:fill="2E74B5" w:themeFill="accent1" w:themeFillShade="BF"/>
          </w:tcPr>
          <w:p w:rsidR="005A7FEF" w:rsidRPr="008809A2" w:rsidRDefault="005A7FEF" w:rsidP="00A44009">
            <w:pPr>
              <w:spacing w:after="0"/>
              <w:ind w:left="0"/>
              <w:jc w:val="center"/>
              <w:rPr>
                <w:b/>
                <w:color w:val="FFFFFF" w:themeColor="background1"/>
                <w:sz w:val="16"/>
                <w:szCs w:val="16"/>
              </w:rPr>
            </w:pPr>
            <w:r w:rsidRPr="008809A2">
              <w:rPr>
                <w:b/>
                <w:color w:val="FFFFFF" w:themeColor="background1"/>
                <w:sz w:val="16"/>
                <w:szCs w:val="16"/>
              </w:rPr>
              <w:t>Reward/Penalty</w:t>
            </w:r>
          </w:p>
        </w:tc>
      </w:tr>
      <w:tr w:rsidR="005A7FEF" w:rsidRPr="008809A2" w:rsidTr="00977912">
        <w:tc>
          <w:tcPr>
            <w:tcW w:w="2405" w:type="dxa"/>
          </w:tcPr>
          <w:p w:rsidR="005A7FEF" w:rsidRPr="008809A2" w:rsidRDefault="0042456D" w:rsidP="00A44009">
            <w:pPr>
              <w:spacing w:before="20" w:after="20"/>
              <w:ind w:left="0"/>
              <w:rPr>
                <w:sz w:val="16"/>
                <w:szCs w:val="16"/>
              </w:rPr>
            </w:pPr>
            <w:r>
              <w:rPr>
                <w:sz w:val="16"/>
                <w:szCs w:val="16"/>
              </w:rPr>
              <w:t xml:space="preserve">Mains </w:t>
            </w:r>
            <w:r w:rsidR="00A60187">
              <w:rPr>
                <w:sz w:val="16"/>
                <w:szCs w:val="16"/>
              </w:rPr>
              <w:t>Repairs</w:t>
            </w:r>
            <w:r>
              <w:rPr>
                <w:sz w:val="16"/>
                <w:szCs w:val="16"/>
              </w:rPr>
              <w:t xml:space="preserve"> (bursts)</w:t>
            </w:r>
          </w:p>
        </w:tc>
        <w:tc>
          <w:tcPr>
            <w:tcW w:w="708" w:type="dxa"/>
          </w:tcPr>
          <w:p w:rsidR="005A7FEF" w:rsidRPr="008809A2" w:rsidRDefault="005A7FEF" w:rsidP="00A44009">
            <w:pPr>
              <w:spacing w:before="20" w:after="20"/>
              <w:ind w:left="0"/>
              <w:jc w:val="center"/>
              <w:rPr>
                <w:sz w:val="16"/>
                <w:szCs w:val="16"/>
              </w:rPr>
            </w:pPr>
            <w:r w:rsidRPr="008809A2">
              <w:rPr>
                <w:sz w:val="16"/>
                <w:szCs w:val="16"/>
              </w:rPr>
              <w:t>C</w:t>
            </w:r>
          </w:p>
        </w:tc>
        <w:tc>
          <w:tcPr>
            <w:tcW w:w="1512" w:type="dxa"/>
          </w:tcPr>
          <w:p w:rsidR="005A7FEF" w:rsidRPr="008809A2" w:rsidRDefault="005A7FEF" w:rsidP="00A44009">
            <w:pPr>
              <w:spacing w:after="0"/>
              <w:ind w:left="0"/>
              <w:rPr>
                <w:sz w:val="16"/>
                <w:szCs w:val="16"/>
              </w:rPr>
            </w:pPr>
            <w:r w:rsidRPr="008809A2">
              <w:rPr>
                <w:sz w:val="16"/>
                <w:szCs w:val="16"/>
              </w:rPr>
              <w:t>70 (2017/18)</w:t>
            </w:r>
          </w:p>
        </w:tc>
        <w:tc>
          <w:tcPr>
            <w:tcW w:w="1654" w:type="dxa"/>
          </w:tcPr>
          <w:p w:rsidR="005A7FEF" w:rsidRPr="008809A2" w:rsidRDefault="005A7FEF" w:rsidP="00A44009">
            <w:pPr>
              <w:spacing w:before="20" w:after="20"/>
              <w:ind w:left="0"/>
              <w:rPr>
                <w:sz w:val="16"/>
                <w:szCs w:val="16"/>
              </w:rPr>
            </w:pPr>
            <w:r w:rsidRPr="008809A2">
              <w:rPr>
                <w:sz w:val="16"/>
                <w:szCs w:val="16"/>
              </w:rPr>
              <w:t>67</w:t>
            </w:r>
          </w:p>
        </w:tc>
        <w:tc>
          <w:tcPr>
            <w:tcW w:w="1654" w:type="dxa"/>
          </w:tcPr>
          <w:p w:rsidR="005A7FEF" w:rsidRPr="008809A2" w:rsidRDefault="005A7FEF" w:rsidP="00A44009">
            <w:pPr>
              <w:spacing w:after="0"/>
              <w:ind w:left="0"/>
              <w:rPr>
                <w:sz w:val="16"/>
                <w:szCs w:val="16"/>
              </w:rPr>
            </w:pPr>
            <w:r w:rsidRPr="008809A2">
              <w:rPr>
                <w:sz w:val="16"/>
                <w:szCs w:val="16"/>
              </w:rPr>
              <w:t>6</w:t>
            </w:r>
            <w:r w:rsidR="00C51A49">
              <w:rPr>
                <w:sz w:val="16"/>
                <w:szCs w:val="16"/>
              </w:rPr>
              <w:t>4</w:t>
            </w:r>
          </w:p>
        </w:tc>
        <w:tc>
          <w:tcPr>
            <w:tcW w:w="850" w:type="dxa"/>
          </w:tcPr>
          <w:p w:rsidR="005A7FEF" w:rsidRPr="008809A2" w:rsidRDefault="00C6348C" w:rsidP="00A44009">
            <w:pPr>
              <w:spacing w:after="0"/>
              <w:ind w:left="0"/>
              <w:jc w:val="center"/>
              <w:rPr>
                <w:sz w:val="16"/>
                <w:szCs w:val="16"/>
              </w:rPr>
            </w:pPr>
            <w:r w:rsidRPr="008809A2">
              <w:rPr>
                <w:sz w:val="16"/>
                <w:szCs w:val="16"/>
              </w:rPr>
              <w:t>E</w:t>
            </w:r>
            <w:r w:rsidR="005A7FEF" w:rsidRPr="008809A2">
              <w:rPr>
                <w:sz w:val="16"/>
                <w:szCs w:val="16"/>
              </w:rPr>
              <w:t>R/</w:t>
            </w:r>
            <w:r w:rsidRPr="008809A2">
              <w:rPr>
                <w:sz w:val="16"/>
                <w:szCs w:val="16"/>
              </w:rPr>
              <w:t>E</w:t>
            </w:r>
            <w:r w:rsidR="005A7FEF" w:rsidRPr="008809A2">
              <w:rPr>
                <w:sz w:val="16"/>
                <w:szCs w:val="16"/>
              </w:rPr>
              <w:t>P *</w:t>
            </w:r>
          </w:p>
        </w:tc>
      </w:tr>
    </w:tbl>
    <w:p w:rsidR="00A60187" w:rsidRDefault="00A60187" w:rsidP="00A60187">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BC3719" w:rsidRPr="00BC3719" w:rsidRDefault="005A7FEF" w:rsidP="005A7FEF">
      <w:pPr>
        <w:rPr>
          <w:rFonts w:cs="Arial"/>
        </w:rPr>
      </w:pPr>
      <w:r>
        <w:rPr>
          <w:rFonts w:cs="Arial"/>
        </w:rPr>
        <w:t>T</w:t>
      </w:r>
      <w:r w:rsidR="00BC3719" w:rsidRPr="00BC3719">
        <w:rPr>
          <w:rFonts w:cs="Arial"/>
        </w:rPr>
        <w:t xml:space="preserve">his is a common Performance Commitment.  We have targeted total bursts to continue at their current rate, which has historically made us a top quartile performer.  Given that the network will grow during the AMP, we will see a small improvement in bursts per kilometre.  This ODI will be </w:t>
      </w:r>
      <w:r w:rsidR="00DE66B9">
        <w:rPr>
          <w:rFonts w:cs="Arial"/>
        </w:rPr>
        <w:t xml:space="preserve">enhanced </w:t>
      </w:r>
      <w:r w:rsidR="00BC3719" w:rsidRPr="00BC3719">
        <w:rPr>
          <w:rFonts w:cs="Arial"/>
        </w:rPr>
        <w:t>reward and penalty.</w:t>
      </w:r>
    </w:p>
    <w:p w:rsidR="00BC3719" w:rsidRDefault="00BC3719" w:rsidP="005A7FEF">
      <w:pPr>
        <w:rPr>
          <w:rFonts w:cs="Arial"/>
        </w:rPr>
      </w:pPr>
      <w:r w:rsidRPr="00BC3719">
        <w:rPr>
          <w:rFonts w:cs="Arial"/>
        </w:rPr>
        <w:t xml:space="preserve">Burst rates are principally </w:t>
      </w:r>
      <w:r w:rsidR="00DE66B9">
        <w:rPr>
          <w:rFonts w:cs="Arial"/>
        </w:rPr>
        <w:t xml:space="preserve">negated </w:t>
      </w:r>
      <w:r w:rsidRPr="00BC3719">
        <w:rPr>
          <w:rFonts w:cs="Arial"/>
        </w:rPr>
        <w:t xml:space="preserve">by the rate of mains renewals.  Over the past 25 years, </w:t>
      </w:r>
      <w:r w:rsidR="004B363A">
        <w:rPr>
          <w:rFonts w:cs="Arial"/>
        </w:rPr>
        <w:t xml:space="preserve">we have </w:t>
      </w:r>
      <w:r w:rsidRPr="00BC3719">
        <w:rPr>
          <w:rFonts w:cs="Arial"/>
        </w:rPr>
        <w:t>typically renew</w:t>
      </w:r>
      <w:r w:rsidR="004B363A">
        <w:rPr>
          <w:rFonts w:cs="Arial"/>
        </w:rPr>
        <w:t>ed</w:t>
      </w:r>
      <w:r w:rsidRPr="00BC3719">
        <w:rPr>
          <w:rFonts w:cs="Arial"/>
        </w:rPr>
        <w:t xml:space="preserve"> approximately 1% of </w:t>
      </w:r>
      <w:r w:rsidR="004B363A">
        <w:rPr>
          <w:rFonts w:cs="Arial"/>
        </w:rPr>
        <w:t xml:space="preserve">our </w:t>
      </w:r>
      <w:r w:rsidRPr="00BC3719">
        <w:rPr>
          <w:rFonts w:cs="Arial"/>
        </w:rPr>
        <w:t>mains on an annual basis. This has effectively driven down bursts over this period and has resulted in a position where the assets are now considered to be in a stable condition, hence the driver now is maintaining current performance in terms of burst</w:t>
      </w:r>
      <w:r w:rsidR="00B63614">
        <w:rPr>
          <w:rFonts w:cs="Arial"/>
        </w:rPr>
        <w:t>s</w:t>
      </w:r>
      <w:r w:rsidRPr="00BC3719">
        <w:rPr>
          <w:rFonts w:cs="Arial"/>
        </w:rPr>
        <w:t>.</w:t>
      </w:r>
    </w:p>
    <w:p w:rsidR="009375AE" w:rsidRDefault="00656B11" w:rsidP="005A7FEF">
      <w:pPr>
        <w:rPr>
          <w:rFonts w:cs="Arial"/>
        </w:rPr>
      </w:pPr>
      <w:r>
        <w:rPr>
          <w:noProof/>
        </w:rPr>
        <w:drawing>
          <wp:inline distT="0" distB="0" distL="0" distR="0" wp14:anchorId="3B9712DE" wp14:editId="11756985">
            <wp:extent cx="5186477" cy="320405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5213553" cy="3220784"/>
                    </a:xfrm>
                    <a:prstGeom prst="rect">
                      <a:avLst/>
                    </a:prstGeom>
                  </pic:spPr>
                </pic:pic>
              </a:graphicData>
            </a:graphic>
          </wp:inline>
        </w:drawing>
      </w:r>
    </w:p>
    <w:p w:rsidR="00BC3719" w:rsidRPr="00D70395" w:rsidRDefault="00656B11" w:rsidP="00D70395">
      <w:r>
        <w:rPr>
          <w:noProof/>
        </w:rPr>
        <w:drawing>
          <wp:inline distT="0" distB="0" distL="0" distR="0" wp14:anchorId="6CA1E58A" wp14:editId="20387082">
            <wp:extent cx="5435194" cy="313090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57327" cy="3143654"/>
                    </a:xfrm>
                    <a:prstGeom prst="rect">
                      <a:avLst/>
                    </a:prstGeom>
                    <a:noFill/>
                  </pic:spPr>
                </pic:pic>
              </a:graphicData>
            </a:graphic>
          </wp:inline>
        </w:drawing>
      </w:r>
      <w:r w:rsidR="00BC3719" w:rsidRPr="00D70395">
        <w:t>We have invested heavily over the years in maintaining accurate, detailed records o</w:t>
      </w:r>
      <w:r w:rsidR="004B363A" w:rsidRPr="00D70395">
        <w:t>f</w:t>
      </w:r>
      <w:r w:rsidR="00BC3719" w:rsidRPr="00D70395">
        <w:t xml:space="preserve"> </w:t>
      </w:r>
      <w:r w:rsidR="00B63614" w:rsidRPr="00D70395">
        <w:t xml:space="preserve">our </w:t>
      </w:r>
      <w:r w:rsidR="00BC3719" w:rsidRPr="00D70395">
        <w:t xml:space="preserve">below ground assets, being </w:t>
      </w:r>
      <w:r w:rsidR="00977912" w:rsidRPr="00D70395">
        <w:t xml:space="preserve">cited as </w:t>
      </w:r>
      <w:r w:rsidR="00BC3719" w:rsidRPr="00D70395">
        <w:t>an industry lead</w:t>
      </w:r>
      <w:r w:rsidR="00977912" w:rsidRPr="00D70395">
        <w:t xml:space="preserve">er in </w:t>
      </w:r>
      <w:r w:rsidR="00BC3719" w:rsidRPr="00D70395">
        <w:t xml:space="preserve">this area. This allows for robust and very accurate </w:t>
      </w:r>
      <w:r w:rsidR="00C6348C" w:rsidRPr="00D70395">
        <w:t xml:space="preserve">deterioration </w:t>
      </w:r>
      <w:r w:rsidR="00BC3719" w:rsidRPr="00D70395">
        <w:t>modelling to be carried out on these assets</w:t>
      </w:r>
      <w:r w:rsidR="003D0BD7" w:rsidRPr="00D70395">
        <w:t>,</w:t>
      </w:r>
      <w:r w:rsidR="00BC3719" w:rsidRPr="00D70395">
        <w:t xml:space="preserve"> to </w:t>
      </w:r>
      <w:r w:rsidR="003D0BD7" w:rsidRPr="00D70395">
        <w:t>identify reliably</w:t>
      </w:r>
      <w:r w:rsidR="00BC3719" w:rsidRPr="00D70395">
        <w:t xml:space="preserve"> future investment needs. </w:t>
      </w:r>
      <w:r w:rsidR="00C6348C" w:rsidRPr="00D70395">
        <w:t xml:space="preserve">We have introduced a highly effective risk </w:t>
      </w:r>
      <w:r w:rsidR="006D50A2" w:rsidRPr="00D70395">
        <w:t xml:space="preserve">based </w:t>
      </w:r>
      <w:r w:rsidR="00C6348C" w:rsidRPr="00D70395">
        <w:t xml:space="preserve">methodology </w:t>
      </w:r>
      <w:r w:rsidR="004B363A" w:rsidRPr="00D70395">
        <w:t xml:space="preserve">to </w:t>
      </w:r>
      <w:r w:rsidR="00C6348C" w:rsidRPr="00D70395">
        <w:t>identify specific mains for replacement resulting in effective burst reductions per km of renewed mains, improving network resilience and reducing leakage.  The recent increase in burst numbers reflects our significant increase in leakage detection and not asset deterioration.</w:t>
      </w:r>
    </w:p>
    <w:p w:rsidR="00BC3719" w:rsidRPr="00BC3719" w:rsidRDefault="00BC3719" w:rsidP="003941AC">
      <w:r w:rsidRPr="00BC3719">
        <w:t xml:space="preserve">The delivery of </w:t>
      </w:r>
      <w:r w:rsidR="004B363A">
        <w:t xml:space="preserve">our </w:t>
      </w:r>
      <w:r w:rsidRPr="00BC3719">
        <w:t xml:space="preserve">mains renewal programme changed significantly in AMP6, </w:t>
      </w:r>
      <w:r w:rsidR="004B363A">
        <w:t xml:space="preserve">when </w:t>
      </w:r>
      <w:r w:rsidRPr="00BC3719">
        <w:t>the process and contract as a whole were reviewed and a new approach implemented. Th</w:t>
      </w:r>
      <w:r w:rsidR="004B363A">
        <w:t>is</w:t>
      </w:r>
      <w:r w:rsidRPr="00BC3719">
        <w:t xml:space="preserve"> new approach was based on how to provide a better and more cost effective service to the customer and was delivered in two main areas.</w:t>
      </w:r>
    </w:p>
    <w:p w:rsidR="00BC3719" w:rsidRPr="00BC3719" w:rsidRDefault="00BC3719" w:rsidP="00B73C0A">
      <w:pPr>
        <w:pStyle w:val="Bullets"/>
      </w:pPr>
      <w:r w:rsidRPr="00BC3719">
        <w:t xml:space="preserve">The proactive identification and replacement of </w:t>
      </w:r>
      <w:r w:rsidR="003D0BD7" w:rsidRPr="00BC3719">
        <w:t>mains that</w:t>
      </w:r>
      <w:r w:rsidRPr="00BC3719">
        <w:t xml:space="preserve"> were both most likely to burst and</w:t>
      </w:r>
      <w:r w:rsidR="004B363A">
        <w:t>,</w:t>
      </w:r>
      <w:r w:rsidRPr="00BC3719">
        <w:t xml:space="preserve"> if they did </w:t>
      </w:r>
      <w:r w:rsidR="003D0BD7" w:rsidRPr="00BC3719">
        <w:t>burst,</w:t>
      </w:r>
      <w:r w:rsidRPr="00BC3719">
        <w:t xml:space="preserve"> would have the largest impact on customers.</w:t>
      </w:r>
    </w:p>
    <w:p w:rsidR="00BC3719" w:rsidRDefault="00BC3719" w:rsidP="00B73C0A">
      <w:pPr>
        <w:pStyle w:val="Bullets"/>
      </w:pPr>
      <w:r w:rsidRPr="00BC3719">
        <w:t>A reduction in disruption to customers, businesses and communities of mains renewal activities.</w:t>
      </w:r>
    </w:p>
    <w:p w:rsidR="003941AC" w:rsidRDefault="003941AC" w:rsidP="00D645C1">
      <w:pPr>
        <w:spacing w:after="0"/>
        <w:rPr>
          <w:rFonts w:cs="Arial"/>
        </w:rPr>
      </w:pPr>
    </w:p>
    <w:p w:rsidR="00BC3719" w:rsidRPr="00BC3719" w:rsidRDefault="00BC3719" w:rsidP="003941AC">
      <w:pPr>
        <w:rPr>
          <w:rFonts w:cs="Arial"/>
        </w:rPr>
      </w:pPr>
      <w:r w:rsidRPr="00BC3719">
        <w:rPr>
          <w:rFonts w:cs="Arial"/>
        </w:rPr>
        <w:t>We have worked closely with WRc</w:t>
      </w:r>
      <w:r w:rsidR="005B4E27">
        <w:rPr>
          <w:rFonts w:cs="Arial"/>
        </w:rPr>
        <w:t xml:space="preserve"> and Hydroco</w:t>
      </w:r>
      <w:r w:rsidR="00995ADC">
        <w:rPr>
          <w:rFonts w:cs="Arial"/>
        </w:rPr>
        <w:t xml:space="preserve"> </w:t>
      </w:r>
      <w:r w:rsidR="00995ADC" w:rsidRPr="004B363A">
        <w:rPr>
          <w:rFonts w:cs="Arial"/>
        </w:rPr>
        <w:t xml:space="preserve">(Appendix </w:t>
      </w:r>
      <w:r w:rsidR="006D50A2" w:rsidRPr="004B363A">
        <w:rPr>
          <w:rFonts w:cs="Arial"/>
        </w:rPr>
        <w:t>9.8.5.1</w:t>
      </w:r>
      <w:r w:rsidR="005B4E27" w:rsidRPr="004B363A">
        <w:rPr>
          <w:rFonts w:cs="Arial"/>
        </w:rPr>
        <w:t xml:space="preserve"> WRc Report,</w:t>
      </w:r>
      <w:r w:rsidR="006D50A2" w:rsidRPr="004B363A">
        <w:rPr>
          <w:rFonts w:cs="Arial"/>
        </w:rPr>
        <w:t xml:space="preserve"> </w:t>
      </w:r>
      <w:r w:rsidR="005B4E27" w:rsidRPr="004B363A">
        <w:rPr>
          <w:rFonts w:cs="Arial"/>
        </w:rPr>
        <w:t xml:space="preserve">Appendix </w:t>
      </w:r>
      <w:r w:rsidR="006D50A2" w:rsidRPr="004B363A">
        <w:rPr>
          <w:rFonts w:cs="Arial"/>
        </w:rPr>
        <w:t xml:space="preserve">9.2.2 </w:t>
      </w:r>
      <w:r w:rsidR="005B4E27" w:rsidRPr="004B363A">
        <w:rPr>
          <w:rFonts w:cs="Arial"/>
        </w:rPr>
        <w:t xml:space="preserve">PPA0401 </w:t>
      </w:r>
      <w:r w:rsidR="006D50A2" w:rsidRPr="004B363A">
        <w:rPr>
          <w:rFonts w:cs="Arial"/>
        </w:rPr>
        <w:t xml:space="preserve">and </w:t>
      </w:r>
      <w:r w:rsidR="005B4E27" w:rsidRPr="004B363A">
        <w:rPr>
          <w:rFonts w:cs="Arial"/>
        </w:rPr>
        <w:t xml:space="preserve">Appendix 9.9.2.3 </w:t>
      </w:r>
      <w:r w:rsidR="006D50A2" w:rsidRPr="004B363A">
        <w:rPr>
          <w:rFonts w:cs="Arial"/>
        </w:rPr>
        <w:t>TDS S745</w:t>
      </w:r>
      <w:r w:rsidR="005B4E27" w:rsidRPr="004B363A">
        <w:rPr>
          <w:rFonts w:cs="Arial"/>
        </w:rPr>
        <w:t>-12</w:t>
      </w:r>
      <w:r w:rsidR="00995ADC" w:rsidRPr="004B363A">
        <w:rPr>
          <w:rFonts w:cs="Arial"/>
        </w:rPr>
        <w:t>)</w:t>
      </w:r>
      <w:r w:rsidRPr="00BC3719">
        <w:rPr>
          <w:rFonts w:cs="Arial"/>
        </w:rPr>
        <w:t xml:space="preserve"> in developing our mains renewal section models for AMP6 and AMP7. These have identified the level and mains renewal required to maintain stable assets over the short and long term as well as targeting this renewals activity more effectively. </w:t>
      </w:r>
    </w:p>
    <w:p w:rsidR="00BC3719" w:rsidRPr="00BC3719" w:rsidRDefault="00BC3719" w:rsidP="003941AC">
      <w:pPr>
        <w:rPr>
          <w:rFonts w:cs="Arial"/>
        </w:rPr>
      </w:pPr>
      <w:r w:rsidRPr="00BC3719">
        <w:rPr>
          <w:rFonts w:cs="Arial"/>
        </w:rPr>
        <w:t>We have moved from the use of predominantly ‘open cut techniques’ for mains renewals in AMP5 and before to implementing approximately 80% ‘no dig techniques’ in AMP6. Using these techniques have a number of benefits for our customers:</w:t>
      </w:r>
    </w:p>
    <w:p w:rsidR="00BC3719" w:rsidRPr="00BC3719" w:rsidRDefault="00BC3719" w:rsidP="00B73C0A">
      <w:pPr>
        <w:pStyle w:val="Bullets"/>
      </w:pPr>
      <w:r w:rsidRPr="00BC3719">
        <w:t>Reduced disruption to customers and communities, in term of less time on site, reduced noise, reduced traffic management and reduced waste.</w:t>
      </w:r>
    </w:p>
    <w:p w:rsidR="00BC3719" w:rsidRPr="00BC3719" w:rsidRDefault="00BC3719" w:rsidP="00B73C0A">
      <w:pPr>
        <w:pStyle w:val="Bullets"/>
      </w:pPr>
      <w:r w:rsidRPr="00BC3719">
        <w:t xml:space="preserve">An efficient installation method, </w:t>
      </w:r>
      <w:r w:rsidR="00C741CA">
        <w:t xml:space="preserve">costs </w:t>
      </w:r>
      <w:r w:rsidRPr="00BC3719">
        <w:t>per metre are approximately 20% less in AMP6 than they were in AMP5, partly due to the move to no dig solutions.</w:t>
      </w:r>
    </w:p>
    <w:p w:rsidR="00BC3719" w:rsidRDefault="00BC3719" w:rsidP="00B73C0A">
      <w:pPr>
        <w:pStyle w:val="Bullets"/>
      </w:pPr>
      <w:r w:rsidRPr="00BC3719">
        <w:t xml:space="preserve">Improved customer experience, all customers </w:t>
      </w:r>
      <w:r w:rsidR="009375AE">
        <w:t>a</w:t>
      </w:r>
      <w:r w:rsidRPr="00BC3719">
        <w:t xml:space="preserve">ffected by mains renewals work are given feedback cards once the work is complete. &gt;80% of responses rate the work delivered as either excellent or good. </w:t>
      </w:r>
    </w:p>
    <w:p w:rsidR="00B73C0A" w:rsidRPr="00BC3719" w:rsidRDefault="00B73C0A" w:rsidP="00D645C1">
      <w:pPr>
        <w:spacing w:after="0"/>
      </w:pPr>
    </w:p>
    <w:p w:rsidR="00BC3719" w:rsidRPr="00BC3719" w:rsidRDefault="00BC3719" w:rsidP="003941AC">
      <w:pPr>
        <w:rPr>
          <w:rFonts w:cs="Arial"/>
        </w:rPr>
      </w:pPr>
      <w:r w:rsidRPr="00BC3719">
        <w:rPr>
          <w:rFonts w:cs="Arial"/>
        </w:rPr>
        <w:t>Mains renewals constitute a significant proportion of our capital programme, with a planned spend of over £20 million for the AMP.</w:t>
      </w:r>
    </w:p>
    <w:p w:rsidR="005A7FEF" w:rsidRPr="005A7FEF" w:rsidRDefault="00F237D0" w:rsidP="00946D16">
      <w:pPr>
        <w:numPr>
          <w:ilvl w:val="0"/>
          <w:numId w:val="11"/>
        </w:numPr>
        <w:rPr>
          <w:rFonts w:cs="Arial"/>
        </w:rPr>
      </w:pPr>
      <w:r w:rsidRPr="00BC3719">
        <w:rPr>
          <w:rFonts w:cs="Arial"/>
          <w:b/>
        </w:rPr>
        <w:t>Custo</w:t>
      </w:r>
      <w:r w:rsidR="005A7FEF">
        <w:rPr>
          <w:rFonts w:cs="Arial"/>
          <w:b/>
        </w:rPr>
        <w:t>mer Water Supply Interruptions</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5A7FEF" w:rsidRPr="008809A2" w:rsidTr="00B63614">
        <w:tc>
          <w:tcPr>
            <w:tcW w:w="2405" w:type="dxa"/>
            <w:shd w:val="clear" w:color="auto" w:fill="2E74B5" w:themeFill="accent1" w:themeFillShade="BF"/>
          </w:tcPr>
          <w:p w:rsidR="005A7FEF" w:rsidRPr="008809A2" w:rsidRDefault="005A7FEF" w:rsidP="00A44009">
            <w:pPr>
              <w:spacing w:after="0"/>
              <w:ind w:left="0"/>
              <w:rPr>
                <w:sz w:val="16"/>
                <w:szCs w:val="16"/>
              </w:rPr>
            </w:pPr>
            <w:r w:rsidRPr="008809A2">
              <w:rPr>
                <w:b/>
                <w:bCs/>
                <w:color w:val="FFFFFF" w:themeColor="background1"/>
                <w:sz w:val="16"/>
                <w:szCs w:val="16"/>
              </w:rPr>
              <w:t>Performance Commitment</w:t>
            </w:r>
          </w:p>
        </w:tc>
        <w:tc>
          <w:tcPr>
            <w:tcW w:w="708" w:type="dxa"/>
            <w:shd w:val="clear" w:color="auto" w:fill="2E74B5" w:themeFill="accent1" w:themeFillShade="BF"/>
          </w:tcPr>
          <w:p w:rsidR="005A7FEF" w:rsidRPr="008809A2" w:rsidRDefault="005A7FEF" w:rsidP="00A44009">
            <w:pPr>
              <w:spacing w:before="20" w:after="20"/>
              <w:ind w:left="0"/>
              <w:jc w:val="center"/>
              <w:rPr>
                <w:b/>
                <w:bCs/>
                <w:color w:val="FFFFFF" w:themeColor="background1"/>
                <w:sz w:val="16"/>
                <w:szCs w:val="16"/>
              </w:rPr>
            </w:pPr>
            <w:r w:rsidRPr="008809A2">
              <w:rPr>
                <w:b/>
                <w:bCs/>
                <w:color w:val="FFFFFF" w:themeColor="background1"/>
                <w:sz w:val="16"/>
                <w:szCs w:val="16"/>
              </w:rPr>
              <w:t>Type</w:t>
            </w:r>
          </w:p>
        </w:tc>
        <w:tc>
          <w:tcPr>
            <w:tcW w:w="1512"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AMP6 Performance</w:t>
            </w:r>
          </w:p>
        </w:tc>
        <w:tc>
          <w:tcPr>
            <w:tcW w:w="1654"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2024/25 Target</w:t>
            </w:r>
          </w:p>
        </w:tc>
        <w:tc>
          <w:tcPr>
            <w:tcW w:w="1654" w:type="dxa"/>
            <w:shd w:val="clear" w:color="auto" w:fill="2E74B5" w:themeFill="accent1" w:themeFillShade="BF"/>
          </w:tcPr>
          <w:p w:rsidR="005A7FEF" w:rsidRPr="008809A2" w:rsidRDefault="005A7FEF" w:rsidP="00A44009">
            <w:pPr>
              <w:spacing w:after="0"/>
              <w:ind w:left="0"/>
              <w:rPr>
                <w:b/>
                <w:color w:val="FFFFFF" w:themeColor="background1"/>
                <w:sz w:val="16"/>
                <w:szCs w:val="16"/>
              </w:rPr>
            </w:pPr>
            <w:r w:rsidRPr="008809A2">
              <w:rPr>
                <w:b/>
                <w:color w:val="FFFFFF" w:themeColor="background1"/>
                <w:sz w:val="16"/>
                <w:szCs w:val="16"/>
              </w:rPr>
              <w:t>2034/35 Target</w:t>
            </w:r>
          </w:p>
        </w:tc>
        <w:tc>
          <w:tcPr>
            <w:tcW w:w="850" w:type="dxa"/>
            <w:shd w:val="clear" w:color="auto" w:fill="2E74B5" w:themeFill="accent1" w:themeFillShade="BF"/>
          </w:tcPr>
          <w:p w:rsidR="005A7FEF" w:rsidRPr="008809A2" w:rsidRDefault="005A7FEF" w:rsidP="00A44009">
            <w:pPr>
              <w:spacing w:after="0"/>
              <w:ind w:left="0"/>
              <w:jc w:val="center"/>
              <w:rPr>
                <w:b/>
                <w:color w:val="FFFFFF" w:themeColor="background1"/>
                <w:sz w:val="16"/>
                <w:szCs w:val="16"/>
              </w:rPr>
            </w:pPr>
            <w:r w:rsidRPr="008809A2">
              <w:rPr>
                <w:b/>
                <w:color w:val="FFFFFF" w:themeColor="background1"/>
                <w:sz w:val="16"/>
                <w:szCs w:val="16"/>
              </w:rPr>
              <w:t>Reward/Penalty</w:t>
            </w:r>
          </w:p>
        </w:tc>
      </w:tr>
      <w:tr w:rsidR="005A7FEF" w:rsidRPr="008809A2" w:rsidTr="00B63614">
        <w:tc>
          <w:tcPr>
            <w:tcW w:w="2405" w:type="dxa"/>
          </w:tcPr>
          <w:p w:rsidR="005A7FEF" w:rsidRPr="008809A2" w:rsidRDefault="005A7FEF" w:rsidP="00A44009">
            <w:pPr>
              <w:spacing w:before="20" w:after="20"/>
              <w:ind w:left="0"/>
              <w:rPr>
                <w:sz w:val="16"/>
                <w:szCs w:val="16"/>
              </w:rPr>
            </w:pPr>
            <w:r w:rsidRPr="008809A2">
              <w:rPr>
                <w:sz w:val="16"/>
                <w:szCs w:val="16"/>
              </w:rPr>
              <w:t xml:space="preserve">Interruptions to Supply </w:t>
            </w:r>
          </w:p>
        </w:tc>
        <w:tc>
          <w:tcPr>
            <w:tcW w:w="708" w:type="dxa"/>
          </w:tcPr>
          <w:p w:rsidR="005A7FEF" w:rsidRPr="008809A2" w:rsidRDefault="005A7FEF" w:rsidP="00A44009">
            <w:pPr>
              <w:spacing w:before="20" w:after="20"/>
              <w:ind w:left="0"/>
              <w:jc w:val="center"/>
              <w:rPr>
                <w:sz w:val="16"/>
                <w:szCs w:val="16"/>
              </w:rPr>
            </w:pPr>
            <w:r w:rsidRPr="008809A2">
              <w:rPr>
                <w:sz w:val="16"/>
                <w:szCs w:val="16"/>
              </w:rPr>
              <w:t>C</w:t>
            </w:r>
          </w:p>
        </w:tc>
        <w:tc>
          <w:tcPr>
            <w:tcW w:w="1512" w:type="dxa"/>
          </w:tcPr>
          <w:p w:rsidR="005A7FEF" w:rsidRPr="008809A2" w:rsidRDefault="005A7FEF" w:rsidP="00A44009">
            <w:pPr>
              <w:spacing w:after="0"/>
              <w:ind w:left="0"/>
              <w:rPr>
                <w:sz w:val="16"/>
                <w:szCs w:val="16"/>
              </w:rPr>
            </w:pPr>
            <w:r w:rsidRPr="008809A2">
              <w:rPr>
                <w:sz w:val="16"/>
                <w:szCs w:val="16"/>
              </w:rPr>
              <w:t>4 mins (over AMP6)</w:t>
            </w:r>
          </w:p>
        </w:tc>
        <w:tc>
          <w:tcPr>
            <w:tcW w:w="1654" w:type="dxa"/>
          </w:tcPr>
          <w:p w:rsidR="005A7FEF" w:rsidRPr="008809A2" w:rsidRDefault="005A7FEF" w:rsidP="00A44009">
            <w:pPr>
              <w:spacing w:before="20" w:after="20"/>
              <w:ind w:left="0"/>
              <w:rPr>
                <w:sz w:val="16"/>
                <w:szCs w:val="16"/>
              </w:rPr>
            </w:pPr>
            <w:r w:rsidRPr="008809A2">
              <w:rPr>
                <w:sz w:val="16"/>
                <w:szCs w:val="16"/>
              </w:rPr>
              <w:t>3 mins</w:t>
            </w:r>
          </w:p>
        </w:tc>
        <w:tc>
          <w:tcPr>
            <w:tcW w:w="1654" w:type="dxa"/>
          </w:tcPr>
          <w:p w:rsidR="005A7FEF" w:rsidRPr="008809A2" w:rsidRDefault="005A7FEF" w:rsidP="00A44009">
            <w:pPr>
              <w:spacing w:after="0"/>
              <w:ind w:left="0"/>
              <w:rPr>
                <w:sz w:val="16"/>
                <w:szCs w:val="16"/>
              </w:rPr>
            </w:pPr>
            <w:r w:rsidRPr="008809A2">
              <w:rPr>
                <w:sz w:val="16"/>
                <w:szCs w:val="16"/>
              </w:rPr>
              <w:t>2 mins</w:t>
            </w:r>
          </w:p>
        </w:tc>
        <w:tc>
          <w:tcPr>
            <w:tcW w:w="850" w:type="dxa"/>
          </w:tcPr>
          <w:p w:rsidR="005A7FEF" w:rsidRPr="008809A2" w:rsidRDefault="00934560" w:rsidP="00C6348C">
            <w:pPr>
              <w:spacing w:after="0"/>
              <w:ind w:left="0"/>
              <w:jc w:val="center"/>
              <w:rPr>
                <w:sz w:val="16"/>
                <w:szCs w:val="16"/>
              </w:rPr>
            </w:pPr>
            <w:r w:rsidRPr="008809A2">
              <w:rPr>
                <w:sz w:val="16"/>
                <w:szCs w:val="16"/>
              </w:rPr>
              <w:t>E</w:t>
            </w:r>
            <w:r w:rsidR="005A7FEF" w:rsidRPr="008809A2">
              <w:rPr>
                <w:sz w:val="16"/>
                <w:szCs w:val="16"/>
              </w:rPr>
              <w:t>R/</w:t>
            </w:r>
            <w:r w:rsidRPr="008809A2">
              <w:rPr>
                <w:sz w:val="16"/>
                <w:szCs w:val="16"/>
              </w:rPr>
              <w:t>E</w:t>
            </w:r>
            <w:r w:rsidR="005A7FEF" w:rsidRPr="008809A2">
              <w:rPr>
                <w:sz w:val="16"/>
                <w:szCs w:val="16"/>
              </w:rPr>
              <w:t>P</w:t>
            </w:r>
          </w:p>
        </w:tc>
      </w:tr>
    </w:tbl>
    <w:p w:rsidR="00A60187" w:rsidRDefault="00A60187" w:rsidP="00A60187">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A44009" w:rsidRDefault="00BC3719" w:rsidP="00A44009">
      <w:pPr>
        <w:rPr>
          <w:rFonts w:cs="Arial"/>
        </w:rPr>
      </w:pPr>
      <w:r w:rsidRPr="00BC3719">
        <w:rPr>
          <w:rFonts w:cs="Arial"/>
        </w:rPr>
        <w:t xml:space="preserve">This is a common </w:t>
      </w:r>
      <w:r w:rsidR="004B363A">
        <w:rPr>
          <w:rFonts w:cs="Arial"/>
        </w:rPr>
        <w:t>P</w:t>
      </w:r>
      <w:r w:rsidRPr="00BC3719">
        <w:rPr>
          <w:rFonts w:cs="Arial"/>
        </w:rPr>
        <w:t>erformance</w:t>
      </w:r>
      <w:r w:rsidR="00F340DF">
        <w:rPr>
          <w:rFonts w:cs="Arial"/>
        </w:rPr>
        <w:t xml:space="preserve"> </w:t>
      </w:r>
      <w:r w:rsidR="004B363A">
        <w:rPr>
          <w:rFonts w:cs="Arial"/>
        </w:rPr>
        <w:t>C</w:t>
      </w:r>
      <w:r w:rsidR="00F340DF">
        <w:rPr>
          <w:rFonts w:cs="Arial"/>
        </w:rPr>
        <w:t>ommitment</w:t>
      </w:r>
      <w:r w:rsidRPr="00BC3719">
        <w:rPr>
          <w:rFonts w:cs="Arial"/>
        </w:rPr>
        <w:t>.  It is the number of minutes, on average, that is suffered by our customers due to interruptions to supply exceeding 3 hours.  We will improve on our current top quartile industry performance, having set a stretching target of 3 minutes.  This is a step change in performance</w:t>
      </w:r>
      <w:r w:rsidR="003D0BD7">
        <w:rPr>
          <w:rFonts w:cs="Arial"/>
        </w:rPr>
        <w:t>,</w:t>
      </w:r>
      <w:r w:rsidRPr="00BC3719">
        <w:rPr>
          <w:rFonts w:cs="Arial"/>
        </w:rPr>
        <w:t xml:space="preserve"> given our AMP6 target is 6 minutes.  This ODI will be </w:t>
      </w:r>
      <w:r w:rsidR="009375AE">
        <w:rPr>
          <w:rFonts w:cs="Arial"/>
        </w:rPr>
        <w:t>enhanced</w:t>
      </w:r>
      <w:r w:rsidRPr="00BC3719">
        <w:rPr>
          <w:rFonts w:cs="Arial"/>
        </w:rPr>
        <w:t xml:space="preserve"> reward and penalty.</w:t>
      </w:r>
    </w:p>
    <w:p w:rsidR="00BC3719" w:rsidRPr="00BC3719" w:rsidRDefault="00BC3719" w:rsidP="00A44009">
      <w:pPr>
        <w:rPr>
          <w:rFonts w:cs="Arial"/>
        </w:rPr>
      </w:pPr>
      <w:r w:rsidRPr="00BC3719">
        <w:rPr>
          <w:rFonts w:cs="Arial"/>
        </w:rPr>
        <w:t>Supply interruptions can be unplanned, when a main bursts, or planned, typically when mains are renewed.  Our review of these activities, and associated cost benefit analysis has driven our new target.</w:t>
      </w:r>
    </w:p>
    <w:p w:rsidR="00BC3719" w:rsidRPr="00BC3719" w:rsidRDefault="00BC3719" w:rsidP="005A7FEF">
      <w:pPr>
        <w:rPr>
          <w:rFonts w:cs="Arial"/>
        </w:rPr>
      </w:pPr>
      <w:r w:rsidRPr="00BC3719">
        <w:rPr>
          <w:rFonts w:cs="Arial"/>
        </w:rPr>
        <w:t>The reduction in unplanned supply interruptions over three hours will be achieved in two ways:</w:t>
      </w:r>
    </w:p>
    <w:p w:rsidR="00BC3719" w:rsidRPr="00BC3719" w:rsidRDefault="00BC3719" w:rsidP="00B73C0A">
      <w:pPr>
        <w:pStyle w:val="Bullets"/>
      </w:pPr>
      <w:r w:rsidRPr="00BC3719">
        <w:t>Review and realignment of our operational processes to ensure unplanned activity is completed within three hours;</w:t>
      </w:r>
    </w:p>
    <w:p w:rsidR="00BC3719" w:rsidRDefault="00BC3719" w:rsidP="00B73C0A">
      <w:pPr>
        <w:pStyle w:val="Bullets"/>
      </w:pPr>
      <w:r w:rsidRPr="00BC3719">
        <w:t xml:space="preserve">Review of each job to ascertain if the activity </w:t>
      </w:r>
      <w:r w:rsidR="00F340DF">
        <w:t>should</w:t>
      </w:r>
      <w:r w:rsidRPr="00BC3719">
        <w:t xml:space="preserve"> be deferred to a planned activity. This will provi</w:t>
      </w:r>
      <w:r w:rsidR="00F340DF">
        <w:t xml:space="preserve">de time to </w:t>
      </w:r>
      <w:r w:rsidR="003D0BD7">
        <w:t>prepare robustly</w:t>
      </w:r>
      <w:r w:rsidR="00F340DF">
        <w:t xml:space="preserve"> to minimise the risk</w:t>
      </w:r>
      <w:r w:rsidR="00DA60D2">
        <w:t xml:space="preserve"> that unanticipated difficulties will delay supplies being restored to customers.</w:t>
      </w:r>
    </w:p>
    <w:p w:rsidR="00B73C0A" w:rsidRPr="00BC3719" w:rsidRDefault="00B73C0A" w:rsidP="00B73C0A">
      <w:pPr>
        <w:pStyle w:val="Bullets"/>
        <w:numPr>
          <w:ilvl w:val="0"/>
          <w:numId w:val="0"/>
        </w:numPr>
        <w:ind w:left="1848"/>
      </w:pPr>
    </w:p>
    <w:p w:rsidR="00BC3719" w:rsidRPr="00BC3719" w:rsidRDefault="00BC3719" w:rsidP="003941AC">
      <w:r w:rsidRPr="00BC3719">
        <w:t>The reduction in planned interruptions will be achieved as follows:</w:t>
      </w:r>
    </w:p>
    <w:p w:rsidR="00BC3719" w:rsidRDefault="00BC3719" w:rsidP="00B73C0A">
      <w:pPr>
        <w:pStyle w:val="Bullets"/>
      </w:pPr>
      <w:r w:rsidRPr="00BC3719">
        <w:t xml:space="preserve">Changes in working practices with more focused planning and better internal liaison to ensure that turn off and on of supplies are better coordinated.  </w:t>
      </w:r>
    </w:p>
    <w:p w:rsidR="00B73C0A" w:rsidRPr="00BC3719" w:rsidRDefault="00B73C0A" w:rsidP="00B73C0A">
      <w:pPr>
        <w:pStyle w:val="Bullets"/>
        <w:numPr>
          <w:ilvl w:val="0"/>
          <w:numId w:val="0"/>
        </w:numPr>
        <w:ind w:left="1848"/>
      </w:pPr>
    </w:p>
    <w:p w:rsidR="005A7FEF" w:rsidRPr="005A7FEF" w:rsidRDefault="00F237D0" w:rsidP="00946D16">
      <w:pPr>
        <w:numPr>
          <w:ilvl w:val="0"/>
          <w:numId w:val="11"/>
        </w:numPr>
        <w:rPr>
          <w:rFonts w:cs="Arial"/>
        </w:rPr>
      </w:pPr>
      <w:r w:rsidRPr="00F237D0">
        <w:rPr>
          <w:rFonts w:cs="Arial"/>
          <w:b/>
        </w:rPr>
        <w:t>Pro</w:t>
      </w:r>
      <w:r w:rsidR="005A7FEF">
        <w:rPr>
          <w:rFonts w:cs="Arial"/>
          <w:b/>
        </w:rPr>
        <w:t>perties at risk of low pressure</w:t>
      </w:r>
      <w:r w:rsidRPr="00F237D0">
        <w:rPr>
          <w:rFonts w:cs="Arial"/>
          <w:b/>
        </w:rPr>
        <w:t xml:space="preserve"> </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A44009" w:rsidRPr="008809A2" w:rsidTr="00B63614">
        <w:tc>
          <w:tcPr>
            <w:tcW w:w="2405" w:type="dxa"/>
            <w:shd w:val="clear" w:color="auto" w:fill="2E74B5" w:themeFill="accent1" w:themeFillShade="BF"/>
          </w:tcPr>
          <w:p w:rsidR="00A44009" w:rsidRPr="008809A2" w:rsidRDefault="00A44009" w:rsidP="00A44009">
            <w:pPr>
              <w:spacing w:after="0"/>
              <w:ind w:left="0"/>
              <w:rPr>
                <w:sz w:val="16"/>
                <w:szCs w:val="16"/>
              </w:rPr>
            </w:pPr>
            <w:r w:rsidRPr="008809A2">
              <w:rPr>
                <w:b/>
                <w:bCs/>
                <w:color w:val="FFFFFF" w:themeColor="background1"/>
                <w:sz w:val="16"/>
                <w:szCs w:val="16"/>
              </w:rPr>
              <w:t>Performance Commitment</w:t>
            </w:r>
          </w:p>
        </w:tc>
        <w:tc>
          <w:tcPr>
            <w:tcW w:w="708" w:type="dxa"/>
            <w:shd w:val="clear" w:color="auto" w:fill="2E74B5" w:themeFill="accent1" w:themeFillShade="BF"/>
          </w:tcPr>
          <w:p w:rsidR="00A44009" w:rsidRPr="008809A2" w:rsidRDefault="00A44009" w:rsidP="00A44009">
            <w:pPr>
              <w:spacing w:before="20" w:after="20"/>
              <w:ind w:left="0"/>
              <w:jc w:val="center"/>
              <w:rPr>
                <w:b/>
                <w:bCs/>
                <w:color w:val="FFFFFF" w:themeColor="background1"/>
                <w:sz w:val="16"/>
                <w:szCs w:val="16"/>
              </w:rPr>
            </w:pPr>
            <w:r w:rsidRPr="008809A2">
              <w:rPr>
                <w:b/>
                <w:bCs/>
                <w:color w:val="FFFFFF" w:themeColor="background1"/>
                <w:sz w:val="16"/>
                <w:szCs w:val="16"/>
              </w:rPr>
              <w:t>Type</w:t>
            </w:r>
          </w:p>
        </w:tc>
        <w:tc>
          <w:tcPr>
            <w:tcW w:w="1512" w:type="dxa"/>
            <w:shd w:val="clear" w:color="auto" w:fill="2E74B5" w:themeFill="accent1" w:themeFillShade="BF"/>
          </w:tcPr>
          <w:p w:rsidR="00A44009" w:rsidRPr="008809A2" w:rsidRDefault="00A44009" w:rsidP="00A44009">
            <w:pPr>
              <w:spacing w:after="0"/>
              <w:ind w:left="0"/>
              <w:rPr>
                <w:b/>
                <w:color w:val="FFFFFF" w:themeColor="background1"/>
                <w:sz w:val="16"/>
                <w:szCs w:val="16"/>
              </w:rPr>
            </w:pPr>
            <w:r w:rsidRPr="008809A2">
              <w:rPr>
                <w:b/>
                <w:color w:val="FFFFFF" w:themeColor="background1"/>
                <w:sz w:val="16"/>
                <w:szCs w:val="16"/>
              </w:rPr>
              <w:t>AMP6 Performance</w:t>
            </w:r>
          </w:p>
        </w:tc>
        <w:tc>
          <w:tcPr>
            <w:tcW w:w="1654" w:type="dxa"/>
            <w:shd w:val="clear" w:color="auto" w:fill="2E74B5" w:themeFill="accent1" w:themeFillShade="BF"/>
          </w:tcPr>
          <w:p w:rsidR="00A44009" w:rsidRPr="008809A2" w:rsidRDefault="00A44009" w:rsidP="00A44009">
            <w:pPr>
              <w:spacing w:after="0"/>
              <w:ind w:left="0"/>
              <w:rPr>
                <w:b/>
                <w:color w:val="FFFFFF" w:themeColor="background1"/>
                <w:sz w:val="16"/>
                <w:szCs w:val="16"/>
              </w:rPr>
            </w:pPr>
            <w:r w:rsidRPr="008809A2">
              <w:rPr>
                <w:b/>
                <w:color w:val="FFFFFF" w:themeColor="background1"/>
                <w:sz w:val="16"/>
                <w:szCs w:val="16"/>
              </w:rPr>
              <w:t>2024/25 Target</w:t>
            </w:r>
          </w:p>
        </w:tc>
        <w:tc>
          <w:tcPr>
            <w:tcW w:w="1654" w:type="dxa"/>
            <w:shd w:val="clear" w:color="auto" w:fill="2E74B5" w:themeFill="accent1" w:themeFillShade="BF"/>
          </w:tcPr>
          <w:p w:rsidR="00A44009" w:rsidRPr="008809A2" w:rsidRDefault="00A44009" w:rsidP="00A44009">
            <w:pPr>
              <w:spacing w:after="0"/>
              <w:ind w:left="0"/>
              <w:rPr>
                <w:b/>
                <w:color w:val="FFFFFF" w:themeColor="background1"/>
                <w:sz w:val="16"/>
                <w:szCs w:val="16"/>
              </w:rPr>
            </w:pPr>
            <w:r w:rsidRPr="008809A2">
              <w:rPr>
                <w:b/>
                <w:color w:val="FFFFFF" w:themeColor="background1"/>
                <w:sz w:val="16"/>
                <w:szCs w:val="16"/>
              </w:rPr>
              <w:t>2034/35 Target</w:t>
            </w:r>
          </w:p>
        </w:tc>
        <w:tc>
          <w:tcPr>
            <w:tcW w:w="850" w:type="dxa"/>
            <w:shd w:val="clear" w:color="auto" w:fill="2E74B5" w:themeFill="accent1" w:themeFillShade="BF"/>
          </w:tcPr>
          <w:p w:rsidR="00A44009" w:rsidRPr="008809A2" w:rsidRDefault="00A44009" w:rsidP="00A44009">
            <w:pPr>
              <w:spacing w:after="0"/>
              <w:ind w:left="0"/>
              <w:jc w:val="center"/>
              <w:rPr>
                <w:b/>
                <w:color w:val="FFFFFF" w:themeColor="background1"/>
                <w:sz w:val="16"/>
                <w:szCs w:val="16"/>
              </w:rPr>
            </w:pPr>
            <w:r w:rsidRPr="008809A2">
              <w:rPr>
                <w:b/>
                <w:color w:val="FFFFFF" w:themeColor="background1"/>
                <w:sz w:val="16"/>
                <w:szCs w:val="16"/>
              </w:rPr>
              <w:t>Reward/Penalty</w:t>
            </w:r>
          </w:p>
        </w:tc>
      </w:tr>
      <w:tr w:rsidR="00A44009" w:rsidRPr="008809A2" w:rsidTr="00B63614">
        <w:tc>
          <w:tcPr>
            <w:tcW w:w="2405" w:type="dxa"/>
          </w:tcPr>
          <w:p w:rsidR="00A44009" w:rsidRPr="008809A2" w:rsidRDefault="00A44009" w:rsidP="00A44009">
            <w:pPr>
              <w:spacing w:before="20" w:after="20"/>
              <w:ind w:left="0"/>
              <w:rPr>
                <w:sz w:val="16"/>
                <w:szCs w:val="16"/>
              </w:rPr>
            </w:pPr>
            <w:r w:rsidRPr="008809A2">
              <w:rPr>
                <w:sz w:val="16"/>
                <w:szCs w:val="16"/>
              </w:rPr>
              <w:t xml:space="preserve">Properties at Risk of Low Pressure </w:t>
            </w:r>
          </w:p>
        </w:tc>
        <w:tc>
          <w:tcPr>
            <w:tcW w:w="708" w:type="dxa"/>
          </w:tcPr>
          <w:p w:rsidR="00A44009" w:rsidRPr="008809A2" w:rsidRDefault="00A44009" w:rsidP="00A44009">
            <w:pPr>
              <w:spacing w:before="20" w:after="20"/>
              <w:ind w:left="0"/>
              <w:jc w:val="center"/>
              <w:rPr>
                <w:sz w:val="16"/>
                <w:szCs w:val="16"/>
              </w:rPr>
            </w:pPr>
            <w:r w:rsidRPr="008809A2">
              <w:rPr>
                <w:sz w:val="16"/>
                <w:szCs w:val="16"/>
              </w:rPr>
              <w:t>B</w:t>
            </w:r>
          </w:p>
        </w:tc>
        <w:tc>
          <w:tcPr>
            <w:tcW w:w="1512" w:type="dxa"/>
          </w:tcPr>
          <w:p w:rsidR="00A44009" w:rsidRPr="008809A2" w:rsidRDefault="00A44009" w:rsidP="00A44009">
            <w:pPr>
              <w:spacing w:after="0"/>
              <w:ind w:left="0"/>
              <w:rPr>
                <w:sz w:val="16"/>
                <w:szCs w:val="16"/>
              </w:rPr>
            </w:pPr>
            <w:r w:rsidRPr="008809A2">
              <w:rPr>
                <w:sz w:val="16"/>
                <w:szCs w:val="16"/>
              </w:rPr>
              <w:t>70 (over AMP6)</w:t>
            </w:r>
          </w:p>
        </w:tc>
        <w:tc>
          <w:tcPr>
            <w:tcW w:w="1654" w:type="dxa"/>
          </w:tcPr>
          <w:p w:rsidR="00A44009" w:rsidRPr="008809A2" w:rsidRDefault="00A44009" w:rsidP="00A44009">
            <w:pPr>
              <w:spacing w:before="20" w:after="20"/>
              <w:ind w:left="0"/>
              <w:rPr>
                <w:sz w:val="16"/>
                <w:szCs w:val="16"/>
              </w:rPr>
            </w:pPr>
            <w:r w:rsidRPr="008809A2">
              <w:rPr>
                <w:sz w:val="16"/>
                <w:szCs w:val="16"/>
              </w:rPr>
              <w:t>18 properties</w:t>
            </w:r>
          </w:p>
        </w:tc>
        <w:tc>
          <w:tcPr>
            <w:tcW w:w="1654" w:type="dxa"/>
          </w:tcPr>
          <w:p w:rsidR="00A44009" w:rsidRPr="008809A2" w:rsidRDefault="00A44009" w:rsidP="00A44009">
            <w:pPr>
              <w:spacing w:after="0"/>
              <w:ind w:left="0"/>
              <w:rPr>
                <w:sz w:val="16"/>
                <w:szCs w:val="16"/>
              </w:rPr>
            </w:pPr>
            <w:r w:rsidRPr="008809A2">
              <w:rPr>
                <w:sz w:val="16"/>
                <w:szCs w:val="16"/>
              </w:rPr>
              <w:t>18 properties</w:t>
            </w:r>
          </w:p>
        </w:tc>
        <w:tc>
          <w:tcPr>
            <w:tcW w:w="850" w:type="dxa"/>
          </w:tcPr>
          <w:p w:rsidR="00A44009" w:rsidRPr="008809A2" w:rsidRDefault="00A44009" w:rsidP="00A44009">
            <w:pPr>
              <w:spacing w:after="0"/>
              <w:ind w:left="0"/>
              <w:jc w:val="center"/>
              <w:rPr>
                <w:sz w:val="16"/>
                <w:szCs w:val="16"/>
              </w:rPr>
            </w:pPr>
            <w:r w:rsidRPr="008809A2">
              <w:rPr>
                <w:sz w:val="16"/>
                <w:szCs w:val="16"/>
              </w:rPr>
              <w:t>P</w:t>
            </w:r>
          </w:p>
        </w:tc>
      </w:tr>
    </w:tbl>
    <w:p w:rsidR="00A60187" w:rsidRDefault="00A60187" w:rsidP="00A60187">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BC3719" w:rsidRDefault="00BC3719" w:rsidP="00777C75">
      <w:r w:rsidRPr="00BC3719">
        <w:t xml:space="preserve">This is a bespoke pick-list Performance </w:t>
      </w:r>
      <w:r w:rsidR="004B363A">
        <w:t>C</w:t>
      </w:r>
      <w:r w:rsidRPr="00BC3719">
        <w:t>ommitment</w:t>
      </w:r>
      <w:r w:rsidR="00977912">
        <w:t xml:space="preserve"> reflecting Asset Health</w:t>
      </w:r>
      <w:r w:rsidRPr="00BC3719">
        <w:t>.  Following engagement with customers</w:t>
      </w:r>
      <w:r w:rsidR="00995ADC">
        <w:t xml:space="preserve"> (Appendix 2.25)</w:t>
      </w:r>
      <w:r w:rsidRPr="00BC3719">
        <w:t xml:space="preserve"> that are at risk of low pressure, we adopted this as a performance commitment.  Whilst only 70 properties are at risk, this is significantly above the industry average.  For </w:t>
      </w:r>
      <w:r w:rsidR="003D0BD7" w:rsidRPr="00BC3719">
        <w:t>2</w:t>
      </w:r>
      <w:r w:rsidR="003D0BD7">
        <w:t>017/18,</w:t>
      </w:r>
      <w:r w:rsidR="009375AE">
        <w:t xml:space="preserve"> we had 2.19 properties per</w:t>
      </w:r>
      <w:r w:rsidRPr="00BC3719">
        <w:t xml:space="preserve"> 10,000 connections at risk, compared to an industry average of 1.64.  Our target for the AMP is to bring those customers at risk down from 70 to 18</w:t>
      </w:r>
      <w:r w:rsidR="00934560">
        <w:t>.  F</w:t>
      </w:r>
      <w:r w:rsidR="00ED6865">
        <w:t>or the remaining 18 properties the cost of resolving the issues is very high and cannot currently be achieved in a cost beneficial way</w:t>
      </w:r>
      <w:r w:rsidRPr="00BC3719">
        <w:t>.  We are proposing that this is a penalty only ODI.</w:t>
      </w:r>
    </w:p>
    <w:p w:rsidR="00DA60D2" w:rsidRPr="00777C75" w:rsidRDefault="00DA60D2" w:rsidP="00777C75">
      <w:pPr>
        <w:rPr>
          <w:b/>
        </w:rPr>
      </w:pPr>
      <w:r w:rsidRPr="00777C75">
        <w:rPr>
          <w:b/>
        </w:rPr>
        <w:t>Summary</w:t>
      </w:r>
    </w:p>
    <w:p w:rsidR="00934560" w:rsidRDefault="00DA60D2" w:rsidP="00777C75">
      <w:r>
        <w:t xml:space="preserve">As demonstrated by our study, we have resilient supplies that can withstand </w:t>
      </w:r>
      <w:r w:rsidR="00236AA5">
        <w:t>significant</w:t>
      </w:r>
      <w:r>
        <w:t xml:space="preserve"> </w:t>
      </w:r>
      <w:r w:rsidR="00236AA5">
        <w:t xml:space="preserve">outage.  The proposals in this </w:t>
      </w:r>
      <w:r w:rsidR="004B363A">
        <w:t>B</w:t>
      </w:r>
      <w:r w:rsidR="00236AA5">
        <w:t xml:space="preserve">usiness </w:t>
      </w:r>
      <w:r w:rsidR="004B363A">
        <w:t>P</w:t>
      </w:r>
      <w:r w:rsidR="00236AA5">
        <w:t xml:space="preserve">lan will enhance resilience for our customers providing them with the safe secure and reliable supply that they have told us is their highest priority. </w:t>
      </w:r>
    </w:p>
    <w:p w:rsidR="00D70395" w:rsidRDefault="00D70395">
      <w:pPr>
        <w:tabs>
          <w:tab w:val="clear" w:pos="851"/>
        </w:tabs>
        <w:spacing w:after="0"/>
        <w:ind w:left="0"/>
        <w:jc w:val="left"/>
        <w:rPr>
          <w:rFonts w:cs="Arial"/>
          <w:color w:val="2E74B5" w:themeColor="accent1" w:themeShade="BF"/>
        </w:rPr>
      </w:pPr>
      <w:r>
        <w:rPr>
          <w:rFonts w:cs="Arial"/>
          <w:color w:val="2E74B5" w:themeColor="accent1" w:themeShade="BF"/>
        </w:rPr>
        <w:br w:type="page"/>
      </w:r>
    </w:p>
    <w:p w:rsidR="004C0133" w:rsidRPr="00001BA8" w:rsidRDefault="004C0133" w:rsidP="00777C75">
      <w:r w:rsidRPr="00001BA8">
        <w:rPr>
          <w:rFonts w:cs="Arial"/>
          <w:color w:val="2E74B5" w:themeColor="accent1" w:themeShade="BF"/>
        </w:rPr>
        <w:t>Appendices relevant to this section</w:t>
      </w:r>
    </w:p>
    <w:tbl>
      <w:tblPr>
        <w:tblStyle w:val="TableGrid22"/>
        <w:tblW w:w="0" w:type="auto"/>
        <w:jc w:val="center"/>
        <w:tblLook w:val="04A0" w:firstRow="1" w:lastRow="0" w:firstColumn="1" w:lastColumn="0" w:noHBand="0" w:noVBand="1"/>
      </w:tblPr>
      <w:tblGrid>
        <w:gridCol w:w="1838"/>
        <w:gridCol w:w="4173"/>
        <w:gridCol w:w="1781"/>
      </w:tblGrid>
      <w:tr w:rsidR="00995ADC" w:rsidRPr="001E0DCD" w:rsidTr="0024233B">
        <w:trPr>
          <w:jc w:val="center"/>
        </w:trPr>
        <w:tc>
          <w:tcPr>
            <w:tcW w:w="1838" w:type="dxa"/>
            <w:shd w:val="clear" w:color="auto" w:fill="2E74B5" w:themeFill="accent1" w:themeFillShade="BF"/>
          </w:tcPr>
          <w:p w:rsidR="00995ADC" w:rsidRPr="001E0DCD" w:rsidRDefault="00995ADC" w:rsidP="0024233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995ADC" w:rsidRPr="001E0DCD" w:rsidRDefault="00995ADC" w:rsidP="0024233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995ADC" w:rsidRPr="001E0DCD" w:rsidRDefault="00995ADC" w:rsidP="0024233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995ADC" w:rsidRPr="001E0DCD" w:rsidTr="0024233B">
        <w:trPr>
          <w:jc w:val="center"/>
        </w:trPr>
        <w:tc>
          <w:tcPr>
            <w:tcW w:w="1838" w:type="dxa"/>
          </w:tcPr>
          <w:p w:rsidR="00995ADC" w:rsidRPr="001E0DCD" w:rsidRDefault="00995ADC" w:rsidP="0024233B">
            <w:pPr>
              <w:tabs>
                <w:tab w:val="clear" w:pos="851"/>
              </w:tabs>
              <w:spacing w:after="0"/>
              <w:ind w:left="0"/>
              <w:jc w:val="left"/>
              <w:rPr>
                <w:rFonts w:cs="Arial"/>
                <w:sz w:val="16"/>
                <w:szCs w:val="16"/>
              </w:rPr>
            </w:pPr>
            <w:r>
              <w:rPr>
                <w:rFonts w:cs="Arial"/>
                <w:sz w:val="16"/>
                <w:szCs w:val="16"/>
              </w:rPr>
              <w:t>2.3</w:t>
            </w:r>
          </w:p>
        </w:tc>
        <w:tc>
          <w:tcPr>
            <w:tcW w:w="4173" w:type="dxa"/>
          </w:tcPr>
          <w:p w:rsidR="00995ADC" w:rsidRPr="001E0DCD" w:rsidRDefault="00995ADC" w:rsidP="0024233B">
            <w:pPr>
              <w:tabs>
                <w:tab w:val="clear" w:pos="851"/>
              </w:tabs>
              <w:spacing w:after="0"/>
              <w:ind w:left="0"/>
              <w:jc w:val="left"/>
              <w:rPr>
                <w:rFonts w:cs="Arial"/>
                <w:sz w:val="16"/>
                <w:szCs w:val="16"/>
              </w:rPr>
            </w:pPr>
            <w:r>
              <w:rPr>
                <w:rFonts w:cs="Arial"/>
                <w:sz w:val="16"/>
                <w:szCs w:val="16"/>
              </w:rPr>
              <w:t>Accent – Qualitative Research into Outcomes</w:t>
            </w:r>
          </w:p>
        </w:tc>
        <w:tc>
          <w:tcPr>
            <w:tcW w:w="1781" w:type="dxa"/>
          </w:tcPr>
          <w:p w:rsidR="00995ADC" w:rsidRPr="001E0DCD" w:rsidRDefault="00995ADC" w:rsidP="0024233B">
            <w:pPr>
              <w:tabs>
                <w:tab w:val="clear" w:pos="851"/>
              </w:tabs>
              <w:spacing w:after="0"/>
              <w:ind w:left="0"/>
              <w:jc w:val="left"/>
              <w:rPr>
                <w:rFonts w:cs="Arial"/>
                <w:sz w:val="16"/>
                <w:szCs w:val="16"/>
              </w:rPr>
            </w:pPr>
            <w:r>
              <w:rPr>
                <w:rFonts w:cs="Arial"/>
                <w:sz w:val="16"/>
                <w:szCs w:val="16"/>
              </w:rPr>
              <w:t>December 2012</w:t>
            </w:r>
          </w:p>
        </w:tc>
      </w:tr>
      <w:tr w:rsidR="00995ADC" w:rsidRPr="001E0DCD" w:rsidTr="0024233B">
        <w:trPr>
          <w:jc w:val="center"/>
        </w:trPr>
        <w:tc>
          <w:tcPr>
            <w:tcW w:w="1838" w:type="dxa"/>
          </w:tcPr>
          <w:p w:rsidR="00995ADC" w:rsidRPr="001E0DCD" w:rsidRDefault="00995ADC" w:rsidP="0024233B">
            <w:pPr>
              <w:tabs>
                <w:tab w:val="clear" w:pos="851"/>
              </w:tabs>
              <w:spacing w:after="0"/>
              <w:ind w:left="0"/>
              <w:jc w:val="left"/>
              <w:rPr>
                <w:rFonts w:cs="Arial"/>
                <w:sz w:val="16"/>
                <w:szCs w:val="16"/>
              </w:rPr>
            </w:pPr>
            <w:r>
              <w:rPr>
                <w:rFonts w:cs="Arial"/>
                <w:sz w:val="16"/>
                <w:szCs w:val="16"/>
              </w:rPr>
              <w:t>2.1</w:t>
            </w:r>
          </w:p>
        </w:tc>
        <w:tc>
          <w:tcPr>
            <w:tcW w:w="4173" w:type="dxa"/>
          </w:tcPr>
          <w:p w:rsidR="00995ADC" w:rsidRPr="001E0DCD" w:rsidRDefault="00995ADC" w:rsidP="0024233B">
            <w:pPr>
              <w:tabs>
                <w:tab w:val="clear" w:pos="851"/>
              </w:tabs>
              <w:spacing w:after="0"/>
              <w:ind w:left="0"/>
              <w:jc w:val="left"/>
              <w:rPr>
                <w:rFonts w:cs="Arial"/>
                <w:sz w:val="16"/>
                <w:szCs w:val="16"/>
              </w:rPr>
            </w:pPr>
            <w:r>
              <w:rPr>
                <w:rFonts w:cs="Arial"/>
                <w:sz w:val="16"/>
                <w:szCs w:val="16"/>
              </w:rPr>
              <w:t>Customer Engagement and Triangulation</w:t>
            </w:r>
          </w:p>
        </w:tc>
        <w:tc>
          <w:tcPr>
            <w:tcW w:w="1781" w:type="dxa"/>
          </w:tcPr>
          <w:p w:rsidR="00995ADC" w:rsidRPr="001E0DCD" w:rsidRDefault="00995ADC" w:rsidP="0024233B">
            <w:pPr>
              <w:tabs>
                <w:tab w:val="clear" w:pos="851"/>
              </w:tabs>
              <w:spacing w:after="0"/>
              <w:ind w:left="0"/>
              <w:jc w:val="left"/>
              <w:rPr>
                <w:rFonts w:cs="Arial"/>
                <w:sz w:val="16"/>
                <w:szCs w:val="16"/>
              </w:rPr>
            </w:pPr>
            <w:r>
              <w:rPr>
                <w:rFonts w:cs="Arial"/>
                <w:sz w:val="16"/>
                <w:szCs w:val="16"/>
              </w:rPr>
              <w:t>August 2018</w:t>
            </w:r>
          </w:p>
        </w:tc>
      </w:tr>
      <w:tr w:rsidR="00995ADC" w:rsidRPr="001E0DCD" w:rsidTr="0024233B">
        <w:trPr>
          <w:jc w:val="center"/>
        </w:trPr>
        <w:tc>
          <w:tcPr>
            <w:tcW w:w="1838" w:type="dxa"/>
          </w:tcPr>
          <w:p w:rsidR="00995ADC" w:rsidRDefault="00995ADC" w:rsidP="0024233B">
            <w:pPr>
              <w:tabs>
                <w:tab w:val="clear" w:pos="851"/>
              </w:tabs>
              <w:spacing w:after="0"/>
              <w:ind w:left="0"/>
              <w:jc w:val="left"/>
              <w:rPr>
                <w:rFonts w:cs="Arial"/>
                <w:sz w:val="16"/>
                <w:szCs w:val="16"/>
              </w:rPr>
            </w:pPr>
            <w:r>
              <w:rPr>
                <w:rFonts w:cs="Arial"/>
                <w:sz w:val="16"/>
                <w:szCs w:val="16"/>
              </w:rPr>
              <w:t>2.4</w:t>
            </w:r>
          </w:p>
        </w:tc>
        <w:tc>
          <w:tcPr>
            <w:tcW w:w="4173" w:type="dxa"/>
          </w:tcPr>
          <w:p w:rsidR="00995ADC" w:rsidRDefault="00995ADC" w:rsidP="0024233B">
            <w:pPr>
              <w:tabs>
                <w:tab w:val="clear" w:pos="851"/>
              </w:tabs>
              <w:spacing w:after="0"/>
              <w:ind w:left="0"/>
              <w:jc w:val="left"/>
              <w:rPr>
                <w:rFonts w:cs="Arial"/>
                <w:sz w:val="16"/>
                <w:szCs w:val="16"/>
              </w:rPr>
            </w:pPr>
            <w:r>
              <w:rPr>
                <w:rFonts w:cs="Arial"/>
                <w:sz w:val="16"/>
                <w:szCs w:val="16"/>
              </w:rPr>
              <w:t xml:space="preserve">Customer Advisory Panel 1 </w:t>
            </w:r>
          </w:p>
        </w:tc>
        <w:tc>
          <w:tcPr>
            <w:tcW w:w="1781" w:type="dxa"/>
          </w:tcPr>
          <w:p w:rsidR="00995ADC" w:rsidRDefault="00995ADC" w:rsidP="0024233B">
            <w:pPr>
              <w:tabs>
                <w:tab w:val="clear" w:pos="851"/>
              </w:tabs>
              <w:spacing w:after="0"/>
              <w:ind w:left="0"/>
              <w:jc w:val="left"/>
              <w:rPr>
                <w:rFonts w:cs="Arial"/>
                <w:sz w:val="16"/>
                <w:szCs w:val="16"/>
              </w:rPr>
            </w:pPr>
            <w:r>
              <w:rPr>
                <w:rFonts w:cs="Arial"/>
                <w:sz w:val="16"/>
                <w:szCs w:val="16"/>
              </w:rPr>
              <w:t>February 2017</w:t>
            </w:r>
          </w:p>
        </w:tc>
      </w:tr>
      <w:tr w:rsidR="00995ADC" w:rsidRPr="001E0DCD" w:rsidTr="0024233B">
        <w:trPr>
          <w:jc w:val="center"/>
        </w:trPr>
        <w:tc>
          <w:tcPr>
            <w:tcW w:w="1838" w:type="dxa"/>
          </w:tcPr>
          <w:p w:rsidR="00995ADC" w:rsidRDefault="00995ADC" w:rsidP="0024233B">
            <w:pPr>
              <w:tabs>
                <w:tab w:val="clear" w:pos="851"/>
              </w:tabs>
              <w:spacing w:after="0"/>
              <w:ind w:left="0"/>
              <w:jc w:val="left"/>
              <w:rPr>
                <w:rFonts w:cs="Arial"/>
                <w:sz w:val="16"/>
                <w:szCs w:val="16"/>
              </w:rPr>
            </w:pPr>
            <w:r>
              <w:rPr>
                <w:rFonts w:cs="Arial"/>
                <w:sz w:val="16"/>
                <w:szCs w:val="16"/>
              </w:rPr>
              <w:t>2.6</w:t>
            </w:r>
          </w:p>
        </w:tc>
        <w:tc>
          <w:tcPr>
            <w:tcW w:w="4173" w:type="dxa"/>
          </w:tcPr>
          <w:p w:rsidR="00995ADC" w:rsidRDefault="00995ADC" w:rsidP="0024233B">
            <w:pPr>
              <w:tabs>
                <w:tab w:val="clear" w:pos="851"/>
              </w:tabs>
              <w:spacing w:after="0"/>
              <w:ind w:left="0"/>
              <w:jc w:val="left"/>
              <w:rPr>
                <w:rFonts w:cs="Arial"/>
                <w:sz w:val="16"/>
                <w:szCs w:val="16"/>
              </w:rPr>
            </w:pPr>
            <w:r>
              <w:rPr>
                <w:rFonts w:cs="Arial"/>
                <w:sz w:val="16"/>
                <w:szCs w:val="16"/>
              </w:rPr>
              <w:t>Customer Advisory Panel 2</w:t>
            </w:r>
          </w:p>
        </w:tc>
        <w:tc>
          <w:tcPr>
            <w:tcW w:w="1781" w:type="dxa"/>
          </w:tcPr>
          <w:p w:rsidR="00995ADC" w:rsidRDefault="00995ADC" w:rsidP="0024233B">
            <w:pPr>
              <w:tabs>
                <w:tab w:val="clear" w:pos="851"/>
              </w:tabs>
              <w:spacing w:after="0"/>
              <w:ind w:left="0"/>
              <w:jc w:val="left"/>
              <w:rPr>
                <w:rFonts w:cs="Arial"/>
                <w:sz w:val="16"/>
                <w:szCs w:val="16"/>
              </w:rPr>
            </w:pPr>
            <w:r>
              <w:rPr>
                <w:rFonts w:cs="Arial"/>
                <w:sz w:val="16"/>
                <w:szCs w:val="16"/>
              </w:rPr>
              <w:t>April 2017</w:t>
            </w:r>
          </w:p>
        </w:tc>
      </w:tr>
      <w:tr w:rsidR="00995ADC" w:rsidRPr="001E0DCD" w:rsidTr="0024233B">
        <w:trPr>
          <w:jc w:val="center"/>
        </w:trPr>
        <w:tc>
          <w:tcPr>
            <w:tcW w:w="1838" w:type="dxa"/>
          </w:tcPr>
          <w:p w:rsidR="00995ADC" w:rsidRDefault="00995ADC" w:rsidP="0024233B">
            <w:pPr>
              <w:tabs>
                <w:tab w:val="clear" w:pos="851"/>
              </w:tabs>
              <w:spacing w:after="0"/>
              <w:ind w:left="0"/>
              <w:jc w:val="left"/>
              <w:rPr>
                <w:rFonts w:cs="Arial"/>
                <w:sz w:val="16"/>
                <w:szCs w:val="16"/>
              </w:rPr>
            </w:pPr>
            <w:r>
              <w:rPr>
                <w:rFonts w:cs="Arial"/>
                <w:sz w:val="16"/>
                <w:szCs w:val="16"/>
              </w:rPr>
              <w:t>2.7</w:t>
            </w:r>
          </w:p>
        </w:tc>
        <w:tc>
          <w:tcPr>
            <w:tcW w:w="4173" w:type="dxa"/>
          </w:tcPr>
          <w:p w:rsidR="00995ADC" w:rsidRDefault="00995ADC" w:rsidP="0024233B">
            <w:pPr>
              <w:tabs>
                <w:tab w:val="clear" w:pos="851"/>
              </w:tabs>
              <w:spacing w:after="0"/>
              <w:ind w:left="0"/>
              <w:jc w:val="left"/>
              <w:rPr>
                <w:rFonts w:cs="Arial"/>
                <w:sz w:val="16"/>
                <w:szCs w:val="16"/>
              </w:rPr>
            </w:pPr>
            <w:r>
              <w:rPr>
                <w:rFonts w:cs="Arial"/>
                <w:sz w:val="16"/>
                <w:szCs w:val="16"/>
              </w:rPr>
              <w:t>Customer Advisory Panel 3</w:t>
            </w:r>
          </w:p>
        </w:tc>
        <w:tc>
          <w:tcPr>
            <w:tcW w:w="1781" w:type="dxa"/>
          </w:tcPr>
          <w:p w:rsidR="00995ADC" w:rsidRDefault="00995ADC" w:rsidP="0024233B">
            <w:pPr>
              <w:tabs>
                <w:tab w:val="clear" w:pos="851"/>
              </w:tabs>
              <w:spacing w:after="0"/>
              <w:ind w:left="0"/>
              <w:jc w:val="left"/>
              <w:rPr>
                <w:rFonts w:cs="Arial"/>
                <w:sz w:val="16"/>
                <w:szCs w:val="16"/>
              </w:rPr>
            </w:pPr>
            <w:r>
              <w:rPr>
                <w:rFonts w:cs="Arial"/>
                <w:sz w:val="16"/>
                <w:szCs w:val="16"/>
              </w:rPr>
              <w:t>June 2017</w:t>
            </w:r>
          </w:p>
        </w:tc>
      </w:tr>
      <w:tr w:rsidR="00995ADC" w:rsidRPr="001E0DCD" w:rsidTr="0024233B">
        <w:trPr>
          <w:jc w:val="center"/>
        </w:trPr>
        <w:tc>
          <w:tcPr>
            <w:tcW w:w="1838" w:type="dxa"/>
          </w:tcPr>
          <w:p w:rsidR="00995ADC" w:rsidRDefault="00995ADC" w:rsidP="0024233B">
            <w:pPr>
              <w:tabs>
                <w:tab w:val="clear" w:pos="851"/>
              </w:tabs>
              <w:spacing w:after="0"/>
              <w:ind w:left="0"/>
              <w:jc w:val="left"/>
              <w:rPr>
                <w:rFonts w:cs="Arial"/>
                <w:sz w:val="16"/>
                <w:szCs w:val="16"/>
              </w:rPr>
            </w:pPr>
            <w:r>
              <w:rPr>
                <w:rFonts w:cs="Arial"/>
                <w:sz w:val="16"/>
                <w:szCs w:val="16"/>
              </w:rPr>
              <w:t>2.16</w:t>
            </w:r>
          </w:p>
        </w:tc>
        <w:tc>
          <w:tcPr>
            <w:tcW w:w="4173" w:type="dxa"/>
          </w:tcPr>
          <w:p w:rsidR="00995ADC" w:rsidRDefault="00995ADC" w:rsidP="0024233B">
            <w:pPr>
              <w:tabs>
                <w:tab w:val="clear" w:pos="851"/>
              </w:tabs>
              <w:spacing w:after="0"/>
              <w:ind w:left="0"/>
              <w:jc w:val="left"/>
              <w:rPr>
                <w:rFonts w:cs="Arial"/>
                <w:sz w:val="16"/>
                <w:szCs w:val="16"/>
              </w:rPr>
            </w:pPr>
            <w:r>
              <w:rPr>
                <w:rFonts w:cs="Arial"/>
                <w:sz w:val="16"/>
                <w:szCs w:val="16"/>
              </w:rPr>
              <w:t>Customer Advisory Panel 4</w:t>
            </w:r>
          </w:p>
        </w:tc>
        <w:tc>
          <w:tcPr>
            <w:tcW w:w="1781" w:type="dxa"/>
          </w:tcPr>
          <w:p w:rsidR="00995ADC" w:rsidRDefault="00995ADC" w:rsidP="0024233B">
            <w:pPr>
              <w:tabs>
                <w:tab w:val="clear" w:pos="851"/>
              </w:tabs>
              <w:spacing w:after="0"/>
              <w:ind w:left="0"/>
              <w:jc w:val="left"/>
              <w:rPr>
                <w:rFonts w:cs="Arial"/>
                <w:sz w:val="16"/>
                <w:szCs w:val="16"/>
              </w:rPr>
            </w:pPr>
            <w:r>
              <w:rPr>
                <w:rFonts w:cs="Arial"/>
                <w:sz w:val="16"/>
                <w:szCs w:val="16"/>
              </w:rPr>
              <w:t>March 2018</w:t>
            </w:r>
          </w:p>
        </w:tc>
      </w:tr>
      <w:tr w:rsidR="00995ADC" w:rsidRPr="001E0DCD" w:rsidTr="0024233B">
        <w:trPr>
          <w:jc w:val="center"/>
        </w:trPr>
        <w:tc>
          <w:tcPr>
            <w:tcW w:w="1838" w:type="dxa"/>
          </w:tcPr>
          <w:p w:rsidR="00995ADC" w:rsidRDefault="004B539E" w:rsidP="0024233B">
            <w:pPr>
              <w:tabs>
                <w:tab w:val="clear" w:pos="851"/>
              </w:tabs>
              <w:spacing w:after="0"/>
              <w:ind w:left="0"/>
              <w:jc w:val="left"/>
              <w:rPr>
                <w:rFonts w:cs="Arial"/>
                <w:sz w:val="16"/>
                <w:szCs w:val="16"/>
              </w:rPr>
            </w:pPr>
            <w:r>
              <w:rPr>
                <w:rFonts w:cs="Arial"/>
                <w:sz w:val="16"/>
                <w:szCs w:val="16"/>
              </w:rPr>
              <w:t>2.22</w:t>
            </w:r>
          </w:p>
        </w:tc>
        <w:tc>
          <w:tcPr>
            <w:tcW w:w="4173" w:type="dxa"/>
          </w:tcPr>
          <w:p w:rsidR="00995ADC" w:rsidRDefault="004B539E" w:rsidP="0024233B">
            <w:pPr>
              <w:tabs>
                <w:tab w:val="clear" w:pos="851"/>
              </w:tabs>
              <w:spacing w:after="0"/>
              <w:ind w:left="0"/>
              <w:jc w:val="left"/>
              <w:rPr>
                <w:rFonts w:cs="Arial"/>
                <w:sz w:val="16"/>
                <w:szCs w:val="16"/>
              </w:rPr>
            </w:pPr>
            <w:r>
              <w:rPr>
                <w:rFonts w:cs="Arial"/>
                <w:sz w:val="16"/>
                <w:szCs w:val="16"/>
              </w:rPr>
              <w:t>Customer Advisory Panel 5</w:t>
            </w:r>
          </w:p>
        </w:tc>
        <w:tc>
          <w:tcPr>
            <w:tcW w:w="1781" w:type="dxa"/>
          </w:tcPr>
          <w:p w:rsidR="00995ADC" w:rsidRDefault="004B539E" w:rsidP="0024233B">
            <w:pPr>
              <w:tabs>
                <w:tab w:val="clear" w:pos="851"/>
              </w:tabs>
              <w:spacing w:after="0"/>
              <w:ind w:left="0"/>
              <w:jc w:val="left"/>
              <w:rPr>
                <w:rFonts w:cs="Arial"/>
                <w:sz w:val="16"/>
                <w:szCs w:val="16"/>
              </w:rPr>
            </w:pPr>
            <w:r>
              <w:rPr>
                <w:rFonts w:cs="Arial"/>
                <w:sz w:val="16"/>
                <w:szCs w:val="16"/>
              </w:rPr>
              <w:t>May 2018</w:t>
            </w:r>
          </w:p>
        </w:tc>
      </w:tr>
      <w:tr w:rsidR="00995ADC" w:rsidRPr="001E0DCD" w:rsidTr="0024233B">
        <w:trPr>
          <w:jc w:val="center"/>
        </w:trPr>
        <w:tc>
          <w:tcPr>
            <w:tcW w:w="1838" w:type="dxa"/>
          </w:tcPr>
          <w:p w:rsidR="00995ADC" w:rsidRDefault="004B539E" w:rsidP="0024233B">
            <w:pPr>
              <w:tabs>
                <w:tab w:val="clear" w:pos="851"/>
              </w:tabs>
              <w:spacing w:after="0"/>
              <w:ind w:left="0"/>
              <w:jc w:val="left"/>
              <w:rPr>
                <w:rFonts w:cs="Arial"/>
                <w:sz w:val="16"/>
                <w:szCs w:val="16"/>
              </w:rPr>
            </w:pPr>
            <w:r>
              <w:rPr>
                <w:rFonts w:cs="Arial"/>
                <w:sz w:val="16"/>
                <w:szCs w:val="16"/>
              </w:rPr>
              <w:t>2.17</w:t>
            </w:r>
          </w:p>
        </w:tc>
        <w:tc>
          <w:tcPr>
            <w:tcW w:w="4173" w:type="dxa"/>
          </w:tcPr>
          <w:p w:rsidR="00995ADC" w:rsidRDefault="004B539E" w:rsidP="00B63614">
            <w:pPr>
              <w:tabs>
                <w:tab w:val="clear" w:pos="851"/>
              </w:tabs>
              <w:spacing w:after="0"/>
              <w:ind w:left="0"/>
              <w:jc w:val="left"/>
              <w:rPr>
                <w:rFonts w:cs="Arial"/>
                <w:sz w:val="16"/>
                <w:szCs w:val="16"/>
              </w:rPr>
            </w:pPr>
            <w:r>
              <w:rPr>
                <w:rFonts w:cs="Arial"/>
                <w:sz w:val="16"/>
                <w:szCs w:val="16"/>
              </w:rPr>
              <w:t xml:space="preserve">ICS PC </w:t>
            </w:r>
            <w:r w:rsidR="00B63614">
              <w:rPr>
                <w:rFonts w:cs="Arial"/>
                <w:sz w:val="16"/>
                <w:szCs w:val="16"/>
              </w:rPr>
              <w:t>and</w:t>
            </w:r>
            <w:r>
              <w:rPr>
                <w:rFonts w:cs="Arial"/>
                <w:sz w:val="16"/>
                <w:szCs w:val="16"/>
              </w:rPr>
              <w:t xml:space="preserve"> ODI Customer Survey Results</w:t>
            </w:r>
          </w:p>
        </w:tc>
        <w:tc>
          <w:tcPr>
            <w:tcW w:w="1781" w:type="dxa"/>
          </w:tcPr>
          <w:p w:rsidR="00995ADC" w:rsidRDefault="004B539E" w:rsidP="0024233B">
            <w:pPr>
              <w:tabs>
                <w:tab w:val="clear" w:pos="851"/>
              </w:tabs>
              <w:spacing w:after="0"/>
              <w:ind w:left="0"/>
              <w:jc w:val="left"/>
              <w:rPr>
                <w:rFonts w:cs="Arial"/>
                <w:sz w:val="16"/>
                <w:szCs w:val="16"/>
              </w:rPr>
            </w:pPr>
            <w:r>
              <w:rPr>
                <w:rFonts w:cs="Arial"/>
                <w:sz w:val="16"/>
                <w:szCs w:val="16"/>
              </w:rPr>
              <w:t>April 2018</w:t>
            </w:r>
          </w:p>
        </w:tc>
      </w:tr>
      <w:tr w:rsidR="00995ADC" w:rsidRPr="001E0DCD" w:rsidTr="0024233B">
        <w:trPr>
          <w:jc w:val="center"/>
        </w:trPr>
        <w:tc>
          <w:tcPr>
            <w:tcW w:w="1838" w:type="dxa"/>
          </w:tcPr>
          <w:p w:rsidR="00995ADC" w:rsidRDefault="004B539E" w:rsidP="0024233B">
            <w:pPr>
              <w:tabs>
                <w:tab w:val="clear" w:pos="851"/>
              </w:tabs>
              <w:spacing w:after="0"/>
              <w:ind w:left="0"/>
              <w:jc w:val="left"/>
              <w:rPr>
                <w:rFonts w:cs="Arial"/>
                <w:sz w:val="16"/>
                <w:szCs w:val="16"/>
              </w:rPr>
            </w:pPr>
            <w:r>
              <w:rPr>
                <w:rFonts w:cs="Arial"/>
                <w:sz w:val="16"/>
                <w:szCs w:val="16"/>
              </w:rPr>
              <w:t>2.24</w:t>
            </w:r>
          </w:p>
        </w:tc>
        <w:tc>
          <w:tcPr>
            <w:tcW w:w="4173" w:type="dxa"/>
          </w:tcPr>
          <w:p w:rsidR="00995ADC" w:rsidRDefault="004B539E" w:rsidP="0024233B">
            <w:pPr>
              <w:tabs>
                <w:tab w:val="clear" w:pos="851"/>
              </w:tabs>
              <w:spacing w:after="0"/>
              <w:ind w:left="0"/>
              <w:jc w:val="left"/>
              <w:rPr>
                <w:rFonts w:cs="Arial"/>
                <w:sz w:val="16"/>
                <w:szCs w:val="16"/>
              </w:rPr>
            </w:pPr>
            <w:r>
              <w:rPr>
                <w:rFonts w:cs="Arial"/>
                <w:sz w:val="16"/>
                <w:szCs w:val="16"/>
              </w:rPr>
              <w:t>ICS Quantitative Research – Performance Commitments and Stretched Targets</w:t>
            </w:r>
          </w:p>
        </w:tc>
        <w:tc>
          <w:tcPr>
            <w:tcW w:w="1781" w:type="dxa"/>
          </w:tcPr>
          <w:p w:rsidR="00995ADC" w:rsidRDefault="004B539E" w:rsidP="0024233B">
            <w:pPr>
              <w:tabs>
                <w:tab w:val="clear" w:pos="851"/>
              </w:tabs>
              <w:spacing w:after="0"/>
              <w:ind w:left="0"/>
              <w:jc w:val="left"/>
              <w:rPr>
                <w:rFonts w:cs="Arial"/>
                <w:sz w:val="16"/>
                <w:szCs w:val="16"/>
              </w:rPr>
            </w:pPr>
            <w:r>
              <w:rPr>
                <w:rFonts w:cs="Arial"/>
                <w:sz w:val="16"/>
                <w:szCs w:val="16"/>
              </w:rPr>
              <w:t>May 2018</w:t>
            </w:r>
          </w:p>
        </w:tc>
      </w:tr>
      <w:tr w:rsidR="00995ADC" w:rsidRPr="001E0DCD" w:rsidTr="0024233B">
        <w:trPr>
          <w:jc w:val="center"/>
        </w:trPr>
        <w:tc>
          <w:tcPr>
            <w:tcW w:w="1838" w:type="dxa"/>
          </w:tcPr>
          <w:p w:rsidR="00995ADC" w:rsidRDefault="004B539E" w:rsidP="0024233B">
            <w:pPr>
              <w:tabs>
                <w:tab w:val="clear" w:pos="851"/>
              </w:tabs>
              <w:spacing w:after="0"/>
              <w:ind w:left="0"/>
              <w:jc w:val="left"/>
              <w:rPr>
                <w:rFonts w:cs="Arial"/>
                <w:sz w:val="16"/>
                <w:szCs w:val="16"/>
              </w:rPr>
            </w:pPr>
            <w:r>
              <w:rPr>
                <w:rFonts w:cs="Arial"/>
                <w:sz w:val="16"/>
                <w:szCs w:val="16"/>
              </w:rPr>
              <w:t>2.11</w:t>
            </w:r>
          </w:p>
        </w:tc>
        <w:tc>
          <w:tcPr>
            <w:tcW w:w="4173" w:type="dxa"/>
          </w:tcPr>
          <w:p w:rsidR="00995ADC" w:rsidRDefault="004B539E" w:rsidP="0024233B">
            <w:pPr>
              <w:tabs>
                <w:tab w:val="clear" w:pos="851"/>
              </w:tabs>
              <w:spacing w:after="0"/>
              <w:ind w:left="0"/>
              <w:jc w:val="left"/>
              <w:rPr>
                <w:rFonts w:cs="Arial"/>
                <w:sz w:val="16"/>
                <w:szCs w:val="16"/>
              </w:rPr>
            </w:pPr>
            <w:r>
              <w:rPr>
                <w:rFonts w:cs="Arial"/>
                <w:sz w:val="16"/>
                <w:szCs w:val="16"/>
              </w:rPr>
              <w:t>Student Customer Survey Report</w:t>
            </w:r>
          </w:p>
        </w:tc>
        <w:tc>
          <w:tcPr>
            <w:tcW w:w="1781" w:type="dxa"/>
          </w:tcPr>
          <w:p w:rsidR="00995ADC" w:rsidRDefault="004B539E" w:rsidP="0024233B">
            <w:pPr>
              <w:tabs>
                <w:tab w:val="clear" w:pos="851"/>
              </w:tabs>
              <w:spacing w:after="0"/>
              <w:ind w:left="0"/>
              <w:jc w:val="left"/>
              <w:rPr>
                <w:rFonts w:cs="Arial"/>
                <w:sz w:val="16"/>
                <w:szCs w:val="16"/>
              </w:rPr>
            </w:pPr>
            <w:r>
              <w:rPr>
                <w:rFonts w:cs="Arial"/>
                <w:sz w:val="16"/>
                <w:szCs w:val="16"/>
              </w:rPr>
              <w:t>October 2017</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2.15</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Interruptions to supply survey 2</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March 2018</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2.18</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Interruptions to supply survey 1</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April 2018</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2.25</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Low water pressure</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July 2018</w:t>
            </w:r>
          </w:p>
        </w:tc>
      </w:tr>
      <w:tr w:rsidR="00943564" w:rsidRPr="001E0DCD" w:rsidTr="0024233B">
        <w:trPr>
          <w:jc w:val="center"/>
        </w:trPr>
        <w:tc>
          <w:tcPr>
            <w:tcW w:w="1838" w:type="dxa"/>
          </w:tcPr>
          <w:p w:rsidR="00943564" w:rsidRDefault="00943564" w:rsidP="0024233B">
            <w:pPr>
              <w:tabs>
                <w:tab w:val="clear" w:pos="851"/>
              </w:tabs>
              <w:spacing w:after="0"/>
              <w:ind w:left="0"/>
              <w:jc w:val="left"/>
              <w:rPr>
                <w:rFonts w:cs="Arial"/>
                <w:sz w:val="16"/>
                <w:szCs w:val="16"/>
              </w:rPr>
            </w:pPr>
            <w:r>
              <w:rPr>
                <w:rFonts w:cs="Arial"/>
                <w:sz w:val="16"/>
                <w:szCs w:val="16"/>
              </w:rPr>
              <w:t>3.3</w:t>
            </w:r>
          </w:p>
        </w:tc>
        <w:tc>
          <w:tcPr>
            <w:tcW w:w="4173" w:type="dxa"/>
          </w:tcPr>
          <w:p w:rsidR="00943564" w:rsidRDefault="00943564" w:rsidP="0024233B">
            <w:pPr>
              <w:tabs>
                <w:tab w:val="clear" w:pos="851"/>
              </w:tabs>
              <w:spacing w:after="0"/>
              <w:ind w:left="0"/>
              <w:jc w:val="left"/>
              <w:rPr>
                <w:rFonts w:cs="Arial"/>
                <w:sz w:val="16"/>
                <w:szCs w:val="16"/>
              </w:rPr>
            </w:pPr>
            <w:r>
              <w:rPr>
                <w:rFonts w:cs="Arial"/>
                <w:sz w:val="16"/>
                <w:szCs w:val="16"/>
              </w:rPr>
              <w:t>Long term planning for the quality of drinking water supplies</w:t>
            </w:r>
          </w:p>
        </w:tc>
        <w:tc>
          <w:tcPr>
            <w:tcW w:w="1781" w:type="dxa"/>
          </w:tcPr>
          <w:p w:rsidR="00943564" w:rsidRDefault="00BA1427" w:rsidP="0024233B">
            <w:pPr>
              <w:tabs>
                <w:tab w:val="clear" w:pos="851"/>
              </w:tabs>
              <w:spacing w:after="0"/>
              <w:ind w:left="0"/>
              <w:jc w:val="left"/>
              <w:rPr>
                <w:rFonts w:cs="Arial"/>
                <w:sz w:val="16"/>
                <w:szCs w:val="16"/>
              </w:rPr>
            </w:pPr>
            <w:r>
              <w:rPr>
                <w:rFonts w:cs="Arial"/>
                <w:sz w:val="16"/>
                <w:szCs w:val="16"/>
              </w:rPr>
              <w:t>April 2018</w:t>
            </w:r>
          </w:p>
        </w:tc>
      </w:tr>
      <w:tr w:rsidR="006D50A2" w:rsidRPr="001E0DCD" w:rsidTr="0024233B">
        <w:trPr>
          <w:jc w:val="center"/>
        </w:trPr>
        <w:tc>
          <w:tcPr>
            <w:tcW w:w="1838" w:type="dxa"/>
          </w:tcPr>
          <w:p w:rsidR="006D50A2" w:rsidRDefault="006D50A2" w:rsidP="0024233B">
            <w:pPr>
              <w:tabs>
                <w:tab w:val="clear" w:pos="851"/>
              </w:tabs>
              <w:spacing w:after="0"/>
              <w:ind w:left="0"/>
              <w:jc w:val="left"/>
              <w:rPr>
                <w:rFonts w:cs="Arial"/>
                <w:sz w:val="16"/>
                <w:szCs w:val="16"/>
              </w:rPr>
            </w:pPr>
            <w:r>
              <w:rPr>
                <w:rFonts w:cs="Arial"/>
                <w:sz w:val="16"/>
                <w:szCs w:val="16"/>
              </w:rPr>
              <w:t>9.5.7</w:t>
            </w:r>
          </w:p>
        </w:tc>
        <w:tc>
          <w:tcPr>
            <w:tcW w:w="4173" w:type="dxa"/>
          </w:tcPr>
          <w:p w:rsidR="006D50A2" w:rsidRDefault="006D50A2" w:rsidP="0024233B">
            <w:pPr>
              <w:tabs>
                <w:tab w:val="clear" w:pos="851"/>
              </w:tabs>
              <w:spacing w:after="0"/>
              <w:ind w:left="0"/>
              <w:jc w:val="left"/>
              <w:rPr>
                <w:rFonts w:cs="Arial"/>
                <w:sz w:val="16"/>
                <w:szCs w:val="16"/>
              </w:rPr>
            </w:pPr>
            <w:r>
              <w:rPr>
                <w:rFonts w:cs="Arial"/>
                <w:sz w:val="16"/>
                <w:szCs w:val="16"/>
              </w:rPr>
              <w:t>AMP 7-PPA-1102-Resilience Schemes</w:t>
            </w:r>
          </w:p>
        </w:tc>
        <w:tc>
          <w:tcPr>
            <w:tcW w:w="1781" w:type="dxa"/>
          </w:tcPr>
          <w:p w:rsidR="006D50A2" w:rsidRDefault="00C77FE8" w:rsidP="0024233B">
            <w:pPr>
              <w:tabs>
                <w:tab w:val="clear" w:pos="851"/>
              </w:tabs>
              <w:spacing w:after="0"/>
              <w:ind w:left="0"/>
              <w:jc w:val="left"/>
              <w:rPr>
                <w:rFonts w:cs="Arial"/>
                <w:sz w:val="16"/>
                <w:szCs w:val="16"/>
              </w:rPr>
            </w:pPr>
            <w:r>
              <w:rPr>
                <w:rFonts w:cs="Arial"/>
                <w:sz w:val="16"/>
                <w:szCs w:val="16"/>
              </w:rPr>
              <w:t>April 2018</w:t>
            </w:r>
          </w:p>
        </w:tc>
      </w:tr>
      <w:tr w:rsidR="006D50A2" w:rsidRPr="001E0DCD" w:rsidTr="0024233B">
        <w:trPr>
          <w:jc w:val="center"/>
        </w:trPr>
        <w:tc>
          <w:tcPr>
            <w:tcW w:w="1838" w:type="dxa"/>
          </w:tcPr>
          <w:p w:rsidR="006D50A2" w:rsidRDefault="006D50A2" w:rsidP="0024233B">
            <w:pPr>
              <w:tabs>
                <w:tab w:val="clear" w:pos="851"/>
              </w:tabs>
              <w:spacing w:after="0"/>
              <w:ind w:left="0"/>
              <w:jc w:val="left"/>
              <w:rPr>
                <w:rFonts w:cs="Arial"/>
                <w:sz w:val="16"/>
                <w:szCs w:val="16"/>
              </w:rPr>
            </w:pPr>
            <w:r>
              <w:rPr>
                <w:rFonts w:cs="Arial"/>
                <w:sz w:val="16"/>
                <w:szCs w:val="16"/>
              </w:rPr>
              <w:t>9.2.2</w:t>
            </w:r>
          </w:p>
        </w:tc>
        <w:tc>
          <w:tcPr>
            <w:tcW w:w="4173" w:type="dxa"/>
          </w:tcPr>
          <w:p w:rsidR="006D50A2" w:rsidRDefault="006D50A2" w:rsidP="0024233B">
            <w:pPr>
              <w:tabs>
                <w:tab w:val="clear" w:pos="851"/>
              </w:tabs>
              <w:spacing w:after="0"/>
              <w:ind w:left="0"/>
              <w:jc w:val="left"/>
              <w:rPr>
                <w:rFonts w:cs="Arial"/>
                <w:sz w:val="16"/>
                <w:szCs w:val="16"/>
              </w:rPr>
            </w:pPr>
            <w:r>
              <w:rPr>
                <w:rFonts w:cs="Arial"/>
                <w:sz w:val="16"/>
                <w:szCs w:val="16"/>
              </w:rPr>
              <w:t>AMP7-PPA-0401-Mains Renewals</w:t>
            </w:r>
          </w:p>
        </w:tc>
        <w:tc>
          <w:tcPr>
            <w:tcW w:w="1781" w:type="dxa"/>
          </w:tcPr>
          <w:p w:rsidR="006D50A2" w:rsidRDefault="003532AC" w:rsidP="0024233B">
            <w:pPr>
              <w:tabs>
                <w:tab w:val="clear" w:pos="851"/>
              </w:tabs>
              <w:spacing w:after="0"/>
              <w:ind w:left="0"/>
              <w:jc w:val="left"/>
              <w:rPr>
                <w:rFonts w:cs="Arial"/>
                <w:sz w:val="16"/>
                <w:szCs w:val="16"/>
              </w:rPr>
            </w:pPr>
            <w:r>
              <w:rPr>
                <w:rFonts w:cs="Arial"/>
                <w:sz w:val="16"/>
                <w:szCs w:val="16"/>
              </w:rPr>
              <w:t>June 2018</w:t>
            </w:r>
          </w:p>
        </w:tc>
      </w:tr>
      <w:tr w:rsidR="006D50A2" w:rsidRPr="001E0DCD" w:rsidTr="0024233B">
        <w:trPr>
          <w:jc w:val="center"/>
        </w:trPr>
        <w:tc>
          <w:tcPr>
            <w:tcW w:w="1838" w:type="dxa"/>
          </w:tcPr>
          <w:p w:rsidR="006D50A2" w:rsidRDefault="006D50A2" w:rsidP="0024233B">
            <w:pPr>
              <w:tabs>
                <w:tab w:val="clear" w:pos="851"/>
              </w:tabs>
              <w:spacing w:after="0"/>
              <w:ind w:left="0"/>
              <w:jc w:val="left"/>
              <w:rPr>
                <w:rFonts w:cs="Arial"/>
                <w:sz w:val="16"/>
                <w:szCs w:val="16"/>
              </w:rPr>
            </w:pPr>
            <w:r>
              <w:rPr>
                <w:rFonts w:cs="Arial"/>
                <w:sz w:val="16"/>
                <w:szCs w:val="16"/>
              </w:rPr>
              <w:t>9.8.4.1</w:t>
            </w:r>
          </w:p>
        </w:tc>
        <w:tc>
          <w:tcPr>
            <w:tcW w:w="4173" w:type="dxa"/>
          </w:tcPr>
          <w:p w:rsidR="006D50A2" w:rsidRDefault="006D50A2" w:rsidP="0024233B">
            <w:pPr>
              <w:tabs>
                <w:tab w:val="clear" w:pos="851"/>
              </w:tabs>
              <w:spacing w:after="0"/>
              <w:ind w:left="0"/>
              <w:jc w:val="left"/>
              <w:rPr>
                <w:rFonts w:cs="Arial"/>
                <w:sz w:val="16"/>
                <w:szCs w:val="16"/>
              </w:rPr>
            </w:pPr>
            <w:r>
              <w:rPr>
                <w:rFonts w:cs="Arial"/>
                <w:sz w:val="16"/>
                <w:szCs w:val="16"/>
              </w:rPr>
              <w:t>AMP7-Servalec Miser Resilience Modelling</w:t>
            </w:r>
          </w:p>
        </w:tc>
        <w:tc>
          <w:tcPr>
            <w:tcW w:w="1781" w:type="dxa"/>
          </w:tcPr>
          <w:p w:rsidR="006D50A2" w:rsidRDefault="003532AC" w:rsidP="0024233B">
            <w:pPr>
              <w:tabs>
                <w:tab w:val="clear" w:pos="851"/>
              </w:tabs>
              <w:spacing w:after="0"/>
              <w:ind w:left="0"/>
              <w:jc w:val="left"/>
              <w:rPr>
                <w:rFonts w:cs="Arial"/>
                <w:sz w:val="16"/>
                <w:szCs w:val="16"/>
              </w:rPr>
            </w:pPr>
            <w:r>
              <w:rPr>
                <w:rFonts w:cs="Arial"/>
                <w:sz w:val="16"/>
                <w:szCs w:val="16"/>
              </w:rPr>
              <w:t>September 2017</w:t>
            </w:r>
          </w:p>
        </w:tc>
      </w:tr>
      <w:tr w:rsidR="006D50A2" w:rsidRPr="001E0DCD" w:rsidTr="0024233B">
        <w:trPr>
          <w:jc w:val="center"/>
        </w:trPr>
        <w:tc>
          <w:tcPr>
            <w:tcW w:w="1838" w:type="dxa"/>
          </w:tcPr>
          <w:p w:rsidR="006D50A2" w:rsidRDefault="006D50A2" w:rsidP="0024233B">
            <w:pPr>
              <w:tabs>
                <w:tab w:val="clear" w:pos="851"/>
              </w:tabs>
              <w:spacing w:after="0"/>
              <w:ind w:left="0"/>
              <w:jc w:val="left"/>
              <w:rPr>
                <w:rFonts w:cs="Arial"/>
                <w:sz w:val="16"/>
                <w:szCs w:val="16"/>
              </w:rPr>
            </w:pPr>
            <w:r>
              <w:rPr>
                <w:rFonts w:cs="Arial"/>
                <w:sz w:val="16"/>
                <w:szCs w:val="16"/>
              </w:rPr>
              <w:t>9.8.5.1</w:t>
            </w:r>
          </w:p>
        </w:tc>
        <w:tc>
          <w:tcPr>
            <w:tcW w:w="4173" w:type="dxa"/>
          </w:tcPr>
          <w:p w:rsidR="006D50A2" w:rsidRDefault="006D50A2" w:rsidP="0024233B">
            <w:pPr>
              <w:tabs>
                <w:tab w:val="clear" w:pos="851"/>
              </w:tabs>
              <w:spacing w:after="0"/>
              <w:ind w:left="0"/>
              <w:jc w:val="left"/>
              <w:rPr>
                <w:rFonts w:cs="Arial"/>
                <w:sz w:val="16"/>
                <w:szCs w:val="16"/>
              </w:rPr>
            </w:pPr>
            <w:r>
              <w:rPr>
                <w:rFonts w:cs="Arial"/>
                <w:sz w:val="16"/>
                <w:szCs w:val="16"/>
              </w:rPr>
              <w:t>AMP7-</w:t>
            </w:r>
            <w:r w:rsidR="00521760">
              <w:rPr>
                <w:rFonts w:cs="Arial"/>
                <w:sz w:val="16"/>
                <w:szCs w:val="16"/>
              </w:rPr>
              <w:t>WRc</w:t>
            </w:r>
            <w:r>
              <w:rPr>
                <w:rFonts w:cs="Arial"/>
                <w:sz w:val="16"/>
                <w:szCs w:val="16"/>
              </w:rPr>
              <w:t xml:space="preserve"> Infrastructure Renewals Modelling</w:t>
            </w:r>
          </w:p>
        </w:tc>
        <w:tc>
          <w:tcPr>
            <w:tcW w:w="1781" w:type="dxa"/>
          </w:tcPr>
          <w:p w:rsidR="006D50A2" w:rsidRDefault="003532AC" w:rsidP="0024233B">
            <w:pPr>
              <w:tabs>
                <w:tab w:val="clear" w:pos="851"/>
              </w:tabs>
              <w:spacing w:after="0"/>
              <w:ind w:left="0"/>
              <w:jc w:val="left"/>
              <w:rPr>
                <w:rFonts w:cs="Arial"/>
                <w:sz w:val="16"/>
                <w:szCs w:val="16"/>
              </w:rPr>
            </w:pPr>
            <w:r>
              <w:rPr>
                <w:rFonts w:cs="Arial"/>
                <w:sz w:val="16"/>
                <w:szCs w:val="16"/>
              </w:rPr>
              <w:t>November 2017</w:t>
            </w:r>
          </w:p>
        </w:tc>
      </w:tr>
      <w:tr w:rsidR="006D50A2" w:rsidRPr="001E0DCD" w:rsidTr="0024233B">
        <w:trPr>
          <w:jc w:val="center"/>
        </w:trPr>
        <w:tc>
          <w:tcPr>
            <w:tcW w:w="1838" w:type="dxa"/>
          </w:tcPr>
          <w:p w:rsidR="006D50A2" w:rsidRDefault="006D50A2" w:rsidP="0024233B">
            <w:pPr>
              <w:tabs>
                <w:tab w:val="clear" w:pos="851"/>
              </w:tabs>
              <w:spacing w:after="0"/>
              <w:ind w:left="0"/>
              <w:jc w:val="left"/>
              <w:rPr>
                <w:rFonts w:cs="Arial"/>
                <w:sz w:val="16"/>
                <w:szCs w:val="16"/>
              </w:rPr>
            </w:pPr>
            <w:r>
              <w:rPr>
                <w:rFonts w:cs="Arial"/>
                <w:sz w:val="16"/>
                <w:szCs w:val="16"/>
              </w:rPr>
              <w:t>9.9.2</w:t>
            </w:r>
            <w:r w:rsidR="002145BB">
              <w:rPr>
                <w:rFonts w:cs="Arial"/>
                <w:sz w:val="16"/>
                <w:szCs w:val="16"/>
              </w:rPr>
              <w:t>.</w:t>
            </w:r>
            <w:r>
              <w:rPr>
                <w:rFonts w:cs="Arial"/>
                <w:sz w:val="16"/>
                <w:szCs w:val="16"/>
              </w:rPr>
              <w:t>3</w:t>
            </w:r>
          </w:p>
        </w:tc>
        <w:tc>
          <w:tcPr>
            <w:tcW w:w="4173" w:type="dxa"/>
          </w:tcPr>
          <w:p w:rsidR="006D50A2" w:rsidRDefault="006D50A2" w:rsidP="0024233B">
            <w:pPr>
              <w:tabs>
                <w:tab w:val="clear" w:pos="851"/>
              </w:tabs>
              <w:spacing w:after="0"/>
              <w:ind w:left="0"/>
              <w:jc w:val="left"/>
              <w:rPr>
                <w:rFonts w:cs="Arial"/>
                <w:sz w:val="16"/>
                <w:szCs w:val="16"/>
              </w:rPr>
            </w:pPr>
            <w:r>
              <w:rPr>
                <w:rFonts w:cs="Arial"/>
                <w:sz w:val="16"/>
                <w:szCs w:val="16"/>
              </w:rPr>
              <w:t>AMP7-TDS-S795-12 Mains Renewal Selection Strategy</w:t>
            </w:r>
          </w:p>
        </w:tc>
        <w:tc>
          <w:tcPr>
            <w:tcW w:w="1781" w:type="dxa"/>
          </w:tcPr>
          <w:p w:rsidR="006D50A2" w:rsidRDefault="003532AC" w:rsidP="0024233B">
            <w:pPr>
              <w:tabs>
                <w:tab w:val="clear" w:pos="851"/>
              </w:tabs>
              <w:spacing w:after="0"/>
              <w:ind w:left="0"/>
              <w:jc w:val="left"/>
              <w:rPr>
                <w:rFonts w:cs="Arial"/>
                <w:sz w:val="16"/>
                <w:szCs w:val="16"/>
              </w:rPr>
            </w:pPr>
            <w:r>
              <w:rPr>
                <w:rFonts w:cs="Arial"/>
                <w:sz w:val="16"/>
                <w:szCs w:val="16"/>
              </w:rPr>
              <w:t>August 2018</w:t>
            </w:r>
          </w:p>
        </w:tc>
      </w:tr>
      <w:tr w:rsidR="006D50A2" w:rsidRPr="001E0DCD" w:rsidTr="0024233B">
        <w:trPr>
          <w:jc w:val="center"/>
        </w:trPr>
        <w:tc>
          <w:tcPr>
            <w:tcW w:w="1838" w:type="dxa"/>
          </w:tcPr>
          <w:p w:rsidR="006D50A2" w:rsidRDefault="006D50A2" w:rsidP="0024233B">
            <w:pPr>
              <w:tabs>
                <w:tab w:val="clear" w:pos="851"/>
              </w:tabs>
              <w:spacing w:after="0"/>
              <w:ind w:left="0"/>
              <w:jc w:val="left"/>
              <w:rPr>
                <w:rFonts w:cs="Arial"/>
                <w:sz w:val="16"/>
                <w:szCs w:val="16"/>
              </w:rPr>
            </w:pPr>
            <w:r>
              <w:rPr>
                <w:rFonts w:cs="Arial"/>
                <w:sz w:val="16"/>
                <w:szCs w:val="16"/>
              </w:rPr>
              <w:t>9.9.2</w:t>
            </w:r>
            <w:r w:rsidR="002145BB">
              <w:rPr>
                <w:rFonts w:cs="Arial"/>
                <w:sz w:val="16"/>
                <w:szCs w:val="16"/>
              </w:rPr>
              <w:t>.</w:t>
            </w:r>
            <w:r>
              <w:rPr>
                <w:rFonts w:cs="Arial"/>
                <w:sz w:val="16"/>
                <w:szCs w:val="16"/>
              </w:rPr>
              <w:t>2</w:t>
            </w:r>
          </w:p>
        </w:tc>
        <w:tc>
          <w:tcPr>
            <w:tcW w:w="4173" w:type="dxa"/>
          </w:tcPr>
          <w:p w:rsidR="006D50A2" w:rsidRDefault="006D50A2" w:rsidP="006D50A2">
            <w:pPr>
              <w:tabs>
                <w:tab w:val="clear" w:pos="851"/>
              </w:tabs>
              <w:spacing w:after="0"/>
              <w:ind w:left="0"/>
              <w:jc w:val="left"/>
              <w:rPr>
                <w:rFonts w:cs="Arial"/>
                <w:sz w:val="16"/>
                <w:szCs w:val="16"/>
              </w:rPr>
            </w:pPr>
            <w:r>
              <w:rPr>
                <w:rFonts w:cs="Arial"/>
                <w:sz w:val="16"/>
                <w:szCs w:val="16"/>
              </w:rPr>
              <w:t>AMP7-TDS-S795-10 Miser Criticality Modelling</w:t>
            </w:r>
          </w:p>
        </w:tc>
        <w:tc>
          <w:tcPr>
            <w:tcW w:w="1781" w:type="dxa"/>
          </w:tcPr>
          <w:p w:rsidR="006D50A2" w:rsidRDefault="003532AC" w:rsidP="0024233B">
            <w:pPr>
              <w:tabs>
                <w:tab w:val="clear" w:pos="851"/>
              </w:tabs>
              <w:spacing w:after="0"/>
              <w:ind w:left="0"/>
              <w:jc w:val="left"/>
              <w:rPr>
                <w:rFonts w:cs="Arial"/>
                <w:sz w:val="16"/>
                <w:szCs w:val="16"/>
              </w:rPr>
            </w:pPr>
            <w:r>
              <w:rPr>
                <w:rFonts w:cs="Arial"/>
                <w:sz w:val="16"/>
                <w:szCs w:val="16"/>
              </w:rPr>
              <w:t>June 2017</w:t>
            </w:r>
          </w:p>
        </w:tc>
      </w:tr>
    </w:tbl>
    <w:p w:rsidR="00995ADC" w:rsidRDefault="00995ADC" w:rsidP="00777C75"/>
    <w:p w:rsidR="00934560" w:rsidRDefault="00934560">
      <w:pPr>
        <w:tabs>
          <w:tab w:val="clear" w:pos="851"/>
        </w:tabs>
        <w:spacing w:after="0"/>
        <w:ind w:left="0"/>
        <w:jc w:val="left"/>
      </w:pPr>
      <w:r>
        <w:br w:type="page"/>
      </w:r>
    </w:p>
    <w:p w:rsidR="009561C0" w:rsidRDefault="00A73A0F" w:rsidP="001523F8">
      <w:pPr>
        <w:pStyle w:val="Heading2"/>
      </w:pPr>
      <w:bookmarkStart w:id="47" w:name="_Toc522199977"/>
      <w:bookmarkStart w:id="48" w:name="_Toc522200074"/>
      <w:bookmarkStart w:id="49" w:name="_Toc523651254"/>
      <w:r>
        <w:t>Long Term Resilience of supplies for our customers and to support the South East Region</w:t>
      </w:r>
      <w:bookmarkEnd w:id="47"/>
      <w:bookmarkEnd w:id="48"/>
      <w:bookmarkEnd w:id="49"/>
    </w:p>
    <w:p w:rsidR="00A60187" w:rsidRPr="00A60187" w:rsidRDefault="00A60187" w:rsidP="00A60187">
      <w:r>
        <w:t xml:space="preserve">This section explains our </w:t>
      </w:r>
      <w:r w:rsidR="00A11EF3">
        <w:t>O</w:t>
      </w:r>
      <w:r>
        <w:t xml:space="preserve">utcome ‘Long Term Resilience of Supplies for our customers and to support the South East Region’.  We start with a summary table of the Performance Indicators that underpin it, explain the customer insight that has shaped this </w:t>
      </w:r>
      <w:r w:rsidR="00A11EF3">
        <w:t>O</w:t>
      </w:r>
      <w:r>
        <w:t>utcome and then explain each Performance Commitment in detail.  At the end of the section we consider how our actions next AMP will impact on our longer term resilience.</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7C5AC6" w:rsidRPr="008809A2" w:rsidTr="00B63614">
        <w:tc>
          <w:tcPr>
            <w:tcW w:w="2405" w:type="dxa"/>
            <w:shd w:val="clear" w:color="auto" w:fill="2E74B5" w:themeFill="accent1" w:themeFillShade="BF"/>
          </w:tcPr>
          <w:p w:rsidR="007C5AC6" w:rsidRPr="008809A2" w:rsidRDefault="007C5AC6" w:rsidP="007C5AC6">
            <w:pPr>
              <w:spacing w:after="0"/>
              <w:ind w:left="0"/>
              <w:rPr>
                <w:sz w:val="16"/>
                <w:szCs w:val="16"/>
              </w:rPr>
            </w:pPr>
            <w:r w:rsidRPr="008809A2">
              <w:rPr>
                <w:b/>
                <w:bCs/>
                <w:color w:val="FFFFFF" w:themeColor="background1"/>
                <w:sz w:val="16"/>
                <w:szCs w:val="16"/>
              </w:rPr>
              <w:t>Performance Commitment</w:t>
            </w:r>
          </w:p>
        </w:tc>
        <w:tc>
          <w:tcPr>
            <w:tcW w:w="708" w:type="dxa"/>
            <w:shd w:val="clear" w:color="auto" w:fill="2E74B5" w:themeFill="accent1" w:themeFillShade="BF"/>
          </w:tcPr>
          <w:p w:rsidR="007C5AC6" w:rsidRPr="008809A2" w:rsidRDefault="007C5AC6" w:rsidP="007C5AC6">
            <w:pPr>
              <w:spacing w:before="20" w:after="20"/>
              <w:ind w:left="0"/>
              <w:jc w:val="center"/>
              <w:rPr>
                <w:b/>
                <w:bCs/>
                <w:color w:val="FFFFFF" w:themeColor="background1"/>
                <w:sz w:val="16"/>
                <w:szCs w:val="16"/>
              </w:rPr>
            </w:pPr>
            <w:r w:rsidRPr="008809A2">
              <w:rPr>
                <w:b/>
                <w:bCs/>
                <w:color w:val="FFFFFF" w:themeColor="background1"/>
                <w:sz w:val="16"/>
                <w:szCs w:val="16"/>
              </w:rPr>
              <w:t>Type</w:t>
            </w:r>
          </w:p>
        </w:tc>
        <w:tc>
          <w:tcPr>
            <w:tcW w:w="1512" w:type="dxa"/>
            <w:shd w:val="clear" w:color="auto" w:fill="2E74B5" w:themeFill="accent1" w:themeFillShade="BF"/>
          </w:tcPr>
          <w:p w:rsidR="007C5AC6" w:rsidRPr="008809A2" w:rsidRDefault="007C5AC6" w:rsidP="007C5AC6">
            <w:pPr>
              <w:spacing w:after="0"/>
              <w:ind w:left="0"/>
              <w:rPr>
                <w:b/>
                <w:color w:val="FFFFFF" w:themeColor="background1"/>
                <w:sz w:val="16"/>
                <w:szCs w:val="16"/>
              </w:rPr>
            </w:pPr>
            <w:r w:rsidRPr="008809A2">
              <w:rPr>
                <w:b/>
                <w:color w:val="FFFFFF" w:themeColor="background1"/>
                <w:sz w:val="16"/>
                <w:szCs w:val="16"/>
              </w:rPr>
              <w:t>AMP6 Performance</w:t>
            </w:r>
          </w:p>
        </w:tc>
        <w:tc>
          <w:tcPr>
            <w:tcW w:w="1654" w:type="dxa"/>
            <w:shd w:val="clear" w:color="auto" w:fill="2E74B5" w:themeFill="accent1" w:themeFillShade="BF"/>
          </w:tcPr>
          <w:p w:rsidR="007C5AC6" w:rsidRPr="008809A2" w:rsidRDefault="007C5AC6" w:rsidP="007C5AC6">
            <w:pPr>
              <w:spacing w:after="0"/>
              <w:ind w:left="0"/>
              <w:rPr>
                <w:b/>
                <w:color w:val="FFFFFF" w:themeColor="background1"/>
                <w:sz w:val="16"/>
                <w:szCs w:val="16"/>
              </w:rPr>
            </w:pPr>
            <w:r w:rsidRPr="008809A2">
              <w:rPr>
                <w:b/>
                <w:color w:val="FFFFFF" w:themeColor="background1"/>
                <w:sz w:val="16"/>
                <w:szCs w:val="16"/>
              </w:rPr>
              <w:t>2024/25 Target</w:t>
            </w:r>
          </w:p>
        </w:tc>
        <w:tc>
          <w:tcPr>
            <w:tcW w:w="1654" w:type="dxa"/>
            <w:shd w:val="clear" w:color="auto" w:fill="2E74B5" w:themeFill="accent1" w:themeFillShade="BF"/>
          </w:tcPr>
          <w:p w:rsidR="007C5AC6" w:rsidRPr="008809A2" w:rsidRDefault="007C5AC6" w:rsidP="007C5AC6">
            <w:pPr>
              <w:spacing w:after="0"/>
              <w:ind w:left="0"/>
              <w:rPr>
                <w:b/>
                <w:color w:val="FFFFFF" w:themeColor="background1"/>
                <w:sz w:val="16"/>
                <w:szCs w:val="16"/>
              </w:rPr>
            </w:pPr>
            <w:r w:rsidRPr="008809A2">
              <w:rPr>
                <w:b/>
                <w:color w:val="FFFFFF" w:themeColor="background1"/>
                <w:sz w:val="16"/>
                <w:szCs w:val="16"/>
              </w:rPr>
              <w:t>2034/35 Target</w:t>
            </w:r>
          </w:p>
        </w:tc>
        <w:tc>
          <w:tcPr>
            <w:tcW w:w="850" w:type="dxa"/>
            <w:shd w:val="clear" w:color="auto" w:fill="2E74B5" w:themeFill="accent1" w:themeFillShade="BF"/>
          </w:tcPr>
          <w:p w:rsidR="007C5AC6" w:rsidRPr="008809A2" w:rsidRDefault="007C5AC6" w:rsidP="007C5AC6">
            <w:pPr>
              <w:spacing w:after="0"/>
              <w:ind w:left="0"/>
              <w:jc w:val="center"/>
              <w:rPr>
                <w:b/>
                <w:color w:val="FFFFFF" w:themeColor="background1"/>
                <w:sz w:val="16"/>
                <w:szCs w:val="16"/>
              </w:rPr>
            </w:pPr>
            <w:r w:rsidRPr="008809A2">
              <w:rPr>
                <w:b/>
                <w:color w:val="FFFFFF" w:themeColor="background1"/>
                <w:sz w:val="16"/>
                <w:szCs w:val="16"/>
              </w:rPr>
              <w:t>Reward/Penalty</w:t>
            </w:r>
          </w:p>
        </w:tc>
      </w:tr>
      <w:tr w:rsidR="00F76973" w:rsidRPr="008809A2" w:rsidTr="00B63614">
        <w:tc>
          <w:tcPr>
            <w:tcW w:w="2405" w:type="dxa"/>
          </w:tcPr>
          <w:p w:rsidR="00F76973" w:rsidRPr="008809A2" w:rsidRDefault="009E7BCB" w:rsidP="00F76973">
            <w:pPr>
              <w:spacing w:before="20" w:after="20"/>
              <w:ind w:left="0"/>
              <w:rPr>
                <w:sz w:val="16"/>
                <w:szCs w:val="16"/>
              </w:rPr>
            </w:pPr>
            <w:r w:rsidRPr="008809A2">
              <w:rPr>
                <w:sz w:val="16"/>
                <w:szCs w:val="16"/>
              </w:rPr>
              <w:t>Per Capita Consumption</w:t>
            </w:r>
          </w:p>
        </w:tc>
        <w:tc>
          <w:tcPr>
            <w:tcW w:w="708" w:type="dxa"/>
          </w:tcPr>
          <w:p w:rsidR="00F76973" w:rsidRPr="008809A2" w:rsidRDefault="00F76973" w:rsidP="00F76973">
            <w:pPr>
              <w:spacing w:before="20" w:after="20"/>
              <w:ind w:left="0"/>
              <w:jc w:val="center"/>
              <w:rPr>
                <w:sz w:val="16"/>
                <w:szCs w:val="16"/>
              </w:rPr>
            </w:pPr>
            <w:r w:rsidRPr="008809A2">
              <w:rPr>
                <w:sz w:val="16"/>
                <w:szCs w:val="16"/>
              </w:rPr>
              <w:t>C</w:t>
            </w:r>
          </w:p>
        </w:tc>
        <w:tc>
          <w:tcPr>
            <w:tcW w:w="1512" w:type="dxa"/>
          </w:tcPr>
          <w:p w:rsidR="00F76973" w:rsidRPr="008809A2" w:rsidRDefault="00F76973" w:rsidP="00F76973">
            <w:pPr>
              <w:spacing w:after="0"/>
              <w:ind w:left="0"/>
              <w:rPr>
                <w:sz w:val="16"/>
                <w:szCs w:val="16"/>
              </w:rPr>
            </w:pPr>
            <w:r w:rsidRPr="008809A2">
              <w:rPr>
                <w:sz w:val="16"/>
                <w:szCs w:val="16"/>
              </w:rPr>
              <w:t>144 l/h/d (2017/18)</w:t>
            </w:r>
          </w:p>
        </w:tc>
        <w:tc>
          <w:tcPr>
            <w:tcW w:w="1654" w:type="dxa"/>
          </w:tcPr>
          <w:p w:rsidR="00F76973" w:rsidRPr="008809A2" w:rsidRDefault="00F76973" w:rsidP="00F76973">
            <w:pPr>
              <w:spacing w:before="20" w:after="20"/>
              <w:ind w:left="0"/>
              <w:rPr>
                <w:sz w:val="16"/>
                <w:szCs w:val="16"/>
              </w:rPr>
            </w:pPr>
            <w:r w:rsidRPr="008809A2">
              <w:rPr>
                <w:sz w:val="16"/>
                <w:szCs w:val="16"/>
              </w:rPr>
              <w:t>135l/h/d</w:t>
            </w:r>
          </w:p>
        </w:tc>
        <w:tc>
          <w:tcPr>
            <w:tcW w:w="1654" w:type="dxa"/>
          </w:tcPr>
          <w:p w:rsidR="00F76973" w:rsidRPr="008809A2" w:rsidRDefault="00C6348C" w:rsidP="00C51A49">
            <w:pPr>
              <w:spacing w:after="0"/>
              <w:ind w:left="0"/>
              <w:rPr>
                <w:sz w:val="16"/>
                <w:szCs w:val="16"/>
                <w:highlight w:val="yellow"/>
              </w:rPr>
            </w:pPr>
            <w:r w:rsidRPr="008809A2">
              <w:rPr>
                <w:sz w:val="16"/>
                <w:szCs w:val="16"/>
              </w:rPr>
              <w:t>1</w:t>
            </w:r>
            <w:r w:rsidR="00C51A49">
              <w:rPr>
                <w:sz w:val="16"/>
                <w:szCs w:val="16"/>
              </w:rPr>
              <w:t>29</w:t>
            </w:r>
            <w:r w:rsidR="00F76973" w:rsidRPr="008809A2">
              <w:rPr>
                <w:sz w:val="16"/>
                <w:szCs w:val="16"/>
              </w:rPr>
              <w:t xml:space="preserve"> l/h/d</w:t>
            </w:r>
          </w:p>
        </w:tc>
        <w:tc>
          <w:tcPr>
            <w:tcW w:w="850" w:type="dxa"/>
          </w:tcPr>
          <w:p w:rsidR="00F76973" w:rsidRPr="008809A2" w:rsidRDefault="00934560" w:rsidP="00F76973">
            <w:pPr>
              <w:spacing w:after="0"/>
              <w:ind w:left="0"/>
              <w:jc w:val="center"/>
              <w:rPr>
                <w:sz w:val="16"/>
                <w:szCs w:val="16"/>
              </w:rPr>
            </w:pPr>
            <w:r w:rsidRPr="008809A2">
              <w:rPr>
                <w:sz w:val="16"/>
                <w:szCs w:val="16"/>
              </w:rPr>
              <w:t>E</w:t>
            </w:r>
            <w:r w:rsidR="00F76973" w:rsidRPr="008809A2">
              <w:rPr>
                <w:sz w:val="16"/>
                <w:szCs w:val="16"/>
              </w:rPr>
              <w:t>R/</w:t>
            </w:r>
            <w:r w:rsidRPr="008809A2">
              <w:rPr>
                <w:sz w:val="16"/>
                <w:szCs w:val="16"/>
              </w:rPr>
              <w:t>E</w:t>
            </w:r>
            <w:r w:rsidR="00F76973" w:rsidRPr="008809A2">
              <w:rPr>
                <w:sz w:val="16"/>
                <w:szCs w:val="16"/>
              </w:rPr>
              <w:t>P</w:t>
            </w:r>
          </w:p>
        </w:tc>
      </w:tr>
      <w:tr w:rsidR="00F76973" w:rsidRPr="008809A2" w:rsidTr="00B63614">
        <w:tc>
          <w:tcPr>
            <w:tcW w:w="2405" w:type="dxa"/>
          </w:tcPr>
          <w:p w:rsidR="00F76973" w:rsidRPr="008809A2" w:rsidRDefault="00F76973" w:rsidP="00F76973">
            <w:pPr>
              <w:spacing w:before="20" w:after="20"/>
              <w:ind w:left="0"/>
              <w:rPr>
                <w:sz w:val="16"/>
                <w:szCs w:val="16"/>
              </w:rPr>
            </w:pPr>
            <w:r w:rsidRPr="008809A2">
              <w:rPr>
                <w:sz w:val="16"/>
                <w:szCs w:val="16"/>
              </w:rPr>
              <w:t>Risk of Severe Restrictions in Drought</w:t>
            </w:r>
          </w:p>
        </w:tc>
        <w:tc>
          <w:tcPr>
            <w:tcW w:w="708" w:type="dxa"/>
          </w:tcPr>
          <w:p w:rsidR="00F76973" w:rsidRPr="008809A2" w:rsidRDefault="00F76973" w:rsidP="00F76973">
            <w:pPr>
              <w:spacing w:before="20" w:after="20"/>
              <w:ind w:left="0"/>
              <w:jc w:val="center"/>
              <w:rPr>
                <w:sz w:val="16"/>
                <w:szCs w:val="16"/>
              </w:rPr>
            </w:pPr>
            <w:r w:rsidRPr="008809A2">
              <w:rPr>
                <w:sz w:val="16"/>
                <w:szCs w:val="16"/>
              </w:rPr>
              <w:t>C</w:t>
            </w:r>
          </w:p>
        </w:tc>
        <w:tc>
          <w:tcPr>
            <w:tcW w:w="1512" w:type="dxa"/>
          </w:tcPr>
          <w:p w:rsidR="00F76973" w:rsidRPr="008809A2" w:rsidRDefault="00F76973" w:rsidP="00F76973">
            <w:pPr>
              <w:spacing w:after="0"/>
              <w:ind w:left="0"/>
              <w:rPr>
                <w:sz w:val="16"/>
                <w:szCs w:val="16"/>
              </w:rPr>
            </w:pPr>
            <w:r w:rsidRPr="008809A2">
              <w:rPr>
                <w:sz w:val="16"/>
                <w:szCs w:val="16"/>
              </w:rPr>
              <w:t>Not required</w:t>
            </w:r>
          </w:p>
        </w:tc>
        <w:tc>
          <w:tcPr>
            <w:tcW w:w="1654" w:type="dxa"/>
          </w:tcPr>
          <w:p w:rsidR="00F76973" w:rsidRPr="008809A2" w:rsidRDefault="00F76973" w:rsidP="00F76973">
            <w:pPr>
              <w:spacing w:after="0"/>
              <w:ind w:left="0"/>
              <w:rPr>
                <w:sz w:val="16"/>
                <w:szCs w:val="16"/>
              </w:rPr>
            </w:pPr>
            <w:r w:rsidRPr="008809A2">
              <w:rPr>
                <w:sz w:val="16"/>
                <w:szCs w:val="16"/>
              </w:rPr>
              <w:t>Not required</w:t>
            </w:r>
          </w:p>
        </w:tc>
        <w:tc>
          <w:tcPr>
            <w:tcW w:w="1654" w:type="dxa"/>
          </w:tcPr>
          <w:p w:rsidR="00F76973" w:rsidRPr="008809A2" w:rsidRDefault="00F76973" w:rsidP="00F76973">
            <w:pPr>
              <w:spacing w:after="0"/>
              <w:ind w:left="0"/>
              <w:rPr>
                <w:sz w:val="16"/>
                <w:szCs w:val="16"/>
              </w:rPr>
            </w:pPr>
            <w:r w:rsidRPr="008809A2">
              <w:rPr>
                <w:sz w:val="16"/>
                <w:szCs w:val="16"/>
              </w:rPr>
              <w:t>Not required</w:t>
            </w:r>
          </w:p>
        </w:tc>
        <w:tc>
          <w:tcPr>
            <w:tcW w:w="850" w:type="dxa"/>
          </w:tcPr>
          <w:p w:rsidR="00F76973" w:rsidRPr="008809A2" w:rsidRDefault="00F76973" w:rsidP="00F76973">
            <w:pPr>
              <w:spacing w:after="0"/>
              <w:ind w:left="0"/>
              <w:jc w:val="center"/>
              <w:rPr>
                <w:sz w:val="16"/>
                <w:szCs w:val="16"/>
              </w:rPr>
            </w:pPr>
            <w:r w:rsidRPr="008809A2">
              <w:rPr>
                <w:sz w:val="16"/>
                <w:szCs w:val="16"/>
              </w:rPr>
              <w:t>REP</w:t>
            </w:r>
          </w:p>
        </w:tc>
      </w:tr>
      <w:tr w:rsidR="00F76973" w:rsidRPr="008809A2" w:rsidTr="00B63614">
        <w:tc>
          <w:tcPr>
            <w:tcW w:w="2405" w:type="dxa"/>
          </w:tcPr>
          <w:p w:rsidR="00F76973" w:rsidRPr="008809A2" w:rsidRDefault="00F76973" w:rsidP="004B363A">
            <w:pPr>
              <w:spacing w:before="20" w:after="20"/>
              <w:ind w:left="0"/>
              <w:rPr>
                <w:sz w:val="16"/>
                <w:szCs w:val="16"/>
              </w:rPr>
            </w:pPr>
            <w:r w:rsidRPr="008809A2">
              <w:rPr>
                <w:sz w:val="16"/>
                <w:szCs w:val="16"/>
              </w:rPr>
              <w:t xml:space="preserve">Requirement to Introduce Temporary Use Bans </w:t>
            </w:r>
            <w:r w:rsidR="001C7246">
              <w:rPr>
                <w:rFonts w:cs="Arial"/>
                <w:sz w:val="16"/>
                <w:szCs w:val="16"/>
              </w:rPr>
              <w:t>≤</w:t>
            </w:r>
            <w:r w:rsidR="001C7246">
              <w:rPr>
                <w:sz w:val="16"/>
                <w:szCs w:val="16"/>
              </w:rPr>
              <w:t xml:space="preserve"> 1 in 20 year drought scenario</w:t>
            </w:r>
          </w:p>
        </w:tc>
        <w:tc>
          <w:tcPr>
            <w:tcW w:w="708" w:type="dxa"/>
          </w:tcPr>
          <w:p w:rsidR="00F76973" w:rsidRPr="008809A2" w:rsidRDefault="00F76973" w:rsidP="00F76973">
            <w:pPr>
              <w:spacing w:before="20" w:after="20"/>
              <w:ind w:left="0"/>
              <w:jc w:val="center"/>
              <w:rPr>
                <w:sz w:val="16"/>
                <w:szCs w:val="16"/>
              </w:rPr>
            </w:pPr>
            <w:r w:rsidRPr="008809A2">
              <w:rPr>
                <w:sz w:val="16"/>
                <w:szCs w:val="16"/>
              </w:rPr>
              <w:t>B</w:t>
            </w:r>
          </w:p>
        </w:tc>
        <w:tc>
          <w:tcPr>
            <w:tcW w:w="1512" w:type="dxa"/>
          </w:tcPr>
          <w:p w:rsidR="00F76973" w:rsidRPr="008809A2" w:rsidRDefault="00F76973" w:rsidP="00F76973">
            <w:pPr>
              <w:spacing w:after="0"/>
              <w:ind w:left="0"/>
              <w:rPr>
                <w:sz w:val="16"/>
                <w:szCs w:val="16"/>
              </w:rPr>
            </w:pPr>
            <w:r w:rsidRPr="008809A2">
              <w:rPr>
                <w:sz w:val="16"/>
                <w:szCs w:val="16"/>
              </w:rPr>
              <w:t>Not required</w:t>
            </w:r>
          </w:p>
        </w:tc>
        <w:tc>
          <w:tcPr>
            <w:tcW w:w="1654" w:type="dxa"/>
          </w:tcPr>
          <w:p w:rsidR="00F76973" w:rsidRPr="008809A2" w:rsidRDefault="00F76973" w:rsidP="00F76973">
            <w:pPr>
              <w:spacing w:after="0"/>
              <w:ind w:left="0"/>
              <w:rPr>
                <w:sz w:val="16"/>
                <w:szCs w:val="16"/>
              </w:rPr>
            </w:pPr>
            <w:r w:rsidRPr="008809A2">
              <w:rPr>
                <w:sz w:val="16"/>
                <w:szCs w:val="16"/>
              </w:rPr>
              <w:t>Not required</w:t>
            </w:r>
          </w:p>
        </w:tc>
        <w:tc>
          <w:tcPr>
            <w:tcW w:w="1654" w:type="dxa"/>
          </w:tcPr>
          <w:p w:rsidR="00F76973" w:rsidRPr="008809A2" w:rsidRDefault="00F76973" w:rsidP="00F76973">
            <w:pPr>
              <w:spacing w:after="0"/>
              <w:ind w:left="0"/>
              <w:rPr>
                <w:sz w:val="16"/>
                <w:szCs w:val="16"/>
              </w:rPr>
            </w:pPr>
            <w:r w:rsidRPr="008809A2">
              <w:rPr>
                <w:sz w:val="16"/>
                <w:szCs w:val="16"/>
              </w:rPr>
              <w:t>Not required</w:t>
            </w:r>
          </w:p>
        </w:tc>
        <w:tc>
          <w:tcPr>
            <w:tcW w:w="850" w:type="dxa"/>
          </w:tcPr>
          <w:p w:rsidR="00F76973" w:rsidRPr="008809A2" w:rsidRDefault="00F76973" w:rsidP="00F76973">
            <w:pPr>
              <w:spacing w:after="0"/>
              <w:ind w:left="0"/>
              <w:jc w:val="center"/>
              <w:rPr>
                <w:sz w:val="16"/>
                <w:szCs w:val="16"/>
              </w:rPr>
            </w:pPr>
            <w:r w:rsidRPr="008809A2">
              <w:rPr>
                <w:sz w:val="16"/>
                <w:szCs w:val="16"/>
              </w:rPr>
              <w:t>REP</w:t>
            </w:r>
          </w:p>
        </w:tc>
      </w:tr>
    </w:tbl>
    <w:p w:rsidR="00A60187" w:rsidRDefault="00A60187" w:rsidP="00A60187">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ED6865" w:rsidRDefault="006E4BBC" w:rsidP="00ED6865">
      <w:r>
        <w:t>In our Water Resources Management Plan and our Business Plan we demonstrate that our supplies are resilient to a 1 in 200-year drought through to 2045, including the provision of up to 60 Ml/d of bulk supplies to Southern Water.  Our preferred Plan to achieve this includes:</w:t>
      </w:r>
    </w:p>
    <w:p w:rsidR="006E4BBC" w:rsidRDefault="006E4BBC" w:rsidP="005011BD">
      <w:pPr>
        <w:pStyle w:val="Bullets"/>
      </w:pPr>
      <w:r>
        <w:t>15% reduction in leakage by 2025 and 30% by 2040</w:t>
      </w:r>
    </w:p>
    <w:p w:rsidR="006E4BBC" w:rsidRDefault="006E4BBC" w:rsidP="005011BD">
      <w:pPr>
        <w:pStyle w:val="Bullets"/>
      </w:pPr>
      <w:r>
        <w:t xml:space="preserve">Reduction in PCC through </w:t>
      </w:r>
      <w:r w:rsidR="005011BD">
        <w:t>increased metering and water efficiency measures.  This will include change of occupier metering</w:t>
      </w:r>
    </w:p>
    <w:p w:rsidR="005011BD" w:rsidRDefault="005011BD" w:rsidP="005011BD">
      <w:pPr>
        <w:pStyle w:val="Bullets"/>
      </w:pPr>
      <w:r>
        <w:t>The development and construction of a Winter Storage Reservoir at Havant Thicket (HTWSR) which will be commissioned in 2029</w:t>
      </w:r>
    </w:p>
    <w:p w:rsidR="005011BD" w:rsidRDefault="005011BD" w:rsidP="005011BD">
      <w:pPr>
        <w:pStyle w:val="Bullets"/>
      </w:pPr>
      <w:r>
        <w:t>Increases in deployable output at certain works</w:t>
      </w:r>
    </w:p>
    <w:p w:rsidR="005011BD" w:rsidRPr="008E6AD1" w:rsidRDefault="005011BD" w:rsidP="005011BD">
      <w:pPr>
        <w:pStyle w:val="Bullets"/>
        <w:numPr>
          <w:ilvl w:val="0"/>
          <w:numId w:val="0"/>
        </w:numPr>
        <w:ind w:left="1494"/>
      </w:pPr>
    </w:p>
    <w:p w:rsidR="00ED6865" w:rsidRPr="008E6AD1" w:rsidRDefault="00ED6865" w:rsidP="00ED6865">
      <w:r w:rsidRPr="008E6AD1">
        <w:t>Customers generally understand resilience to be long term planning and future proofing the system against unlikely eventualities. They acknowledge some of the pressures facing Portsmouth Water in terms of ensuring a resilient service; these include population growth, climate change, impacts on supply and an ag</w:t>
      </w:r>
      <w:r w:rsidR="00B63614">
        <w:t>e</w:t>
      </w:r>
      <w:r w:rsidRPr="008E6AD1">
        <w:t xml:space="preserve">ing infrastructure. </w:t>
      </w:r>
    </w:p>
    <w:p w:rsidR="00ED6865" w:rsidRPr="008E6AD1" w:rsidRDefault="00ED6865" w:rsidP="00ED6865">
      <w:r>
        <w:t>We are</w:t>
      </w:r>
      <w:r w:rsidRPr="008E6AD1">
        <w:t xml:space="preserve"> well placed</w:t>
      </w:r>
      <w:r>
        <w:t>,</w:t>
      </w:r>
      <w:r w:rsidRPr="008E6AD1">
        <w:t xml:space="preserve"> relative to many other companies</w:t>
      </w:r>
      <w:r>
        <w:t>,</w:t>
      </w:r>
      <w:r w:rsidRPr="008E6AD1">
        <w:t xml:space="preserve"> to demonstrate</w:t>
      </w:r>
      <w:r>
        <w:t xml:space="preserve"> we are</w:t>
      </w:r>
      <w:r w:rsidRPr="008E6AD1">
        <w:t xml:space="preserve"> resilient and can s</w:t>
      </w:r>
      <w:r>
        <w:t>upply our</w:t>
      </w:r>
      <w:r w:rsidRPr="008E6AD1">
        <w:t xml:space="preserve"> customers with wholesome water under varying weather conditions and the ability to react to changes in water quality. </w:t>
      </w:r>
      <w:r>
        <w:t xml:space="preserve">The recent </w:t>
      </w:r>
      <w:r w:rsidR="00A11EF3">
        <w:t>‘</w:t>
      </w:r>
      <w:r>
        <w:t>Freeze</w:t>
      </w:r>
      <w:r w:rsidR="00A11EF3">
        <w:t>/</w:t>
      </w:r>
      <w:r>
        <w:t>Thaw</w:t>
      </w:r>
      <w:r w:rsidR="00A11EF3">
        <w:t>’</w:t>
      </w:r>
      <w:r>
        <w:t xml:space="preserve"> event (March 2018) and current long dry period (summer 2018) supports this statement.  Within 3 </w:t>
      </w:r>
      <w:r w:rsidR="003D0BD7">
        <w:t>months,</w:t>
      </w:r>
      <w:r>
        <w:t xml:space="preserve"> we have actually demonstrated that our business and network, in its widest sense, is resilient to extreme weather events.</w:t>
      </w:r>
    </w:p>
    <w:p w:rsidR="00ED6865" w:rsidRDefault="00ED6865" w:rsidP="003941AC">
      <w:r w:rsidRPr="008E6AD1">
        <w:t xml:space="preserve">Whilst customer research has resulted in </w:t>
      </w:r>
      <w:r>
        <w:t>the development and refinement</w:t>
      </w:r>
      <w:r w:rsidRPr="008E6AD1">
        <w:t xml:space="preserve"> of our PR14 outcomes, it does not fundamentally indicate a change in our customers’ expectations of us.  The PR14 outcome of a safe, secure, sustainable and reliable supply of drinking water over the longer term has been split into two for PR19 to differe</w:t>
      </w:r>
      <w:r>
        <w:t>ntiate current operations from</w:t>
      </w:r>
      <w:r w:rsidRPr="008E6AD1">
        <w:t xml:space="preserve"> </w:t>
      </w:r>
      <w:r w:rsidR="003D0BD7" w:rsidRPr="008E6AD1">
        <w:t>longer-term</w:t>
      </w:r>
      <w:r>
        <w:t xml:space="preserve"> provision</w:t>
      </w:r>
      <w:r w:rsidRPr="008E6AD1">
        <w:t xml:space="preserve">.  </w:t>
      </w:r>
    </w:p>
    <w:p w:rsidR="00ED6865" w:rsidRPr="00EC29EA" w:rsidRDefault="00ED6865" w:rsidP="003941AC">
      <w:pPr>
        <w:rPr>
          <w:b/>
        </w:rPr>
      </w:pPr>
      <w:r w:rsidRPr="008E6AD1">
        <w:t xml:space="preserve">We </w:t>
      </w:r>
      <w:r>
        <w:t xml:space="preserve">therefore </w:t>
      </w:r>
      <w:r w:rsidR="00B63614">
        <w:t xml:space="preserve">have </w:t>
      </w:r>
      <w:r w:rsidRPr="008E6AD1">
        <w:t>the following PR19 outcome</w:t>
      </w:r>
      <w:r>
        <w:t xml:space="preserve"> - </w:t>
      </w:r>
      <w:r w:rsidRPr="00EC29EA">
        <w:rPr>
          <w:b/>
        </w:rPr>
        <w:t>Long term resilience of supplies for our own customers and to support the South East Region.</w:t>
      </w:r>
    </w:p>
    <w:p w:rsidR="00ED6865" w:rsidRDefault="00ED6865" w:rsidP="00ED6865">
      <w:r>
        <w:t>This outcome also recognises the support we can provide for other companies and their customers in the South East of England.  There is, in general, significant pressure on water supplies in the region, and the Company is well placed to help support other companies meet the requirements of their customers and their local environments.</w:t>
      </w:r>
    </w:p>
    <w:p w:rsidR="00ED6865" w:rsidRPr="00EB1D4C" w:rsidRDefault="00ED6865" w:rsidP="00ED6865">
      <w:r w:rsidRPr="00EB1D4C">
        <w:t>Our customer research ranked this outcome 3</w:t>
      </w:r>
      <w:r w:rsidRPr="00EB1D4C">
        <w:rPr>
          <w:vertAlign w:val="superscript"/>
        </w:rPr>
        <w:t>rd</w:t>
      </w:r>
      <w:r w:rsidRPr="00EB1D4C">
        <w:t xml:space="preserve"> out of the seven we are proposing, after a safe, secure and reliable </w:t>
      </w:r>
      <w:r w:rsidR="00C6348C">
        <w:t xml:space="preserve">supply of drinking water </w:t>
      </w:r>
      <w:r w:rsidRPr="00EB1D4C">
        <w:t>and leakage.</w:t>
      </w:r>
    </w:p>
    <w:p w:rsidR="00ED6865" w:rsidRPr="00EB1D4C" w:rsidRDefault="00ED6865" w:rsidP="00ED6865">
      <w:r w:rsidRPr="00EB1D4C">
        <w:t>There were however marked differences between age groups and social class.  Our plan to deliver this outcome recognises the different expectations held by all of our</w:t>
      </w:r>
      <w:r w:rsidR="003D0BD7">
        <w:t xml:space="preserve"> customers and indeed more widely</w:t>
      </w:r>
      <w:r w:rsidRPr="00EB1D4C">
        <w:t>, those of our stakeholders.</w:t>
      </w:r>
    </w:p>
    <w:p w:rsidR="00ED6865" w:rsidRDefault="00ED6865" w:rsidP="00ED6865">
      <w:r w:rsidRPr="00EB1D4C">
        <w:t xml:space="preserve">Delivery of this outcome will be monitored by our performance against three ODIs as shown below; the first two are included as these are required by Ofwat (Common PCs) and the third is currently </w:t>
      </w:r>
      <w:r w:rsidR="00C6348C">
        <w:t>an ODI.</w:t>
      </w:r>
    </w:p>
    <w:p w:rsidR="00ED6865" w:rsidRDefault="00B63614" w:rsidP="00ED6865">
      <w:pPr>
        <w:pStyle w:val="Bullets"/>
      </w:pPr>
      <w:r>
        <w:t xml:space="preserve">Per Capita Consumption - </w:t>
      </w:r>
      <w:r w:rsidR="00ED6865">
        <w:t xml:space="preserve">Helping </w:t>
      </w:r>
      <w:r w:rsidR="00867C57">
        <w:t>c</w:t>
      </w:r>
      <w:r w:rsidR="00ED6865">
        <w:t>ust</w:t>
      </w:r>
      <w:r>
        <w:t>omers to use less water at home</w:t>
      </w:r>
    </w:p>
    <w:p w:rsidR="00ED6865" w:rsidRDefault="00ED6865" w:rsidP="00ED6865">
      <w:pPr>
        <w:pStyle w:val="Bullets"/>
      </w:pPr>
      <w:r>
        <w:t>Risk of severe restrictions in drought</w:t>
      </w:r>
    </w:p>
    <w:p w:rsidR="00ED6865" w:rsidRDefault="00ED6865" w:rsidP="00ED6865">
      <w:pPr>
        <w:pStyle w:val="Bullets"/>
      </w:pPr>
      <w:r>
        <w:t>Requirement to introduce temporary use bans</w:t>
      </w:r>
    </w:p>
    <w:p w:rsidR="008809A2" w:rsidRDefault="008809A2" w:rsidP="008809A2">
      <w:pPr>
        <w:pStyle w:val="Bullets"/>
        <w:numPr>
          <w:ilvl w:val="0"/>
          <w:numId w:val="0"/>
        </w:numPr>
        <w:ind w:left="1494"/>
      </w:pPr>
    </w:p>
    <w:p w:rsidR="00830616" w:rsidRPr="00F01318" w:rsidRDefault="0085097E" w:rsidP="0085097E">
      <w:pPr>
        <w:pStyle w:val="Heading3"/>
      </w:pPr>
      <w:bookmarkStart w:id="50" w:name="_Toc522199978"/>
      <w:bookmarkStart w:id="51" w:name="_Toc522200075"/>
      <w:bookmarkStart w:id="52" w:name="_Toc523651255"/>
      <w:r>
        <w:t>Engaging with Customers</w:t>
      </w:r>
      <w:bookmarkEnd w:id="50"/>
      <w:bookmarkEnd w:id="51"/>
      <w:bookmarkEnd w:id="52"/>
    </w:p>
    <w:tbl>
      <w:tblPr>
        <w:tblStyle w:val="TableGrid28"/>
        <w:tblW w:w="9077" w:type="dxa"/>
        <w:tblInd w:w="841" w:type="dxa"/>
        <w:tblLook w:val="04A0" w:firstRow="1" w:lastRow="0" w:firstColumn="1" w:lastColumn="0" w:noHBand="0" w:noVBand="1"/>
      </w:tblPr>
      <w:tblGrid>
        <w:gridCol w:w="2415"/>
        <w:gridCol w:w="4110"/>
        <w:gridCol w:w="2552"/>
      </w:tblGrid>
      <w:tr w:rsidR="00EA5670" w:rsidRPr="00772B39" w:rsidTr="008809A2">
        <w:tc>
          <w:tcPr>
            <w:tcW w:w="2415" w:type="dxa"/>
            <w:shd w:val="clear" w:color="auto" w:fill="2E74B5" w:themeFill="accent1" w:themeFillShade="BF"/>
          </w:tcPr>
          <w:p w:rsidR="00EA5670" w:rsidRPr="00772B39" w:rsidRDefault="00EA5670" w:rsidP="00772B39">
            <w:pPr>
              <w:tabs>
                <w:tab w:val="clear" w:pos="851"/>
              </w:tabs>
              <w:spacing w:before="20" w:after="20"/>
              <w:ind w:left="0"/>
              <w:jc w:val="left"/>
              <w:rPr>
                <w:rFonts w:cs="Arial"/>
                <w:b/>
                <w:color w:val="FFFFFF" w:themeColor="background1"/>
                <w:sz w:val="16"/>
                <w:szCs w:val="16"/>
              </w:rPr>
            </w:pPr>
            <w:r w:rsidRPr="00772B39">
              <w:rPr>
                <w:rFonts w:cs="Arial"/>
                <w:b/>
                <w:color w:val="FFFFFF" w:themeColor="background1"/>
                <w:sz w:val="16"/>
                <w:szCs w:val="16"/>
              </w:rPr>
              <w:t>Research</w:t>
            </w:r>
            <w:r w:rsidR="00F414AC">
              <w:rPr>
                <w:rFonts w:cs="Arial"/>
                <w:b/>
                <w:color w:val="FFFFFF" w:themeColor="background1"/>
                <w:sz w:val="16"/>
                <w:szCs w:val="16"/>
              </w:rPr>
              <w:t xml:space="preserve"> and Triangulation</w:t>
            </w:r>
          </w:p>
        </w:tc>
        <w:tc>
          <w:tcPr>
            <w:tcW w:w="4110" w:type="dxa"/>
            <w:shd w:val="clear" w:color="auto" w:fill="2E74B5" w:themeFill="accent1" w:themeFillShade="BF"/>
          </w:tcPr>
          <w:p w:rsidR="00EA5670" w:rsidRPr="00772B39" w:rsidRDefault="00EA5670" w:rsidP="00772B39">
            <w:pPr>
              <w:tabs>
                <w:tab w:val="clear" w:pos="851"/>
              </w:tabs>
              <w:spacing w:before="20" w:after="20"/>
              <w:ind w:left="0"/>
              <w:jc w:val="left"/>
              <w:rPr>
                <w:rFonts w:cs="Arial"/>
                <w:b/>
                <w:color w:val="FFFFFF" w:themeColor="background1"/>
                <w:sz w:val="16"/>
                <w:szCs w:val="16"/>
              </w:rPr>
            </w:pPr>
            <w:r w:rsidRPr="00772B39">
              <w:rPr>
                <w:rFonts w:cs="Arial"/>
                <w:b/>
                <w:color w:val="FFFFFF" w:themeColor="background1"/>
                <w:sz w:val="16"/>
                <w:szCs w:val="16"/>
              </w:rPr>
              <w:t xml:space="preserve">Insight </w:t>
            </w:r>
          </w:p>
        </w:tc>
        <w:tc>
          <w:tcPr>
            <w:tcW w:w="2552" w:type="dxa"/>
            <w:shd w:val="clear" w:color="auto" w:fill="2E74B5" w:themeFill="accent1" w:themeFillShade="BF"/>
          </w:tcPr>
          <w:p w:rsidR="00EA5670" w:rsidRPr="00772B39" w:rsidRDefault="00EA5670" w:rsidP="00772B39">
            <w:pPr>
              <w:tabs>
                <w:tab w:val="clear" w:pos="851"/>
              </w:tabs>
              <w:spacing w:before="20" w:after="20"/>
              <w:ind w:left="0"/>
              <w:jc w:val="left"/>
              <w:rPr>
                <w:rFonts w:cs="Arial"/>
                <w:b/>
                <w:color w:val="FFFFFF" w:themeColor="background1"/>
                <w:sz w:val="16"/>
                <w:szCs w:val="16"/>
              </w:rPr>
            </w:pPr>
            <w:r w:rsidRPr="00772B39">
              <w:rPr>
                <w:rFonts w:cs="Arial"/>
                <w:b/>
                <w:color w:val="FFFFFF" w:themeColor="background1"/>
                <w:sz w:val="16"/>
                <w:szCs w:val="16"/>
              </w:rPr>
              <w:t>Impact on the business plan</w:t>
            </w:r>
          </w:p>
        </w:tc>
      </w:tr>
      <w:tr w:rsidR="00EA5670" w:rsidRPr="00772B39" w:rsidTr="008809A2">
        <w:tc>
          <w:tcPr>
            <w:tcW w:w="2415"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Customer Advisory Panels – 5 sessions over 18 months with the same representative customer group</w:t>
            </w:r>
            <w:r w:rsidR="004B539E">
              <w:rPr>
                <w:rFonts w:cs="Arial"/>
                <w:sz w:val="16"/>
                <w:szCs w:val="16"/>
              </w:rPr>
              <w:t xml:space="preserve"> (Appendix 2.4, 2.6, 2.7, 2.16, 2.22)</w:t>
            </w:r>
          </w:p>
        </w:tc>
        <w:tc>
          <w:tcPr>
            <w:tcW w:w="4110"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Metering.  Limited appetite for metering, education on water efficiency wanted.  Very supportive of Meters not f</w:t>
            </w:r>
            <w:r w:rsidR="009375AE">
              <w:rPr>
                <w:rFonts w:cs="Arial"/>
                <w:sz w:val="16"/>
                <w:szCs w:val="16"/>
              </w:rPr>
              <w:t>or Revenue approach. Pro-choice on metering.</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Sharing resources </w:t>
            </w:r>
            <w:r w:rsidR="00B63614">
              <w:rPr>
                <w:rFonts w:cs="Arial"/>
                <w:sz w:val="16"/>
                <w:szCs w:val="16"/>
              </w:rPr>
              <w:t xml:space="preserve">across the region </w:t>
            </w:r>
            <w:r w:rsidRPr="00772B39">
              <w:rPr>
                <w:rFonts w:cs="Arial"/>
                <w:sz w:val="16"/>
                <w:szCs w:val="16"/>
              </w:rPr>
              <w:t>is supported.</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Havant Thicket a </w:t>
            </w:r>
            <w:r w:rsidR="003D0BD7" w:rsidRPr="00772B39">
              <w:rPr>
                <w:rFonts w:cs="Arial"/>
                <w:sz w:val="16"/>
                <w:szCs w:val="16"/>
              </w:rPr>
              <w:t>long-term</w:t>
            </w:r>
            <w:r w:rsidRPr="00772B39">
              <w:rPr>
                <w:rFonts w:cs="Arial"/>
                <w:sz w:val="16"/>
                <w:szCs w:val="16"/>
              </w:rPr>
              <w:t xml:space="preserve"> strategic plan and development costs should be paid by the ultimate beneficiary.</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Resilience.  Not acceptable to introduce stand posts. </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Majority willing to accept bill increase to cover oil spills, </w:t>
            </w:r>
            <w:r w:rsidR="00B63614">
              <w:rPr>
                <w:rFonts w:cs="Arial"/>
                <w:sz w:val="16"/>
                <w:szCs w:val="16"/>
              </w:rPr>
              <w:t xml:space="preserve">and highest priority </w:t>
            </w:r>
            <w:r w:rsidRPr="00772B39">
              <w:rPr>
                <w:rFonts w:cs="Arial"/>
                <w:sz w:val="16"/>
                <w:szCs w:val="16"/>
              </w:rPr>
              <w:t xml:space="preserve">resilience schemes. </w:t>
            </w:r>
          </w:p>
          <w:p w:rsidR="00EA5670" w:rsidRPr="00772B39" w:rsidRDefault="00EA5670" w:rsidP="00B63614">
            <w:pPr>
              <w:tabs>
                <w:tab w:val="clear" w:pos="851"/>
              </w:tabs>
              <w:spacing w:before="20" w:after="20"/>
              <w:ind w:left="0"/>
              <w:jc w:val="left"/>
              <w:rPr>
                <w:rFonts w:cs="Arial"/>
                <w:sz w:val="16"/>
                <w:szCs w:val="16"/>
              </w:rPr>
            </w:pPr>
            <w:r w:rsidRPr="00772B39">
              <w:rPr>
                <w:rFonts w:cs="Arial"/>
                <w:sz w:val="16"/>
                <w:szCs w:val="16"/>
              </w:rPr>
              <w:t xml:space="preserve">Concern re housing developments </w:t>
            </w:r>
            <w:r w:rsidR="00B63614">
              <w:rPr>
                <w:rFonts w:cs="Arial"/>
                <w:sz w:val="16"/>
                <w:szCs w:val="16"/>
              </w:rPr>
              <w:t>expressed</w:t>
            </w:r>
            <w:r w:rsidRPr="00772B39">
              <w:rPr>
                <w:rFonts w:cs="Arial"/>
                <w:sz w:val="16"/>
                <w:szCs w:val="16"/>
              </w:rPr>
              <w:t xml:space="preserve">. </w:t>
            </w:r>
          </w:p>
        </w:tc>
        <w:tc>
          <w:tcPr>
            <w:tcW w:w="2552"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Helped to shape our metering strategy.</w:t>
            </w:r>
          </w:p>
          <w:p w:rsidR="00EA5670" w:rsidRPr="00772B39" w:rsidRDefault="00EA5670" w:rsidP="00772B39">
            <w:pPr>
              <w:tabs>
                <w:tab w:val="clear" w:pos="851"/>
              </w:tabs>
              <w:spacing w:before="20" w:after="20"/>
              <w:ind w:left="0"/>
              <w:jc w:val="left"/>
              <w:rPr>
                <w:rFonts w:cs="Arial"/>
                <w:sz w:val="16"/>
                <w:szCs w:val="16"/>
              </w:rPr>
            </w:pP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Supported developing Havant Thicket as a regional solution.</w:t>
            </w:r>
          </w:p>
        </w:tc>
      </w:tr>
      <w:tr w:rsidR="00EA5670" w:rsidRPr="00772B39" w:rsidTr="008809A2">
        <w:tc>
          <w:tcPr>
            <w:tcW w:w="2415"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ICS Consulting Research- Survey work on Outcome priorities, Performance Commitment targets &amp; rewards &amp; penalties</w:t>
            </w:r>
            <w:r w:rsidR="004B539E">
              <w:rPr>
                <w:rFonts w:cs="Arial"/>
                <w:sz w:val="16"/>
                <w:szCs w:val="16"/>
              </w:rPr>
              <w:t xml:space="preserve"> (Appendix 2.17)</w:t>
            </w:r>
          </w:p>
        </w:tc>
        <w:tc>
          <w:tcPr>
            <w:tcW w:w="4110" w:type="dxa"/>
          </w:tcPr>
          <w:p w:rsidR="00EA5670" w:rsidRPr="009375AE" w:rsidRDefault="00EA5670" w:rsidP="00772B39">
            <w:pPr>
              <w:tabs>
                <w:tab w:val="clear" w:pos="851"/>
              </w:tabs>
              <w:spacing w:before="20" w:after="20"/>
              <w:ind w:left="0"/>
              <w:jc w:val="left"/>
              <w:rPr>
                <w:rFonts w:cs="Arial"/>
                <w:sz w:val="16"/>
                <w:szCs w:val="16"/>
              </w:rPr>
            </w:pPr>
            <w:r w:rsidRPr="009375AE">
              <w:rPr>
                <w:rFonts w:cs="Arial"/>
                <w:sz w:val="16"/>
                <w:szCs w:val="16"/>
              </w:rPr>
              <w:t xml:space="preserve">Generally prefer a penalty only structure for operational and asset health </w:t>
            </w:r>
            <w:r w:rsidR="00D838AE">
              <w:rPr>
                <w:rFonts w:cs="Arial"/>
                <w:sz w:val="16"/>
                <w:szCs w:val="16"/>
              </w:rPr>
              <w:t>PCs</w:t>
            </w:r>
            <w:r w:rsidRPr="009375AE">
              <w:rPr>
                <w:rFonts w:cs="Arial"/>
                <w:sz w:val="16"/>
                <w:szCs w:val="16"/>
              </w:rPr>
              <w:t>.</w:t>
            </w:r>
          </w:p>
          <w:p w:rsidR="00EA5670" w:rsidRPr="009375AE" w:rsidRDefault="0042456D" w:rsidP="00772B39">
            <w:pPr>
              <w:tabs>
                <w:tab w:val="clear" w:pos="851"/>
              </w:tabs>
              <w:spacing w:before="20" w:after="20"/>
              <w:ind w:left="0"/>
              <w:jc w:val="left"/>
              <w:rPr>
                <w:rFonts w:cs="Arial"/>
                <w:sz w:val="16"/>
                <w:szCs w:val="16"/>
              </w:rPr>
            </w:pPr>
            <w:r>
              <w:rPr>
                <w:rFonts w:cs="Arial"/>
                <w:sz w:val="16"/>
                <w:szCs w:val="16"/>
              </w:rPr>
              <w:t>Symmetric reward for the mains repairs (bursts)</w:t>
            </w:r>
            <w:r w:rsidR="00EA5670" w:rsidRPr="009375AE">
              <w:rPr>
                <w:rFonts w:cs="Arial"/>
                <w:sz w:val="16"/>
                <w:szCs w:val="16"/>
              </w:rPr>
              <w:t xml:space="preserve"> health measure is supported.</w:t>
            </w:r>
          </w:p>
          <w:p w:rsidR="00EA5670" w:rsidRPr="00772B39" w:rsidRDefault="009258ED" w:rsidP="00772B39">
            <w:pPr>
              <w:tabs>
                <w:tab w:val="clear" w:pos="851"/>
              </w:tabs>
              <w:spacing w:before="20" w:after="20"/>
              <w:ind w:left="0"/>
              <w:jc w:val="left"/>
              <w:rPr>
                <w:rFonts w:cs="Arial"/>
                <w:sz w:val="16"/>
                <w:szCs w:val="16"/>
              </w:rPr>
            </w:pPr>
            <w:r>
              <w:rPr>
                <w:rFonts w:cs="Arial"/>
                <w:sz w:val="16"/>
                <w:szCs w:val="16"/>
              </w:rPr>
              <w:t>PCC</w:t>
            </w:r>
            <w:r w:rsidR="00EA5670" w:rsidRPr="009375AE">
              <w:rPr>
                <w:rFonts w:cs="Arial"/>
                <w:sz w:val="16"/>
                <w:szCs w:val="16"/>
              </w:rPr>
              <w:t xml:space="preserve"> commitment for </w:t>
            </w:r>
            <w:r w:rsidR="003D0BD7" w:rsidRPr="009375AE">
              <w:rPr>
                <w:rFonts w:cs="Arial"/>
                <w:sz w:val="16"/>
                <w:szCs w:val="16"/>
              </w:rPr>
              <w:t>long-term</w:t>
            </w:r>
            <w:r w:rsidR="00EA5670" w:rsidRPr="009375AE">
              <w:rPr>
                <w:rFonts w:cs="Arial"/>
                <w:sz w:val="16"/>
                <w:szCs w:val="16"/>
              </w:rPr>
              <w:t xml:space="preserve"> resilience also supported with penalty/reward structure. Higher penalty rate for underperformance.</w:t>
            </w:r>
            <w:r w:rsidR="00EA5670" w:rsidRPr="00772B39">
              <w:rPr>
                <w:rFonts w:cs="Arial"/>
                <w:sz w:val="16"/>
                <w:szCs w:val="16"/>
              </w:rPr>
              <w:t xml:space="preserve"> </w:t>
            </w:r>
          </w:p>
        </w:tc>
        <w:tc>
          <w:tcPr>
            <w:tcW w:w="2552"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Shaped rewards and penalties – suitability and range.</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Helped to set stretching targets.</w:t>
            </w:r>
          </w:p>
        </w:tc>
      </w:tr>
      <w:tr w:rsidR="00EA5670" w:rsidRPr="00772B39" w:rsidTr="008809A2">
        <w:tc>
          <w:tcPr>
            <w:tcW w:w="2415"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Future issues – students survey</w:t>
            </w:r>
            <w:r w:rsidR="004B539E">
              <w:rPr>
                <w:rFonts w:cs="Arial"/>
                <w:sz w:val="16"/>
                <w:szCs w:val="16"/>
              </w:rPr>
              <w:t xml:space="preserve"> (Appendix 2.11)</w:t>
            </w:r>
          </w:p>
        </w:tc>
        <w:tc>
          <w:tcPr>
            <w:tcW w:w="4110"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Students considered bill increase for reliable supplies for future generations.</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High percentage of students said they should have choice on having a meter. </w:t>
            </w:r>
          </w:p>
        </w:tc>
        <w:tc>
          <w:tcPr>
            <w:tcW w:w="2552"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Helped to shape our metering strategy.</w:t>
            </w:r>
          </w:p>
        </w:tc>
      </w:tr>
      <w:tr w:rsidR="00EA5670" w:rsidRPr="00772B39" w:rsidTr="008809A2">
        <w:tc>
          <w:tcPr>
            <w:tcW w:w="2415" w:type="dxa"/>
          </w:tcPr>
          <w:p w:rsidR="00EA5670" w:rsidRPr="00772B39" w:rsidRDefault="00EA5670" w:rsidP="00977912">
            <w:pPr>
              <w:tabs>
                <w:tab w:val="clear" w:pos="851"/>
              </w:tabs>
              <w:spacing w:before="20" w:after="20"/>
              <w:ind w:left="0"/>
              <w:jc w:val="left"/>
              <w:rPr>
                <w:rFonts w:cs="Arial"/>
                <w:sz w:val="16"/>
                <w:szCs w:val="16"/>
              </w:rPr>
            </w:pPr>
            <w:r w:rsidRPr="00772B39">
              <w:rPr>
                <w:rFonts w:cs="Arial"/>
                <w:sz w:val="16"/>
                <w:szCs w:val="16"/>
              </w:rPr>
              <w:t xml:space="preserve">CCWater surveys </w:t>
            </w:r>
            <w:r w:rsidR="004B539E">
              <w:rPr>
                <w:rFonts w:cs="Arial"/>
                <w:sz w:val="16"/>
                <w:szCs w:val="16"/>
              </w:rPr>
              <w:t>(Appendix 2.1 Customer Engagement and Triangulation)</w:t>
            </w:r>
          </w:p>
        </w:tc>
        <w:tc>
          <w:tcPr>
            <w:tcW w:w="4110"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High percentage consider hosepipe bans will not affect them.</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Upward trend for reliability of water supply, awareness of having a meter, meter reversion within 2 years. </w:t>
            </w:r>
          </w:p>
        </w:tc>
        <w:tc>
          <w:tcPr>
            <w:tcW w:w="2552" w:type="dxa"/>
          </w:tcPr>
          <w:p w:rsidR="00EA5670" w:rsidRPr="00772B39" w:rsidRDefault="00EA5670" w:rsidP="00772B39">
            <w:pPr>
              <w:tabs>
                <w:tab w:val="clear" w:pos="851"/>
              </w:tabs>
              <w:spacing w:before="20" w:after="20"/>
              <w:ind w:left="0"/>
              <w:jc w:val="left"/>
              <w:rPr>
                <w:rFonts w:cs="Arial"/>
                <w:sz w:val="16"/>
                <w:szCs w:val="16"/>
              </w:rPr>
            </w:pPr>
          </w:p>
        </w:tc>
      </w:tr>
      <w:tr w:rsidR="00EA5670" w:rsidRPr="00772B39" w:rsidTr="008809A2">
        <w:tc>
          <w:tcPr>
            <w:tcW w:w="2415"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Institute of Customer Service survey</w:t>
            </w:r>
            <w:r w:rsidR="004B539E">
              <w:rPr>
                <w:rFonts w:cs="Arial"/>
                <w:sz w:val="16"/>
                <w:szCs w:val="16"/>
              </w:rPr>
              <w:t xml:space="preserve"> (Appendix 2.8)</w:t>
            </w:r>
          </w:p>
        </w:tc>
        <w:tc>
          <w:tcPr>
            <w:tcW w:w="4110"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Publicise metering more.</w:t>
            </w:r>
          </w:p>
        </w:tc>
        <w:tc>
          <w:tcPr>
            <w:tcW w:w="2552"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Helped to shape our metering strategy.</w:t>
            </w:r>
          </w:p>
        </w:tc>
      </w:tr>
      <w:tr w:rsidR="00EA5670" w:rsidRPr="00772B39" w:rsidTr="008809A2">
        <w:tc>
          <w:tcPr>
            <w:tcW w:w="2415"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Employee engagement </w:t>
            </w:r>
            <w:r w:rsidR="004B539E">
              <w:rPr>
                <w:rFonts w:cs="Arial"/>
                <w:sz w:val="16"/>
                <w:szCs w:val="16"/>
              </w:rPr>
              <w:t>(Appendix 2.9)</w:t>
            </w:r>
          </w:p>
        </w:tc>
        <w:tc>
          <w:tcPr>
            <w:tcW w:w="4110"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Expectation of water to always be there. Failure to fully appreciate high security of supply.</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Hosepipe </w:t>
            </w:r>
            <w:r w:rsidR="00C6348C">
              <w:rPr>
                <w:rFonts w:cs="Arial"/>
                <w:sz w:val="16"/>
                <w:szCs w:val="16"/>
              </w:rPr>
              <w:t xml:space="preserve">bans </w:t>
            </w:r>
            <w:r w:rsidRPr="00772B39">
              <w:rPr>
                <w:rFonts w:cs="Arial"/>
                <w:sz w:val="16"/>
                <w:szCs w:val="16"/>
              </w:rPr>
              <w:t>acceptability and also subsidising appliances that truly save water.</w:t>
            </w:r>
          </w:p>
        </w:tc>
        <w:tc>
          <w:tcPr>
            <w:tcW w:w="2552" w:type="dxa"/>
          </w:tcPr>
          <w:p w:rsidR="00EA5670" w:rsidRPr="00772B39" w:rsidRDefault="00EA5670" w:rsidP="00772B39">
            <w:pPr>
              <w:tabs>
                <w:tab w:val="clear" w:pos="851"/>
              </w:tabs>
              <w:spacing w:before="20" w:after="20"/>
              <w:ind w:left="0"/>
              <w:jc w:val="left"/>
              <w:rPr>
                <w:rFonts w:cs="Arial"/>
                <w:sz w:val="16"/>
                <w:szCs w:val="16"/>
              </w:rPr>
            </w:pPr>
          </w:p>
        </w:tc>
      </w:tr>
    </w:tbl>
    <w:p w:rsidR="00D70395" w:rsidRDefault="00D70395"/>
    <w:tbl>
      <w:tblPr>
        <w:tblStyle w:val="TableGrid28"/>
        <w:tblW w:w="9077" w:type="dxa"/>
        <w:tblInd w:w="841" w:type="dxa"/>
        <w:tblLook w:val="04A0" w:firstRow="1" w:lastRow="0" w:firstColumn="1" w:lastColumn="0" w:noHBand="0" w:noVBand="1"/>
      </w:tblPr>
      <w:tblGrid>
        <w:gridCol w:w="2415"/>
        <w:gridCol w:w="4110"/>
        <w:gridCol w:w="2552"/>
      </w:tblGrid>
      <w:tr w:rsidR="00D70395" w:rsidRPr="00772B39" w:rsidTr="009F4044">
        <w:tc>
          <w:tcPr>
            <w:tcW w:w="2415" w:type="dxa"/>
            <w:shd w:val="clear" w:color="auto" w:fill="2E74B5" w:themeFill="accent1" w:themeFillShade="BF"/>
          </w:tcPr>
          <w:p w:rsidR="00D70395" w:rsidRPr="00772B39" w:rsidRDefault="00D70395" w:rsidP="009F4044">
            <w:pPr>
              <w:tabs>
                <w:tab w:val="clear" w:pos="851"/>
              </w:tabs>
              <w:spacing w:before="20" w:after="20"/>
              <w:ind w:left="0"/>
              <w:jc w:val="left"/>
              <w:rPr>
                <w:rFonts w:cs="Arial"/>
                <w:b/>
                <w:color w:val="FFFFFF" w:themeColor="background1"/>
                <w:sz w:val="16"/>
                <w:szCs w:val="16"/>
              </w:rPr>
            </w:pPr>
            <w:r w:rsidRPr="00772B39">
              <w:rPr>
                <w:rFonts w:cs="Arial"/>
                <w:b/>
                <w:color w:val="FFFFFF" w:themeColor="background1"/>
                <w:sz w:val="16"/>
                <w:szCs w:val="16"/>
              </w:rPr>
              <w:t>Research</w:t>
            </w:r>
            <w:r>
              <w:rPr>
                <w:rFonts w:cs="Arial"/>
                <w:b/>
                <w:color w:val="FFFFFF" w:themeColor="background1"/>
                <w:sz w:val="16"/>
                <w:szCs w:val="16"/>
              </w:rPr>
              <w:t xml:space="preserve"> and Triangulation</w:t>
            </w:r>
          </w:p>
        </w:tc>
        <w:tc>
          <w:tcPr>
            <w:tcW w:w="4110" w:type="dxa"/>
            <w:shd w:val="clear" w:color="auto" w:fill="2E74B5" w:themeFill="accent1" w:themeFillShade="BF"/>
          </w:tcPr>
          <w:p w:rsidR="00D70395" w:rsidRPr="00772B39" w:rsidRDefault="00D70395" w:rsidP="009F4044">
            <w:pPr>
              <w:tabs>
                <w:tab w:val="clear" w:pos="851"/>
              </w:tabs>
              <w:spacing w:before="20" w:after="20"/>
              <w:ind w:left="0"/>
              <w:jc w:val="left"/>
              <w:rPr>
                <w:rFonts w:cs="Arial"/>
                <w:b/>
                <w:color w:val="FFFFFF" w:themeColor="background1"/>
                <w:sz w:val="16"/>
                <w:szCs w:val="16"/>
              </w:rPr>
            </w:pPr>
            <w:r w:rsidRPr="00772B39">
              <w:rPr>
                <w:rFonts w:cs="Arial"/>
                <w:b/>
                <w:color w:val="FFFFFF" w:themeColor="background1"/>
                <w:sz w:val="16"/>
                <w:szCs w:val="16"/>
              </w:rPr>
              <w:t xml:space="preserve">Insight </w:t>
            </w:r>
          </w:p>
        </w:tc>
        <w:tc>
          <w:tcPr>
            <w:tcW w:w="2552" w:type="dxa"/>
            <w:shd w:val="clear" w:color="auto" w:fill="2E74B5" w:themeFill="accent1" w:themeFillShade="BF"/>
          </w:tcPr>
          <w:p w:rsidR="00D70395" w:rsidRPr="00772B39" w:rsidRDefault="00D70395" w:rsidP="009F4044">
            <w:pPr>
              <w:tabs>
                <w:tab w:val="clear" w:pos="851"/>
              </w:tabs>
              <w:spacing w:before="20" w:after="20"/>
              <w:ind w:left="0"/>
              <w:jc w:val="left"/>
              <w:rPr>
                <w:rFonts w:cs="Arial"/>
                <w:b/>
                <w:color w:val="FFFFFF" w:themeColor="background1"/>
                <w:sz w:val="16"/>
                <w:szCs w:val="16"/>
              </w:rPr>
            </w:pPr>
            <w:r w:rsidRPr="00772B39">
              <w:rPr>
                <w:rFonts w:cs="Arial"/>
                <w:b/>
                <w:color w:val="FFFFFF" w:themeColor="background1"/>
                <w:sz w:val="16"/>
                <w:szCs w:val="16"/>
              </w:rPr>
              <w:t>Impact on the business plan</w:t>
            </w:r>
          </w:p>
        </w:tc>
      </w:tr>
      <w:tr w:rsidR="00EA5670" w:rsidRPr="00772B39" w:rsidTr="008809A2">
        <w:tc>
          <w:tcPr>
            <w:tcW w:w="2415"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Metering trials</w:t>
            </w:r>
            <w:r w:rsidR="004B539E">
              <w:rPr>
                <w:rFonts w:cs="Arial"/>
                <w:sz w:val="16"/>
                <w:szCs w:val="16"/>
              </w:rPr>
              <w:t xml:space="preserve"> (Appendix 2.1 Customer Engagement and Triangulation)</w:t>
            </w:r>
          </w:p>
        </w:tc>
        <w:tc>
          <w:tcPr>
            <w:tcW w:w="4110" w:type="dxa"/>
          </w:tcPr>
          <w:p w:rsidR="00EA5670" w:rsidRPr="00772B39" w:rsidRDefault="00EA5670" w:rsidP="00B63614">
            <w:pPr>
              <w:tabs>
                <w:tab w:val="clear" w:pos="851"/>
              </w:tabs>
              <w:spacing w:before="20" w:after="20"/>
              <w:ind w:left="0"/>
              <w:jc w:val="left"/>
              <w:rPr>
                <w:rFonts w:cs="Arial"/>
                <w:sz w:val="16"/>
                <w:szCs w:val="16"/>
              </w:rPr>
            </w:pPr>
            <w:r w:rsidRPr="00772B39">
              <w:rPr>
                <w:rFonts w:cs="Arial"/>
                <w:sz w:val="16"/>
                <w:szCs w:val="16"/>
              </w:rPr>
              <w:t xml:space="preserve">Meter uptake after trials </w:t>
            </w:r>
            <w:r w:rsidR="00B63614">
              <w:rPr>
                <w:rFonts w:cs="Arial"/>
                <w:sz w:val="16"/>
                <w:szCs w:val="16"/>
              </w:rPr>
              <w:t>had very limited success</w:t>
            </w:r>
            <w:r w:rsidRPr="00772B39">
              <w:rPr>
                <w:rFonts w:cs="Arial"/>
                <w:sz w:val="16"/>
                <w:szCs w:val="16"/>
              </w:rPr>
              <w:t xml:space="preserve">. Advice was only given. </w:t>
            </w:r>
          </w:p>
        </w:tc>
        <w:tc>
          <w:tcPr>
            <w:tcW w:w="2552"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Helped to shape our strategy of a mix of approaches to increase metering.</w:t>
            </w:r>
          </w:p>
        </w:tc>
      </w:tr>
      <w:tr w:rsidR="00EA5670" w:rsidRPr="00772B39" w:rsidTr="008809A2">
        <w:tc>
          <w:tcPr>
            <w:tcW w:w="2415"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Future issues- school engagement</w:t>
            </w:r>
            <w:r w:rsidR="004B539E">
              <w:rPr>
                <w:rFonts w:cs="Arial"/>
                <w:sz w:val="16"/>
                <w:szCs w:val="16"/>
              </w:rPr>
              <w:t xml:space="preserve"> (Appendix 2.12 and 2.13)</w:t>
            </w:r>
          </w:p>
        </w:tc>
        <w:tc>
          <w:tcPr>
            <w:tcW w:w="4110"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Views on future water supply.</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Metering and reservoir voted as best option. </w:t>
            </w:r>
          </w:p>
        </w:tc>
        <w:tc>
          <w:tcPr>
            <w:tcW w:w="2552" w:type="dxa"/>
          </w:tcPr>
          <w:p w:rsidR="00EA5670" w:rsidRPr="00772B39" w:rsidRDefault="00EA5670" w:rsidP="00772B39">
            <w:pPr>
              <w:tabs>
                <w:tab w:val="clear" w:pos="851"/>
              </w:tabs>
              <w:spacing w:before="20" w:after="20"/>
              <w:ind w:left="0"/>
              <w:jc w:val="left"/>
              <w:rPr>
                <w:rFonts w:cs="Arial"/>
                <w:sz w:val="16"/>
                <w:szCs w:val="16"/>
              </w:rPr>
            </w:pPr>
          </w:p>
        </w:tc>
      </w:tr>
      <w:tr w:rsidR="00EA5670" w:rsidRPr="00772B39" w:rsidTr="008809A2">
        <w:tc>
          <w:tcPr>
            <w:tcW w:w="2415"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Non-household engagement</w:t>
            </w:r>
            <w:r w:rsidR="004B539E">
              <w:rPr>
                <w:rFonts w:cs="Arial"/>
                <w:sz w:val="16"/>
                <w:szCs w:val="16"/>
              </w:rPr>
              <w:t xml:space="preserve"> (Appendix 2.21)</w:t>
            </w:r>
          </w:p>
        </w:tc>
        <w:tc>
          <w:tcPr>
            <w:tcW w:w="4110"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Havant Thicket not widely known about but supported. </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Smart metering welcomed &amp; domestic compulsory metering favoured. </w:t>
            </w:r>
          </w:p>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Consideration of rain water harvesting with high water users. </w:t>
            </w:r>
          </w:p>
        </w:tc>
        <w:tc>
          <w:tcPr>
            <w:tcW w:w="2552" w:type="dxa"/>
          </w:tcPr>
          <w:p w:rsidR="00EA5670" w:rsidRPr="00772B39" w:rsidRDefault="00EA5670" w:rsidP="00772B39">
            <w:pPr>
              <w:tabs>
                <w:tab w:val="clear" w:pos="851"/>
              </w:tabs>
              <w:spacing w:before="20" w:after="20"/>
              <w:ind w:left="0"/>
              <w:jc w:val="left"/>
              <w:rPr>
                <w:rFonts w:cs="Arial"/>
                <w:sz w:val="16"/>
                <w:szCs w:val="16"/>
              </w:rPr>
            </w:pPr>
          </w:p>
        </w:tc>
      </w:tr>
      <w:tr w:rsidR="00EA5670" w:rsidRPr="00772B39" w:rsidTr="008809A2">
        <w:tc>
          <w:tcPr>
            <w:tcW w:w="2415" w:type="dxa"/>
          </w:tcPr>
          <w:p w:rsidR="00EA5670" w:rsidRPr="00772B39" w:rsidRDefault="00EA5670" w:rsidP="00B63614">
            <w:pPr>
              <w:tabs>
                <w:tab w:val="clear" w:pos="851"/>
              </w:tabs>
              <w:spacing w:before="20" w:after="20"/>
              <w:ind w:left="0"/>
              <w:jc w:val="left"/>
              <w:rPr>
                <w:rFonts w:cs="Arial"/>
                <w:sz w:val="16"/>
                <w:szCs w:val="16"/>
              </w:rPr>
            </w:pPr>
            <w:r w:rsidRPr="00772B39">
              <w:rPr>
                <w:rFonts w:cs="Arial"/>
                <w:sz w:val="16"/>
                <w:szCs w:val="16"/>
              </w:rPr>
              <w:t>Affordability survey</w:t>
            </w:r>
            <w:r w:rsidR="004B539E">
              <w:rPr>
                <w:rFonts w:cs="Arial"/>
                <w:sz w:val="16"/>
                <w:szCs w:val="16"/>
              </w:rPr>
              <w:t xml:space="preserve"> (Appendix 2.</w:t>
            </w:r>
            <w:r w:rsidR="00B63614">
              <w:rPr>
                <w:rFonts w:cs="Arial"/>
                <w:sz w:val="16"/>
                <w:szCs w:val="16"/>
              </w:rPr>
              <w:t>14</w:t>
            </w:r>
            <w:r w:rsidR="004B539E">
              <w:rPr>
                <w:rFonts w:cs="Arial"/>
                <w:sz w:val="16"/>
                <w:szCs w:val="16"/>
              </w:rPr>
              <w:t>)</w:t>
            </w:r>
          </w:p>
        </w:tc>
        <w:tc>
          <w:tcPr>
            <w:tcW w:w="4110"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 xml:space="preserve">Many customers not aware on savings on a meter. Needs to devise more effective meter promotion and awareness. </w:t>
            </w:r>
          </w:p>
        </w:tc>
        <w:tc>
          <w:tcPr>
            <w:tcW w:w="2552" w:type="dxa"/>
          </w:tcPr>
          <w:p w:rsidR="00EA5670" w:rsidRPr="00772B39" w:rsidRDefault="00EA5670" w:rsidP="00772B39">
            <w:pPr>
              <w:tabs>
                <w:tab w:val="clear" w:pos="851"/>
              </w:tabs>
              <w:spacing w:before="20" w:after="20"/>
              <w:ind w:left="0"/>
              <w:jc w:val="left"/>
              <w:rPr>
                <w:rFonts w:cs="Arial"/>
                <w:sz w:val="16"/>
                <w:szCs w:val="16"/>
              </w:rPr>
            </w:pPr>
            <w:r w:rsidRPr="00772B39">
              <w:rPr>
                <w:rFonts w:cs="Arial"/>
                <w:sz w:val="16"/>
                <w:szCs w:val="16"/>
              </w:rPr>
              <w:t>Helped to shape our metering strategy.</w:t>
            </w:r>
          </w:p>
          <w:p w:rsidR="00EA5670" w:rsidRPr="00772B39" w:rsidRDefault="00EA5670" w:rsidP="00772B39">
            <w:pPr>
              <w:tabs>
                <w:tab w:val="clear" w:pos="851"/>
              </w:tabs>
              <w:spacing w:before="20" w:after="20"/>
              <w:ind w:left="0"/>
              <w:jc w:val="left"/>
              <w:rPr>
                <w:rFonts w:cs="Arial"/>
                <w:sz w:val="16"/>
                <w:szCs w:val="16"/>
              </w:rPr>
            </w:pPr>
          </w:p>
        </w:tc>
      </w:tr>
      <w:tr w:rsidR="00934560" w:rsidRPr="00772B39" w:rsidTr="008809A2">
        <w:tc>
          <w:tcPr>
            <w:tcW w:w="2415" w:type="dxa"/>
          </w:tcPr>
          <w:p w:rsidR="00934560" w:rsidRDefault="00934560" w:rsidP="00772B39">
            <w:pPr>
              <w:tabs>
                <w:tab w:val="clear" w:pos="851"/>
              </w:tabs>
              <w:spacing w:before="20" w:after="20"/>
              <w:ind w:left="0"/>
              <w:jc w:val="left"/>
              <w:rPr>
                <w:rFonts w:cs="Arial"/>
                <w:sz w:val="16"/>
                <w:szCs w:val="16"/>
              </w:rPr>
            </w:pPr>
            <w:r>
              <w:rPr>
                <w:rFonts w:cs="Arial"/>
                <w:sz w:val="16"/>
                <w:szCs w:val="16"/>
              </w:rPr>
              <w:t>Water Resources Management Plan Survey</w:t>
            </w:r>
          </w:p>
          <w:p w:rsidR="00B63614" w:rsidRPr="00772B39" w:rsidRDefault="00B63614" w:rsidP="00772B39">
            <w:pPr>
              <w:tabs>
                <w:tab w:val="clear" w:pos="851"/>
              </w:tabs>
              <w:spacing w:before="20" w:after="20"/>
              <w:ind w:left="0"/>
              <w:jc w:val="left"/>
              <w:rPr>
                <w:rFonts w:cs="Arial"/>
                <w:sz w:val="16"/>
                <w:szCs w:val="16"/>
              </w:rPr>
            </w:pPr>
            <w:r>
              <w:rPr>
                <w:rFonts w:cs="Arial"/>
                <w:sz w:val="16"/>
                <w:szCs w:val="16"/>
              </w:rPr>
              <w:t>(Appendix 2.20)</w:t>
            </w:r>
          </w:p>
        </w:tc>
        <w:tc>
          <w:tcPr>
            <w:tcW w:w="4110" w:type="dxa"/>
          </w:tcPr>
          <w:p w:rsidR="00934560" w:rsidRDefault="00E312F3" w:rsidP="00772B39">
            <w:pPr>
              <w:tabs>
                <w:tab w:val="clear" w:pos="851"/>
              </w:tabs>
              <w:spacing w:before="20" w:after="20"/>
              <w:ind w:left="0"/>
              <w:jc w:val="left"/>
              <w:rPr>
                <w:rFonts w:cs="Arial"/>
                <w:sz w:val="16"/>
                <w:szCs w:val="16"/>
              </w:rPr>
            </w:pPr>
            <w:r>
              <w:rPr>
                <w:rFonts w:cs="Arial"/>
                <w:sz w:val="16"/>
                <w:szCs w:val="16"/>
              </w:rPr>
              <w:t xml:space="preserve">Challenged </w:t>
            </w:r>
            <w:r w:rsidR="009258ED">
              <w:rPr>
                <w:rFonts w:cs="Arial"/>
                <w:sz w:val="16"/>
                <w:szCs w:val="16"/>
              </w:rPr>
              <w:t>PCC</w:t>
            </w:r>
            <w:r>
              <w:rPr>
                <w:rFonts w:cs="Arial"/>
                <w:sz w:val="16"/>
                <w:szCs w:val="16"/>
              </w:rPr>
              <w:t xml:space="preserve"> ambition.</w:t>
            </w:r>
          </w:p>
          <w:p w:rsidR="00E312F3" w:rsidRPr="00772B39" w:rsidRDefault="00E312F3" w:rsidP="00772B39">
            <w:pPr>
              <w:tabs>
                <w:tab w:val="clear" w:pos="851"/>
              </w:tabs>
              <w:spacing w:before="20" w:after="20"/>
              <w:ind w:left="0"/>
              <w:jc w:val="left"/>
              <w:rPr>
                <w:rFonts w:cs="Arial"/>
                <w:sz w:val="16"/>
                <w:szCs w:val="16"/>
              </w:rPr>
            </w:pPr>
            <w:r>
              <w:rPr>
                <w:rFonts w:cs="Arial"/>
                <w:sz w:val="16"/>
                <w:szCs w:val="16"/>
              </w:rPr>
              <w:t>Understand need for restrictions in droughts with 86% accepting hose pipe bans.</w:t>
            </w:r>
            <w:r>
              <w:rPr>
                <w:rFonts w:cs="Arial"/>
                <w:sz w:val="16"/>
                <w:szCs w:val="16"/>
              </w:rPr>
              <w:br/>
              <w:t>Pro-metering</w:t>
            </w:r>
          </w:p>
        </w:tc>
        <w:tc>
          <w:tcPr>
            <w:tcW w:w="2552" w:type="dxa"/>
          </w:tcPr>
          <w:p w:rsidR="00934560" w:rsidRPr="00772B39" w:rsidRDefault="00E312F3" w:rsidP="00772B39">
            <w:pPr>
              <w:tabs>
                <w:tab w:val="clear" w:pos="851"/>
              </w:tabs>
              <w:spacing w:before="20" w:after="20"/>
              <w:ind w:left="0"/>
              <w:jc w:val="left"/>
              <w:rPr>
                <w:rFonts w:cs="Arial"/>
                <w:sz w:val="16"/>
                <w:szCs w:val="16"/>
              </w:rPr>
            </w:pPr>
            <w:r>
              <w:rPr>
                <w:rFonts w:cs="Arial"/>
                <w:sz w:val="16"/>
                <w:szCs w:val="16"/>
              </w:rPr>
              <w:t xml:space="preserve">This </w:t>
            </w:r>
            <w:r w:rsidR="003D0BD7">
              <w:rPr>
                <w:rFonts w:cs="Arial"/>
                <w:sz w:val="16"/>
                <w:szCs w:val="16"/>
              </w:rPr>
              <w:t>self-selecting</w:t>
            </w:r>
            <w:r>
              <w:rPr>
                <w:rFonts w:cs="Arial"/>
                <w:sz w:val="16"/>
                <w:szCs w:val="16"/>
              </w:rPr>
              <w:t xml:space="preserve"> group were much more environmentally aware and pro-water efficiency than where representative groups are surveyed.  Results are interesting</w:t>
            </w:r>
            <w:r w:rsidR="003D0BD7">
              <w:rPr>
                <w:rFonts w:cs="Arial"/>
                <w:sz w:val="16"/>
                <w:szCs w:val="16"/>
              </w:rPr>
              <w:t>,</w:t>
            </w:r>
            <w:r>
              <w:rPr>
                <w:rFonts w:cs="Arial"/>
                <w:sz w:val="16"/>
                <w:szCs w:val="16"/>
              </w:rPr>
              <w:t xml:space="preserve"> but have not directly shaped our strategy.</w:t>
            </w:r>
          </w:p>
        </w:tc>
      </w:tr>
    </w:tbl>
    <w:p w:rsidR="00672145" w:rsidRDefault="00672145" w:rsidP="00DF6628">
      <w:pPr>
        <w:spacing w:after="0"/>
        <w:rPr>
          <w:b/>
        </w:rPr>
      </w:pPr>
    </w:p>
    <w:p w:rsidR="00672145" w:rsidRDefault="00672145" w:rsidP="00EB1D4C">
      <w:pPr>
        <w:rPr>
          <w:b/>
        </w:rPr>
      </w:pPr>
      <w:r>
        <w:rPr>
          <w:b/>
        </w:rPr>
        <w:t xml:space="preserve">Per Capita Consumptions - </w:t>
      </w:r>
      <w:r w:rsidR="00EB1D4C" w:rsidRPr="00EB1D4C">
        <w:rPr>
          <w:b/>
        </w:rPr>
        <w:t>Helping Customers to Use Less Water at Home</w:t>
      </w:r>
    </w:p>
    <w:p w:rsidR="00EB1D4C" w:rsidRPr="00EB1D4C" w:rsidRDefault="00672145" w:rsidP="00EB1D4C">
      <w:pPr>
        <w:rPr>
          <w:b/>
        </w:rPr>
      </w:pPr>
      <w:r>
        <w:rPr>
          <w:b/>
        </w:rPr>
        <w:t>W</w:t>
      </w:r>
      <w:r w:rsidR="00ED6865">
        <w:rPr>
          <w:b/>
        </w:rPr>
        <w:t>hat customers said</w:t>
      </w:r>
    </w:p>
    <w:p w:rsidR="00EB1D4C" w:rsidRPr="00EB1D4C" w:rsidRDefault="00C6348C" w:rsidP="00C6348C">
      <w:r>
        <w:t>C</w:t>
      </w:r>
      <w:r w:rsidR="00EB1D4C" w:rsidRPr="00EB1D4C">
        <w:t xml:space="preserve">ustomers would like more information on how much water they use and how they can reduce any wastage.  Our water efficiency programme addresses this requirement, but </w:t>
      </w:r>
      <w:r w:rsidR="00672145">
        <w:t>needs to increase</w:t>
      </w:r>
      <w:r w:rsidR="00EB1D4C" w:rsidRPr="00EB1D4C">
        <w:t xml:space="preserve">.  </w:t>
      </w:r>
    </w:p>
    <w:p w:rsidR="00EB1D4C" w:rsidRPr="00EB1D4C" w:rsidRDefault="00C6348C" w:rsidP="00EB1D4C">
      <w:r>
        <w:t>M</w:t>
      </w:r>
      <w:r w:rsidR="00EB1D4C" w:rsidRPr="00EB1D4C">
        <w:t>etering is contentious with our customers.  Whilst generally people concur with the principle that customers should pay for what they use</w:t>
      </w:r>
      <w:r w:rsidR="00672145">
        <w:t>,</w:t>
      </w:r>
      <w:r w:rsidR="00EB1D4C" w:rsidRPr="00EB1D4C">
        <w:t xml:space="preserve"> there is a strong view that customers should be able to choose whether they have a meter installed.  This was a strong theme with our focus groups and student surveys.  </w:t>
      </w:r>
    </w:p>
    <w:p w:rsidR="00EB1D4C" w:rsidRPr="00EB1D4C" w:rsidRDefault="003D0BD7" w:rsidP="00EB1D4C">
      <w:r w:rsidRPr="00EB1D4C">
        <w:t>Similarly,</w:t>
      </w:r>
      <w:r w:rsidR="00EB1D4C" w:rsidRPr="00EB1D4C">
        <w:t xml:space="preserve"> customers are not generally supportive of “change of occupier” </w:t>
      </w:r>
      <w:r w:rsidRPr="00EB1D4C">
        <w:t>metering,</w:t>
      </w:r>
      <w:r w:rsidR="00EB1D4C" w:rsidRPr="00EB1D4C">
        <w:t xml:space="preserve"> as again the customer does not have</w:t>
      </w:r>
      <w:r w:rsidR="00672145">
        <w:t xml:space="preserve"> a</w:t>
      </w:r>
      <w:r w:rsidR="00EB1D4C" w:rsidRPr="00EB1D4C">
        <w:t xml:space="preserve"> choice.  The research shows that customers would prefer compulsory metering of all households, instructed by legislation, rather than compulsory metering of some segments of the</w:t>
      </w:r>
      <w:r w:rsidR="00E4688F">
        <w:t xml:space="preserve"> company’s</w:t>
      </w:r>
      <w:r w:rsidR="00EB1D4C" w:rsidRPr="00EB1D4C">
        <w:t xml:space="preserve"> customer base.</w:t>
      </w:r>
    </w:p>
    <w:p w:rsidR="00EB1D4C" w:rsidRPr="00EB1D4C" w:rsidRDefault="00EB1D4C" w:rsidP="00EB1D4C">
      <w:r w:rsidRPr="00EB1D4C">
        <w:t xml:space="preserve">The feedback we received from our draft Water Resources Management Plan on metering is somewhat at odds with all other research for PR19, with a much higher level of support for metering generally.  We had over 2,200 responses to our WRMP and at least 70% support the Company metering proposals and the implementation of compulsory metering in particular.  </w:t>
      </w:r>
      <w:r w:rsidR="00E4688F">
        <w:t xml:space="preserve">However, </w:t>
      </w:r>
      <w:r w:rsidR="00C146E9">
        <w:t>this survey invited all customers that we had an email add</w:t>
      </w:r>
      <w:r w:rsidR="00087AE3">
        <w:t xml:space="preserve">ress for to respond to our plan.  It is </w:t>
      </w:r>
      <w:r w:rsidR="001C7246">
        <w:t xml:space="preserve">also </w:t>
      </w:r>
      <w:r w:rsidR="00087AE3">
        <w:t xml:space="preserve">likely </w:t>
      </w:r>
      <w:r w:rsidR="00192770">
        <w:t xml:space="preserve">that those with a particular interest in the environment responded.  Accordingly, it is </w:t>
      </w:r>
      <w:r w:rsidR="001C7246">
        <w:t xml:space="preserve">unlikely to be </w:t>
      </w:r>
      <w:r w:rsidR="00192770">
        <w:t>a representative sample of our whole customer base.</w:t>
      </w:r>
    </w:p>
    <w:p w:rsidR="00EB1D4C" w:rsidRPr="00EB1D4C" w:rsidRDefault="00EB1D4C" w:rsidP="00EB1D4C">
      <w:r w:rsidRPr="00EB1D4C">
        <w:t>In her initial response on our draft WRMP from the Secretary of State, Therese Coffey, comment</w:t>
      </w:r>
      <w:r w:rsidR="00867C57">
        <w:t>ed</w:t>
      </w:r>
      <w:r w:rsidRPr="00EB1D4C">
        <w:t xml:space="preserve"> that our per capita consumption forecast </w:t>
      </w:r>
      <w:r w:rsidR="00867C57">
        <w:t>wa</w:t>
      </w:r>
      <w:r w:rsidRPr="00EB1D4C">
        <w:t>s not ambitious enough in the longer term.  This is (in part) the result of our inability to currently implement a compulsory metering programme</w:t>
      </w:r>
      <w:r w:rsidR="00192770">
        <w:t xml:space="preserve"> as it is principally metering that</w:t>
      </w:r>
      <w:r w:rsidR="00867C57">
        <w:t xml:space="preserve"> significantly</w:t>
      </w:r>
      <w:r w:rsidR="00192770">
        <w:t xml:space="preserve"> drives down </w:t>
      </w:r>
      <w:r w:rsidR="009258ED">
        <w:t>PCC</w:t>
      </w:r>
      <w:r w:rsidR="00192770">
        <w:t>.</w:t>
      </w:r>
      <w:r w:rsidRPr="00EB1D4C">
        <w:t xml:space="preserve"> </w:t>
      </w:r>
      <w:r w:rsidR="001C7246">
        <w:t xml:space="preserve"> We have reflected these views in our plan see below.</w:t>
      </w:r>
    </w:p>
    <w:p w:rsidR="00D70395" w:rsidRDefault="00D70395">
      <w:pPr>
        <w:tabs>
          <w:tab w:val="clear" w:pos="851"/>
        </w:tabs>
        <w:spacing w:after="0"/>
        <w:ind w:left="0"/>
        <w:jc w:val="left"/>
        <w:rPr>
          <w:b/>
        </w:rPr>
      </w:pPr>
      <w:r>
        <w:rPr>
          <w:b/>
        </w:rPr>
        <w:br w:type="page"/>
      </w:r>
    </w:p>
    <w:p w:rsidR="00EB1D4C" w:rsidRPr="00EB1D4C" w:rsidRDefault="00EB1D4C" w:rsidP="00EB1D4C">
      <w:r w:rsidRPr="00EB1D4C">
        <w:rPr>
          <w:b/>
        </w:rPr>
        <w:t>Risk of restrictions in severe drought</w:t>
      </w:r>
      <w:r w:rsidR="00ED6865">
        <w:rPr>
          <w:b/>
        </w:rPr>
        <w:t xml:space="preserve"> – what customers said</w:t>
      </w:r>
    </w:p>
    <w:p w:rsidR="00EB1D4C" w:rsidRPr="00EB1D4C" w:rsidRDefault="00EB1D4C" w:rsidP="00EB1D4C">
      <w:r w:rsidRPr="00EB1D4C">
        <w:t xml:space="preserve">Our Water Resource Management Plan (WRMP) shows that over the next 25 years we do have sufficient water to meet the needs of both our current and future customers, under a number of scenarios.  This includes the requirement to assess our ability to meet customer requirements in a severe drought, quantified as a 1 in </w:t>
      </w:r>
      <w:r w:rsidR="003D0BD7" w:rsidRPr="00EB1D4C">
        <w:t>200-year</w:t>
      </w:r>
      <w:r w:rsidRPr="00EB1D4C">
        <w:t xml:space="preserve"> event.</w:t>
      </w:r>
    </w:p>
    <w:p w:rsidR="00EB1D4C" w:rsidRPr="00EB1D4C" w:rsidRDefault="00EB1D4C" w:rsidP="00EB1D4C">
      <w:r w:rsidRPr="00EB1D4C">
        <w:t xml:space="preserve">In extreme (or rarer) </w:t>
      </w:r>
      <w:r w:rsidR="003D0BD7" w:rsidRPr="00EB1D4C">
        <w:t>droughts,</w:t>
      </w:r>
      <w:r w:rsidRPr="00EB1D4C">
        <w:t xml:space="preserve"> the option of restricting customer use through the installation of stand pipes or the use of rota cuts has been tested.  </w:t>
      </w:r>
      <w:r w:rsidR="003D0BD7" w:rsidRPr="00EB1D4C">
        <w:t>Particularly older customers do not support this</w:t>
      </w:r>
      <w:r w:rsidRPr="00EB1D4C">
        <w:t xml:space="preserve">.  </w:t>
      </w:r>
    </w:p>
    <w:p w:rsidR="00EB1D4C" w:rsidRPr="00EB1D4C" w:rsidRDefault="00EB1D4C" w:rsidP="00EB1D4C">
      <w:r w:rsidRPr="00EB1D4C">
        <w:t xml:space="preserve">Our customers appreciate that other parts of the South East may not be in as fortunate resource situation and would be willing to share water as long as it can be demonstrated that the receiving </w:t>
      </w:r>
      <w:r w:rsidR="00867C57">
        <w:t>c</w:t>
      </w:r>
      <w:r w:rsidRPr="00EB1D4C">
        <w:t>ompany, and their customers, are doing all they can to reduce demand and leakage.  They do also expect that we should ensure there are sufficient resources for them and that they should not suffer financially as a result of supplying other companies. This supports the planned bulk supplies to Southern Water in particular and the development of HTWSR in the medium term.</w:t>
      </w:r>
    </w:p>
    <w:p w:rsidR="00EB1D4C" w:rsidRPr="00EB1D4C" w:rsidRDefault="00867C57" w:rsidP="00EB1D4C">
      <w:r>
        <w:t xml:space="preserve">A </w:t>
      </w:r>
      <w:r w:rsidR="00EB1D4C" w:rsidRPr="00EB1D4C">
        <w:t>high number</w:t>
      </w:r>
      <w:r>
        <w:t xml:space="preserve"> of</w:t>
      </w:r>
      <w:r w:rsidR="00EB1D4C" w:rsidRPr="00EB1D4C">
        <w:t xml:space="preserve"> customer responses to the WRMP</w:t>
      </w:r>
      <w:r>
        <w:t xml:space="preserve"> consultation</w:t>
      </w:r>
      <w:r w:rsidR="00EB1D4C" w:rsidRPr="00EB1D4C">
        <w:t xml:space="preserve"> showed support for our plans; the concept of sharing water is seen as sensible, as long as it does not increase the risk of failure to our customer base (or result in higher bills). </w:t>
      </w:r>
      <w:r w:rsidR="00F2161B">
        <w:t xml:space="preserve"> See Appendix 2.27.</w:t>
      </w:r>
    </w:p>
    <w:p w:rsidR="00EB1D4C" w:rsidRDefault="00EB1D4C" w:rsidP="00EB1D4C">
      <w:r w:rsidRPr="00EB1D4C">
        <w:t>The dev</w:t>
      </w:r>
      <w:r w:rsidR="00DF6628">
        <w:t xml:space="preserve">elopment of HTWSR </w:t>
      </w:r>
      <w:r w:rsidRPr="00EB1D4C">
        <w:t xml:space="preserve">is strongly supported, recognising that it also has recreational and environmental benefits.  Our focus groups stated that there are issues around who should pay for its development and how any costs and income streams associated with providing the public access to any recreational opportunities should be ring fenced.  </w:t>
      </w:r>
    </w:p>
    <w:p w:rsidR="00C741CA" w:rsidRPr="00EB1D4C" w:rsidRDefault="00C741CA" w:rsidP="00EB1D4C">
      <w:r>
        <w:t xml:space="preserve">Acceptance testing showed that </w:t>
      </w:r>
      <w:r w:rsidR="00453F64">
        <w:t>8</w:t>
      </w:r>
      <w:r w:rsidR="00977912">
        <w:t>0</w:t>
      </w:r>
      <w:r w:rsidRPr="00453F64">
        <w:t>%</w:t>
      </w:r>
      <w:r>
        <w:t xml:space="preserve"> of customers supported HTWSR.</w:t>
      </w:r>
    </w:p>
    <w:p w:rsidR="00EB1D4C" w:rsidRPr="00EB1D4C" w:rsidRDefault="003D0BD7" w:rsidP="00EB1D4C">
      <w:r w:rsidRPr="00EB1D4C">
        <w:t>Finally,</w:t>
      </w:r>
      <w:r w:rsidR="00EB1D4C" w:rsidRPr="00EB1D4C">
        <w:t xml:space="preserve"> we have also engaged with specific stakeholders as part of progressing H</w:t>
      </w:r>
      <w:r w:rsidR="00DF6628">
        <w:t>TWSR</w:t>
      </w:r>
      <w:r w:rsidR="00EB1D4C" w:rsidRPr="00EB1D4C">
        <w:t>.  This includes</w:t>
      </w:r>
      <w:r w:rsidR="00867C57">
        <w:t xml:space="preserve"> the</w:t>
      </w:r>
      <w:r w:rsidR="00EB1D4C" w:rsidRPr="00EB1D4C">
        <w:t xml:space="preserve"> E</w:t>
      </w:r>
      <w:r w:rsidR="00867C57">
        <w:t xml:space="preserve">nvironment </w:t>
      </w:r>
      <w:r w:rsidR="00EB1D4C" w:rsidRPr="00EB1D4C">
        <w:t>A</w:t>
      </w:r>
      <w:r w:rsidR="00867C57">
        <w:t>gency</w:t>
      </w:r>
      <w:r w:rsidR="00EB1D4C" w:rsidRPr="00EB1D4C">
        <w:t xml:space="preserve">, Natural England, Forestry Commission, Havant Borough Council, East Hants District Council and Hampshire County Council. All remain supportive of its development, as do the local residence groups.  </w:t>
      </w:r>
    </w:p>
    <w:p w:rsidR="00EB1D4C" w:rsidRPr="00EB1D4C" w:rsidRDefault="00EB1D4C" w:rsidP="00EB1D4C">
      <w:pPr>
        <w:rPr>
          <w:b/>
        </w:rPr>
      </w:pPr>
      <w:r w:rsidRPr="00EB1D4C">
        <w:rPr>
          <w:b/>
        </w:rPr>
        <w:t>Requirement to</w:t>
      </w:r>
      <w:r w:rsidR="00EA5FAD">
        <w:rPr>
          <w:b/>
        </w:rPr>
        <w:t xml:space="preserve"> Introduce Temporary Use Bans</w:t>
      </w:r>
      <w:r w:rsidR="00ED6865">
        <w:rPr>
          <w:b/>
        </w:rPr>
        <w:t>- what customers said</w:t>
      </w:r>
    </w:p>
    <w:p w:rsidR="00EB1D4C" w:rsidRPr="00EB1D4C" w:rsidRDefault="00EB1D4C" w:rsidP="00EB1D4C">
      <w:r w:rsidRPr="00EB1D4C">
        <w:t>Our engagement shows that, generally, customers understand the need to introduce Temporary Use Bans (TUBs) i</w:t>
      </w:r>
      <w:r w:rsidR="00EA5FAD">
        <w:t xml:space="preserve">n times when water is scarce.  However, they do </w:t>
      </w:r>
      <w:r w:rsidRPr="00EB1D4C">
        <w:t xml:space="preserve">expect </w:t>
      </w:r>
      <w:r w:rsidR="00867C57">
        <w:t xml:space="preserve">us </w:t>
      </w:r>
      <w:r w:rsidRPr="00EB1D4C">
        <w:t xml:space="preserve">to be able to demonstrate that it has driven down its leakage rate significantly and that such restrictions are a last resort.  </w:t>
      </w:r>
    </w:p>
    <w:p w:rsidR="00D70395" w:rsidRDefault="00EB1D4C" w:rsidP="00EB1D4C">
      <w:r w:rsidRPr="00EB1D4C">
        <w:t xml:space="preserve">We have only required a hosepipe ban once in our history, in 1976.  Many of our customers were not even born and so </w:t>
      </w:r>
      <w:r w:rsidR="00192770">
        <w:t xml:space="preserve">may </w:t>
      </w:r>
      <w:r w:rsidRPr="00EB1D4C">
        <w:t>have no real appreciation of what this would actually mean for them in practice.</w:t>
      </w:r>
    </w:p>
    <w:p w:rsidR="00D70395" w:rsidRDefault="00D70395">
      <w:pPr>
        <w:tabs>
          <w:tab w:val="clear" w:pos="851"/>
        </w:tabs>
        <w:spacing w:after="0"/>
        <w:ind w:left="0"/>
        <w:jc w:val="left"/>
      </w:pPr>
      <w:r>
        <w:br w:type="page"/>
      </w:r>
    </w:p>
    <w:p w:rsidR="0085097E" w:rsidRDefault="0085097E" w:rsidP="00777C75">
      <w:pPr>
        <w:pStyle w:val="Heading3"/>
      </w:pPr>
      <w:bookmarkStart w:id="53" w:name="_Toc522199979"/>
      <w:bookmarkStart w:id="54" w:name="_Toc522200076"/>
      <w:bookmarkStart w:id="55" w:name="_Toc523651256"/>
      <w:r w:rsidRPr="00777C75">
        <w:t>Delivering</w:t>
      </w:r>
      <w:r>
        <w:t xml:space="preserve"> the Outcome</w:t>
      </w:r>
      <w:bookmarkEnd w:id="53"/>
      <w:bookmarkEnd w:id="54"/>
      <w:bookmarkEnd w:id="55"/>
    </w:p>
    <w:p w:rsidR="00FC13AC" w:rsidRPr="004A69EC" w:rsidRDefault="00FC13AC" w:rsidP="00FC13AC">
      <w:pPr>
        <w:rPr>
          <w:rFonts w:cs="Arial"/>
          <w:b/>
        </w:rPr>
      </w:pPr>
      <w:r w:rsidRPr="004A69EC">
        <w:rPr>
          <w:rFonts w:cs="Arial"/>
          <w:b/>
        </w:rPr>
        <w:t>Background</w:t>
      </w:r>
    </w:p>
    <w:p w:rsidR="00FC13AC" w:rsidRDefault="00FC13AC" w:rsidP="00FC13AC">
      <w:r>
        <w:t xml:space="preserve">We are revising our Water Resources Management Plan for the period 2020-2045 in light of feedback from customers and stakeholders on our draft Plan </w:t>
      </w:r>
      <w:r w:rsidR="00867C57">
        <w:t xml:space="preserve">which </w:t>
      </w:r>
      <w:r>
        <w:t>was published for consultation in March 2018.</w:t>
      </w:r>
    </w:p>
    <w:p w:rsidR="00DF6628" w:rsidRDefault="00DF6628" w:rsidP="00FC13AC">
      <w:r>
        <w:t>In this Plan we consider a range of options for meeting water resource demands and choose the preferred strategy by considering a combination of least cost and risk of delivery.</w:t>
      </w:r>
    </w:p>
    <w:p w:rsidR="00FC13AC" w:rsidRDefault="00FC13AC" w:rsidP="00FC13AC">
      <w:r>
        <w:t xml:space="preserve">Our draft </w:t>
      </w:r>
      <w:r w:rsidR="00A11EF3">
        <w:t>P</w:t>
      </w:r>
      <w:r>
        <w:t>lan demonstrated that we have sufficient water for our customers both today and in the medium term under a large number of assumptions on drought severity.</w:t>
      </w:r>
    </w:p>
    <w:p w:rsidR="00FC13AC" w:rsidRDefault="00FC13AC" w:rsidP="00FC13AC">
      <w:r>
        <w:t xml:space="preserve">Our </w:t>
      </w:r>
      <w:r w:rsidR="00EA5FAD">
        <w:t>long-term</w:t>
      </w:r>
      <w:r>
        <w:t xml:space="preserve"> vision is to be able to support other companies in the South East through greater bulk supplies</w:t>
      </w:r>
      <w:r w:rsidR="003B02AB">
        <w:t xml:space="preserve"> and </w:t>
      </w:r>
      <w:r>
        <w:t xml:space="preserve">enhance our network transfer capabilities </w:t>
      </w:r>
      <w:r w:rsidR="00EA5FAD">
        <w:t>within both the Company area and the</w:t>
      </w:r>
      <w:r>
        <w:t xml:space="preserve"> region as a whole.</w:t>
      </w:r>
    </w:p>
    <w:p w:rsidR="00FC13AC" w:rsidRDefault="00FC13AC" w:rsidP="00FC13AC">
      <w:r>
        <w:t xml:space="preserve">We </w:t>
      </w:r>
      <w:r w:rsidR="003B02AB">
        <w:t xml:space="preserve">will employ a twin track approach </w:t>
      </w:r>
      <w:r>
        <w:t>to ensure we can meet customer expectations in the longer term.  These include demand side actions, principally metering</w:t>
      </w:r>
      <w:r w:rsidR="003B02AB">
        <w:t>,</w:t>
      </w:r>
      <w:r>
        <w:t xml:space="preserve"> leakage and water efficiency activities, and supply side including the development of Havant Thicket </w:t>
      </w:r>
      <w:r w:rsidR="003B02AB">
        <w:t>Winter Storage Reservoir and development of a new borehole</w:t>
      </w:r>
      <w:r>
        <w:t xml:space="preserve">.  </w:t>
      </w:r>
    </w:p>
    <w:p w:rsidR="00FC13AC" w:rsidRPr="001B15A4" w:rsidRDefault="00FC13AC" w:rsidP="00FC13AC">
      <w:pPr>
        <w:rPr>
          <w:rFonts w:cs="Arial"/>
        </w:rPr>
      </w:pPr>
      <w:r w:rsidRPr="001B15A4">
        <w:rPr>
          <w:rFonts w:cs="Arial"/>
        </w:rPr>
        <w:t xml:space="preserve">The Company demonstrated at WRMP 14 that it was in a position to supply water in more severe droughts than it has ever experienced in the past.  We quantified the most extreme drought (1976) to be equivalent to an event once every 80 years, and demonstrated we could meet customer requirements in a one in </w:t>
      </w:r>
      <w:r w:rsidR="00EA5FAD" w:rsidRPr="001B15A4">
        <w:rPr>
          <w:rFonts w:cs="Arial"/>
        </w:rPr>
        <w:t>200-year</w:t>
      </w:r>
      <w:r w:rsidRPr="001B15A4">
        <w:rPr>
          <w:rFonts w:cs="Arial"/>
        </w:rPr>
        <w:t xml:space="preserve"> event.  </w:t>
      </w:r>
    </w:p>
    <w:p w:rsidR="00FC13AC" w:rsidRPr="001B15A4" w:rsidRDefault="00FC13AC" w:rsidP="00FC13AC">
      <w:pPr>
        <w:rPr>
          <w:rFonts w:cs="Arial"/>
        </w:rPr>
      </w:pPr>
      <w:r w:rsidRPr="001B15A4">
        <w:rPr>
          <w:rFonts w:cs="Arial"/>
        </w:rPr>
        <w:t>This scenario now underpins our draft WRMP19, published in March 2018, where we again demonstrate that we have sufficient water for our customers both today and in the medium term relative to drought severity of 1 in 200 years</w:t>
      </w:r>
      <w:r w:rsidR="003B02AB">
        <w:rPr>
          <w:rFonts w:cs="Arial"/>
        </w:rPr>
        <w:t xml:space="preserve"> even having provided bulk supplies</w:t>
      </w:r>
      <w:r w:rsidRPr="001B15A4">
        <w:rPr>
          <w:rFonts w:cs="Arial"/>
        </w:rPr>
        <w:t xml:space="preserve">.  </w:t>
      </w:r>
    </w:p>
    <w:p w:rsidR="00FC13AC" w:rsidRPr="001B15A4" w:rsidRDefault="00FC13AC" w:rsidP="00FC13AC">
      <w:pPr>
        <w:rPr>
          <w:rFonts w:cs="Arial"/>
        </w:rPr>
      </w:pPr>
      <w:r w:rsidRPr="001B15A4">
        <w:rPr>
          <w:rFonts w:cs="Arial"/>
        </w:rPr>
        <w:t xml:space="preserve">However, when we look at the region as a whole, we are able to share our surplus water and invest in new </w:t>
      </w:r>
      <w:r w:rsidR="00EA5FAD" w:rsidRPr="001B15A4">
        <w:rPr>
          <w:rFonts w:cs="Arial"/>
        </w:rPr>
        <w:t>assets that</w:t>
      </w:r>
      <w:r w:rsidRPr="001B15A4">
        <w:rPr>
          <w:rFonts w:cs="Arial"/>
        </w:rPr>
        <w:t xml:space="preserve"> will enable the Company to make greater bulk supplies to Southern Water.  The cost of our options are lower than others that Southern have available to it and thus the overall cost to its (Southern Water’s) customers are lower as a result. </w:t>
      </w:r>
    </w:p>
    <w:p w:rsidR="00FC13AC" w:rsidRPr="003B02AB" w:rsidRDefault="00FC13AC" w:rsidP="00FC13AC">
      <w:pPr>
        <w:rPr>
          <w:rFonts w:cs="Arial"/>
        </w:rPr>
      </w:pPr>
      <w:r w:rsidRPr="003B02AB">
        <w:rPr>
          <w:rFonts w:cs="Arial"/>
        </w:rPr>
        <w:t>We have also considered third party options and propose to work with Albion Water to minimise the impact of significant new housing developments in our area.  This strategy reduces the expected growth in demand.  These</w:t>
      </w:r>
      <w:r w:rsidR="00A563F8">
        <w:rPr>
          <w:rFonts w:cs="Arial"/>
        </w:rPr>
        <w:t xml:space="preserve"> are</w:t>
      </w:r>
      <w:r w:rsidRPr="003B02AB">
        <w:rPr>
          <w:rFonts w:cs="Arial"/>
        </w:rPr>
        <w:t xml:space="preserve"> innovative solutions, </w:t>
      </w:r>
      <w:r w:rsidR="00A563F8">
        <w:rPr>
          <w:rFonts w:cs="Arial"/>
        </w:rPr>
        <w:t xml:space="preserve">promoting </w:t>
      </w:r>
      <w:r w:rsidRPr="003B02AB">
        <w:rPr>
          <w:rFonts w:cs="Arial"/>
        </w:rPr>
        <w:t>lower use new homes is essential in the region as a whole.</w:t>
      </w:r>
    </w:p>
    <w:p w:rsidR="00FC13AC" w:rsidRPr="008E6AD1" w:rsidRDefault="00FC13AC" w:rsidP="00FC13AC">
      <w:r w:rsidRPr="008E6AD1">
        <w:t>W</w:t>
      </w:r>
      <w:r>
        <w:t xml:space="preserve">e have plans to </w:t>
      </w:r>
      <w:r w:rsidR="003B02AB">
        <w:t xml:space="preserve">implement </w:t>
      </w:r>
      <w:r w:rsidR="00867C57">
        <w:t xml:space="preserve">a low use strategy </w:t>
      </w:r>
      <w:r w:rsidRPr="008E6AD1">
        <w:t xml:space="preserve">with Fareham Borough Council at the Welborne development and will </w:t>
      </w:r>
      <w:r>
        <w:t xml:space="preserve">also seek to </w:t>
      </w:r>
      <w:r w:rsidRPr="008E6AD1">
        <w:t>dev</w:t>
      </w:r>
      <w:r>
        <w:t>elop other relationships</w:t>
      </w:r>
      <w:r w:rsidRPr="008E6AD1">
        <w:t>.</w:t>
      </w:r>
      <w:r>
        <w:t xml:space="preserve">  Working in partnership with Albion Water</w:t>
      </w:r>
      <w:r w:rsidR="003B02AB">
        <w:t xml:space="preserve"> and other NAV’s</w:t>
      </w:r>
      <w:r>
        <w:t xml:space="preserve">, we will promote grey water re-use systems, which reduce the impact of new homes on the </w:t>
      </w:r>
      <w:r w:rsidR="00EA5FAD">
        <w:t>long-term</w:t>
      </w:r>
      <w:r>
        <w:t xml:space="preserve"> ability of the Company to supply all customers.</w:t>
      </w:r>
    </w:p>
    <w:p w:rsidR="00FC13AC" w:rsidRPr="00A6581B" w:rsidRDefault="00C57EB6" w:rsidP="00C57EB6">
      <w:pPr>
        <w:ind w:left="0"/>
        <w:rPr>
          <w:b/>
        </w:rPr>
      </w:pPr>
      <w:r>
        <w:rPr>
          <w:rFonts w:cs="Arial"/>
          <w:b/>
        </w:rPr>
        <w:tab/>
      </w:r>
      <w:r w:rsidR="009E7BCB">
        <w:rPr>
          <w:rFonts w:cs="Arial"/>
          <w:b/>
        </w:rPr>
        <w:t xml:space="preserve">Our Following Performance Commitments Underpin </w:t>
      </w:r>
      <w:r w:rsidR="00672145">
        <w:rPr>
          <w:rFonts w:cs="Arial"/>
          <w:b/>
        </w:rPr>
        <w:t xml:space="preserve">this </w:t>
      </w:r>
      <w:r w:rsidR="009E7BCB">
        <w:rPr>
          <w:rFonts w:cs="Arial"/>
          <w:b/>
        </w:rPr>
        <w:t>Outcome</w:t>
      </w:r>
    </w:p>
    <w:p w:rsidR="00845529" w:rsidRPr="00845529" w:rsidRDefault="00845529" w:rsidP="00946D16">
      <w:pPr>
        <w:pStyle w:val="ListParagraph"/>
        <w:numPr>
          <w:ilvl w:val="0"/>
          <w:numId w:val="19"/>
        </w:numPr>
        <w:rPr>
          <w:rFonts w:ascii="Arial" w:hAnsi="Arial" w:cs="Arial"/>
          <w:b/>
          <w:sz w:val="24"/>
          <w:szCs w:val="24"/>
        </w:rPr>
      </w:pPr>
      <w:r w:rsidRPr="00845529">
        <w:rPr>
          <w:rFonts w:ascii="Arial" w:hAnsi="Arial" w:cs="Arial"/>
          <w:b/>
          <w:sz w:val="24"/>
          <w:szCs w:val="24"/>
        </w:rPr>
        <w:t>Per Capita Consumption – Helping Customers to use less water</w:t>
      </w:r>
    </w:p>
    <w:tbl>
      <w:tblPr>
        <w:tblStyle w:val="TableGrid"/>
        <w:tblW w:w="8783" w:type="dxa"/>
        <w:tblInd w:w="851" w:type="dxa"/>
        <w:tblLayout w:type="fixed"/>
        <w:tblLook w:val="04A0" w:firstRow="1" w:lastRow="0" w:firstColumn="1" w:lastColumn="0" w:noHBand="0" w:noVBand="1"/>
      </w:tblPr>
      <w:tblGrid>
        <w:gridCol w:w="2263"/>
        <w:gridCol w:w="709"/>
        <w:gridCol w:w="1653"/>
        <w:gridCol w:w="1654"/>
        <w:gridCol w:w="1654"/>
        <w:gridCol w:w="850"/>
      </w:tblGrid>
      <w:tr w:rsidR="00845529" w:rsidRPr="00482CC5" w:rsidTr="00672145">
        <w:tc>
          <w:tcPr>
            <w:tcW w:w="2263" w:type="dxa"/>
            <w:shd w:val="clear" w:color="auto" w:fill="2E74B5" w:themeFill="accent1" w:themeFillShade="BF"/>
          </w:tcPr>
          <w:p w:rsidR="00845529" w:rsidRPr="00482CC5" w:rsidRDefault="00845529" w:rsidP="00732F33">
            <w:pPr>
              <w:spacing w:after="0"/>
              <w:ind w:left="0"/>
              <w:rPr>
                <w:sz w:val="16"/>
                <w:szCs w:val="16"/>
              </w:rPr>
            </w:pPr>
            <w:r w:rsidRPr="00482CC5">
              <w:rPr>
                <w:b/>
                <w:bCs/>
                <w:color w:val="FFFFFF" w:themeColor="background1"/>
                <w:sz w:val="16"/>
                <w:szCs w:val="16"/>
              </w:rPr>
              <w:t>Performance Commitment</w:t>
            </w:r>
          </w:p>
        </w:tc>
        <w:tc>
          <w:tcPr>
            <w:tcW w:w="709" w:type="dxa"/>
            <w:shd w:val="clear" w:color="auto" w:fill="2E74B5" w:themeFill="accent1" w:themeFillShade="BF"/>
          </w:tcPr>
          <w:p w:rsidR="00845529" w:rsidRPr="00482CC5" w:rsidRDefault="00845529" w:rsidP="00732F33">
            <w:pPr>
              <w:spacing w:before="20" w:after="20"/>
              <w:ind w:left="0"/>
              <w:jc w:val="center"/>
              <w:rPr>
                <w:b/>
                <w:bCs/>
                <w:color w:val="FFFFFF" w:themeColor="background1"/>
                <w:sz w:val="16"/>
                <w:szCs w:val="16"/>
              </w:rPr>
            </w:pPr>
            <w:r w:rsidRPr="00482CC5">
              <w:rPr>
                <w:b/>
                <w:bCs/>
                <w:color w:val="FFFFFF" w:themeColor="background1"/>
                <w:sz w:val="16"/>
                <w:szCs w:val="16"/>
              </w:rPr>
              <w:t>Type</w:t>
            </w:r>
          </w:p>
        </w:tc>
        <w:tc>
          <w:tcPr>
            <w:tcW w:w="1653" w:type="dxa"/>
            <w:shd w:val="clear" w:color="auto" w:fill="2E74B5" w:themeFill="accent1" w:themeFillShade="BF"/>
          </w:tcPr>
          <w:p w:rsidR="00845529" w:rsidRPr="00482CC5" w:rsidRDefault="00845529" w:rsidP="00732F33">
            <w:pPr>
              <w:spacing w:after="0"/>
              <w:ind w:left="0"/>
              <w:rPr>
                <w:b/>
                <w:color w:val="FFFFFF" w:themeColor="background1"/>
                <w:sz w:val="16"/>
                <w:szCs w:val="16"/>
              </w:rPr>
            </w:pPr>
            <w:r w:rsidRPr="00482CC5">
              <w:rPr>
                <w:b/>
                <w:color w:val="FFFFFF" w:themeColor="background1"/>
                <w:sz w:val="16"/>
                <w:szCs w:val="16"/>
              </w:rPr>
              <w:t>AMP6 Performance</w:t>
            </w:r>
          </w:p>
        </w:tc>
        <w:tc>
          <w:tcPr>
            <w:tcW w:w="1654" w:type="dxa"/>
            <w:shd w:val="clear" w:color="auto" w:fill="2E74B5" w:themeFill="accent1" w:themeFillShade="BF"/>
          </w:tcPr>
          <w:p w:rsidR="00845529" w:rsidRPr="00482CC5" w:rsidRDefault="00845529" w:rsidP="00732F33">
            <w:pPr>
              <w:spacing w:after="0"/>
              <w:ind w:left="0"/>
              <w:rPr>
                <w:b/>
                <w:color w:val="FFFFFF" w:themeColor="background1"/>
                <w:sz w:val="16"/>
                <w:szCs w:val="16"/>
              </w:rPr>
            </w:pPr>
            <w:r w:rsidRPr="00482CC5">
              <w:rPr>
                <w:b/>
                <w:color w:val="FFFFFF" w:themeColor="background1"/>
                <w:sz w:val="16"/>
                <w:szCs w:val="16"/>
              </w:rPr>
              <w:t>2024/25 Target</w:t>
            </w:r>
          </w:p>
        </w:tc>
        <w:tc>
          <w:tcPr>
            <w:tcW w:w="1654" w:type="dxa"/>
            <w:shd w:val="clear" w:color="auto" w:fill="2E74B5" w:themeFill="accent1" w:themeFillShade="BF"/>
          </w:tcPr>
          <w:p w:rsidR="00845529" w:rsidRPr="00482CC5" w:rsidRDefault="00845529" w:rsidP="00732F33">
            <w:pPr>
              <w:spacing w:after="0"/>
              <w:ind w:left="0"/>
              <w:rPr>
                <w:b/>
                <w:color w:val="FFFFFF" w:themeColor="background1"/>
                <w:sz w:val="16"/>
                <w:szCs w:val="16"/>
              </w:rPr>
            </w:pPr>
            <w:r w:rsidRPr="00482CC5">
              <w:rPr>
                <w:b/>
                <w:color w:val="FFFFFF" w:themeColor="background1"/>
                <w:sz w:val="16"/>
                <w:szCs w:val="16"/>
              </w:rPr>
              <w:t>2034/35 Target</w:t>
            </w:r>
          </w:p>
        </w:tc>
        <w:tc>
          <w:tcPr>
            <w:tcW w:w="850" w:type="dxa"/>
            <w:shd w:val="clear" w:color="auto" w:fill="2E74B5" w:themeFill="accent1" w:themeFillShade="BF"/>
          </w:tcPr>
          <w:p w:rsidR="00845529" w:rsidRPr="00482CC5" w:rsidRDefault="00845529" w:rsidP="00732F33">
            <w:pPr>
              <w:spacing w:after="0"/>
              <w:ind w:left="0"/>
              <w:jc w:val="center"/>
              <w:rPr>
                <w:b/>
                <w:color w:val="FFFFFF" w:themeColor="background1"/>
                <w:sz w:val="16"/>
                <w:szCs w:val="16"/>
              </w:rPr>
            </w:pPr>
            <w:r w:rsidRPr="00482CC5">
              <w:rPr>
                <w:b/>
                <w:color w:val="FFFFFF" w:themeColor="background1"/>
                <w:sz w:val="16"/>
                <w:szCs w:val="16"/>
              </w:rPr>
              <w:t>Reward/Penalty</w:t>
            </w:r>
          </w:p>
        </w:tc>
      </w:tr>
      <w:tr w:rsidR="00845529" w:rsidRPr="00482CC5" w:rsidTr="00672145">
        <w:tc>
          <w:tcPr>
            <w:tcW w:w="2263" w:type="dxa"/>
          </w:tcPr>
          <w:p w:rsidR="00845529" w:rsidRPr="00482CC5" w:rsidRDefault="00845529" w:rsidP="00732F33">
            <w:pPr>
              <w:spacing w:before="20" w:after="20"/>
              <w:ind w:left="0"/>
              <w:rPr>
                <w:sz w:val="16"/>
                <w:szCs w:val="16"/>
              </w:rPr>
            </w:pPr>
            <w:r w:rsidRPr="00482CC5">
              <w:rPr>
                <w:sz w:val="16"/>
                <w:szCs w:val="16"/>
              </w:rPr>
              <w:t>Per Capita Consumption</w:t>
            </w:r>
          </w:p>
        </w:tc>
        <w:tc>
          <w:tcPr>
            <w:tcW w:w="709" w:type="dxa"/>
          </w:tcPr>
          <w:p w:rsidR="00845529" w:rsidRPr="00482CC5" w:rsidRDefault="00845529" w:rsidP="00732F33">
            <w:pPr>
              <w:spacing w:before="20" w:after="20"/>
              <w:ind w:left="0"/>
              <w:jc w:val="center"/>
              <w:rPr>
                <w:sz w:val="16"/>
                <w:szCs w:val="16"/>
              </w:rPr>
            </w:pPr>
            <w:r w:rsidRPr="00482CC5">
              <w:rPr>
                <w:sz w:val="16"/>
                <w:szCs w:val="16"/>
              </w:rPr>
              <w:t>C</w:t>
            </w:r>
          </w:p>
        </w:tc>
        <w:tc>
          <w:tcPr>
            <w:tcW w:w="1653" w:type="dxa"/>
          </w:tcPr>
          <w:p w:rsidR="00845529" w:rsidRPr="00482CC5" w:rsidRDefault="00845529" w:rsidP="00732F33">
            <w:pPr>
              <w:spacing w:after="0"/>
              <w:ind w:left="0"/>
              <w:rPr>
                <w:sz w:val="16"/>
                <w:szCs w:val="16"/>
              </w:rPr>
            </w:pPr>
            <w:r w:rsidRPr="00482CC5">
              <w:rPr>
                <w:sz w:val="16"/>
                <w:szCs w:val="16"/>
              </w:rPr>
              <w:t>144 l/h/d (2017/18)</w:t>
            </w:r>
          </w:p>
        </w:tc>
        <w:tc>
          <w:tcPr>
            <w:tcW w:w="1654" w:type="dxa"/>
          </w:tcPr>
          <w:p w:rsidR="00845529" w:rsidRPr="00482CC5" w:rsidRDefault="00845529" w:rsidP="00732F33">
            <w:pPr>
              <w:spacing w:before="20" w:after="20"/>
              <w:ind w:left="0"/>
              <w:rPr>
                <w:sz w:val="16"/>
                <w:szCs w:val="16"/>
              </w:rPr>
            </w:pPr>
            <w:r w:rsidRPr="00482CC5">
              <w:rPr>
                <w:sz w:val="16"/>
                <w:szCs w:val="16"/>
              </w:rPr>
              <w:t>135l/h/d</w:t>
            </w:r>
          </w:p>
        </w:tc>
        <w:tc>
          <w:tcPr>
            <w:tcW w:w="1654" w:type="dxa"/>
          </w:tcPr>
          <w:p w:rsidR="00845529" w:rsidRPr="00482CC5" w:rsidRDefault="00A563F8" w:rsidP="00C51A49">
            <w:pPr>
              <w:spacing w:after="0"/>
              <w:ind w:left="0"/>
              <w:rPr>
                <w:sz w:val="16"/>
                <w:szCs w:val="16"/>
              </w:rPr>
            </w:pPr>
            <w:r w:rsidRPr="00482CC5">
              <w:rPr>
                <w:sz w:val="16"/>
                <w:szCs w:val="16"/>
              </w:rPr>
              <w:t>1</w:t>
            </w:r>
            <w:r w:rsidR="00C51A49">
              <w:rPr>
                <w:sz w:val="16"/>
                <w:szCs w:val="16"/>
              </w:rPr>
              <w:t>29</w:t>
            </w:r>
            <w:r w:rsidR="00845529" w:rsidRPr="00482CC5">
              <w:rPr>
                <w:sz w:val="16"/>
                <w:szCs w:val="16"/>
              </w:rPr>
              <w:t xml:space="preserve"> l/h/d</w:t>
            </w:r>
          </w:p>
        </w:tc>
        <w:tc>
          <w:tcPr>
            <w:tcW w:w="850" w:type="dxa"/>
          </w:tcPr>
          <w:p w:rsidR="00845529" w:rsidRPr="00482CC5" w:rsidRDefault="00E312F3" w:rsidP="00C6348C">
            <w:pPr>
              <w:spacing w:after="0"/>
              <w:ind w:left="0"/>
              <w:jc w:val="center"/>
              <w:rPr>
                <w:sz w:val="16"/>
                <w:szCs w:val="16"/>
              </w:rPr>
            </w:pPr>
            <w:r w:rsidRPr="00482CC5">
              <w:rPr>
                <w:sz w:val="16"/>
                <w:szCs w:val="16"/>
              </w:rPr>
              <w:t>E</w:t>
            </w:r>
            <w:r w:rsidR="00845529" w:rsidRPr="00482CC5">
              <w:rPr>
                <w:sz w:val="16"/>
                <w:szCs w:val="16"/>
              </w:rPr>
              <w:t>R/</w:t>
            </w:r>
            <w:r w:rsidRPr="00482CC5">
              <w:rPr>
                <w:sz w:val="16"/>
                <w:szCs w:val="16"/>
              </w:rPr>
              <w:t>E</w:t>
            </w:r>
            <w:r w:rsidR="00845529" w:rsidRPr="00482CC5">
              <w:rPr>
                <w:sz w:val="16"/>
                <w:szCs w:val="16"/>
              </w:rPr>
              <w:t>P</w:t>
            </w:r>
          </w:p>
        </w:tc>
      </w:tr>
    </w:tbl>
    <w:p w:rsidR="005471C9" w:rsidRDefault="005471C9" w:rsidP="005471C9">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79430F" w:rsidRDefault="0079430F" w:rsidP="00FC13AC">
      <w:r>
        <w:t xml:space="preserve">This is a common </w:t>
      </w:r>
      <w:r w:rsidR="00867C57">
        <w:t>P</w:t>
      </w:r>
      <w:r>
        <w:t xml:space="preserve">erformance </w:t>
      </w:r>
      <w:r w:rsidR="00867C57">
        <w:t>C</w:t>
      </w:r>
      <w:r>
        <w:t>ommitment.  It is enhanced reward and penalty.</w:t>
      </w:r>
    </w:p>
    <w:p w:rsidR="00FC13AC" w:rsidRDefault="009E7BCB" w:rsidP="00FC13AC">
      <w:r>
        <w:t>We</w:t>
      </w:r>
      <w:r w:rsidR="00FC13AC">
        <w:t xml:space="preserve"> estimate the average domestic </w:t>
      </w:r>
      <w:r w:rsidR="00867C57">
        <w:t xml:space="preserve">water use </w:t>
      </w:r>
      <w:r w:rsidR="00FC13AC">
        <w:t>in 2017/18 was 14</w:t>
      </w:r>
      <w:r w:rsidR="003B02AB">
        <w:t>4</w:t>
      </w:r>
      <w:r w:rsidR="00FC13AC">
        <w:t xml:space="preserve"> litres per person per day.  This is in the middle of the range of values the industry publishes.  Specifically the range is from 129 l/h/d to 159 l/h/d.  Consumptions vary due to many different factors such as weather patterns and socio-demographics.  However, a key influence is whether </w:t>
      </w:r>
      <w:r w:rsidR="00867C57">
        <w:t>a</w:t>
      </w:r>
      <w:r w:rsidR="00FC13AC">
        <w:t xml:space="preserve"> property is metered or not.</w:t>
      </w:r>
    </w:p>
    <w:p w:rsidR="00FC13AC" w:rsidRDefault="00FC13AC" w:rsidP="00FC13AC">
      <w:r>
        <w:t xml:space="preserve">Our plan will reduce this value </w:t>
      </w:r>
      <w:r w:rsidR="000B676C">
        <w:t xml:space="preserve">to 135 </w:t>
      </w:r>
      <w:r>
        <w:t>l/h/d by 20</w:t>
      </w:r>
      <w:r w:rsidR="000B676C">
        <w:t xml:space="preserve">24/25.  This level of </w:t>
      </w:r>
      <w:r w:rsidR="009258ED">
        <w:t>PCC</w:t>
      </w:r>
      <w:r w:rsidR="000B676C">
        <w:t xml:space="preserve"> is based on our WRMP assumptions around metering and new property growth.  Outperformance will be achieved by exceeding the expected number of meter installations and success in our water efficiency </w:t>
      </w:r>
      <w:r w:rsidR="00867C57">
        <w:t>strategy</w:t>
      </w:r>
      <w:r w:rsidR="000B676C">
        <w:t>.</w:t>
      </w:r>
    </w:p>
    <w:p w:rsidR="00FC13AC" w:rsidRDefault="009E7BCB" w:rsidP="00FC13AC">
      <w:r>
        <w:t>We</w:t>
      </w:r>
      <w:r w:rsidR="00FC13AC">
        <w:t xml:space="preserve"> believe the most effective method to influence customer usage is by installing meters at </w:t>
      </w:r>
      <w:r>
        <w:t>their property</w:t>
      </w:r>
      <w:r w:rsidR="00FC13AC">
        <w:t xml:space="preserve">.  </w:t>
      </w:r>
      <w:r w:rsidR="00C5794E">
        <w:t>We currently have the lowest meter penetration in the industry, having commenced metering of new properties in 2005, later than the rest of the industry</w:t>
      </w:r>
      <w:r w:rsidR="001C7246">
        <w:t>, because of our strong water resource position</w:t>
      </w:r>
      <w:r w:rsidR="00C5794E">
        <w:t xml:space="preserve">. </w:t>
      </w:r>
      <w:r w:rsidR="003B02AB">
        <w:t xml:space="preserve"> A</w:t>
      </w:r>
      <w:r w:rsidR="00FC13AC">
        <w:t xml:space="preserve"> key new strategy in our plan is to install meters at households and to provide customers with timely information on their usage</w:t>
      </w:r>
      <w:r w:rsidR="003B02AB">
        <w:t xml:space="preserve">, but not charge them </w:t>
      </w:r>
      <w:r w:rsidR="00EA5FAD">
        <w:t>based on</w:t>
      </w:r>
      <w:r w:rsidR="003B02AB">
        <w:t xml:space="preserve"> what they use</w:t>
      </w:r>
      <w:r w:rsidR="00FC13AC">
        <w:t>.</w:t>
      </w:r>
      <w:r w:rsidR="003B02AB">
        <w:t xml:space="preserve">  This is our ‘meters not for </w:t>
      </w:r>
      <w:r w:rsidR="00977912">
        <w:t>r</w:t>
      </w:r>
      <w:r w:rsidR="003B02AB">
        <w:t>evenue’ strategy.</w:t>
      </w:r>
    </w:p>
    <w:p w:rsidR="00FC13AC" w:rsidRDefault="00FC13AC" w:rsidP="00FC13AC">
      <w:r>
        <w:t xml:space="preserve">The appetite of our domestic customers to </w:t>
      </w:r>
      <w:r w:rsidR="002B0366">
        <w:t xml:space="preserve">switch </w:t>
      </w:r>
      <w:r>
        <w:t>willingly to a meter is limited despite numerous different promotion activities.  This is due in part to the absolute low level of our bill, and customers unwilling</w:t>
      </w:r>
      <w:r w:rsidR="00867C57">
        <w:t>ness</w:t>
      </w:r>
      <w:r>
        <w:t xml:space="preserve"> to have less certainty in their bills, and their limited knowledge of the link to the Southern Water wastewater bill. </w:t>
      </w:r>
      <w:r w:rsidR="00C5794E">
        <w:t xml:space="preserve"> We have seen a fall off in</w:t>
      </w:r>
      <w:r w:rsidR="00017B81">
        <w:t xml:space="preserve"> the number of</w:t>
      </w:r>
      <w:r w:rsidR="00C5794E">
        <w:t xml:space="preserve"> customers choosing a meter </w:t>
      </w:r>
      <w:r w:rsidR="00017B81">
        <w:t xml:space="preserve">each year </w:t>
      </w:r>
      <w:r w:rsidR="00C5794E">
        <w:t xml:space="preserve">from a peak of </w:t>
      </w:r>
      <w:r w:rsidR="00017B81">
        <w:t>over 5</w:t>
      </w:r>
      <w:r w:rsidR="00867C57">
        <w:t>,</w:t>
      </w:r>
      <w:r w:rsidR="00017B81">
        <w:t>000 to less than 3</w:t>
      </w:r>
      <w:r w:rsidR="00867C57">
        <w:t>,</w:t>
      </w:r>
      <w:r w:rsidR="00017B81">
        <w:t xml:space="preserve">000 </w:t>
      </w:r>
      <w:r w:rsidR="002B0366">
        <w:t>in</w:t>
      </w:r>
      <w:r w:rsidR="00C5794E">
        <w:t xml:space="preserve"> 2017/18.</w:t>
      </w:r>
    </w:p>
    <w:p w:rsidR="00FC13AC" w:rsidRDefault="00EA5FAD" w:rsidP="00FC13AC">
      <w:r>
        <w:t>Therefore,</w:t>
      </w:r>
      <w:r w:rsidR="00FC13AC">
        <w:t xml:space="preserve"> our metering strategy tries to balance the expectations of customers and stakeholders alike and reduce the per capita consumption over time.</w:t>
      </w:r>
    </w:p>
    <w:p w:rsidR="00FC13AC" w:rsidRDefault="00FC13AC" w:rsidP="00FC13AC">
      <w:r>
        <w:t>We will continue to</w:t>
      </w:r>
      <w:r w:rsidR="003B02AB">
        <w:t xml:space="preserve"> provide</w:t>
      </w:r>
      <w:r>
        <w:t xml:space="preserve"> meters to unmeasured household customers free of charge, as required by the Water Industry Act (1999).  This will be complemented by three additional strategies.</w:t>
      </w:r>
    </w:p>
    <w:p w:rsidR="00FC13AC" w:rsidRDefault="00867C57" w:rsidP="00FC13AC">
      <w:pPr>
        <w:pStyle w:val="Bullets"/>
      </w:pPr>
      <w:r>
        <w:t>Meters n</w:t>
      </w:r>
      <w:r w:rsidR="00FC13AC">
        <w:t xml:space="preserve">ot for </w:t>
      </w:r>
      <w:r w:rsidR="00A11EF3">
        <w:t>r</w:t>
      </w:r>
      <w:r w:rsidR="00FC13AC">
        <w:t>evenue</w:t>
      </w:r>
      <w:r>
        <w:t xml:space="preserve"> </w:t>
      </w:r>
      <w:r w:rsidR="00FC13AC">
        <w:t>–</w:t>
      </w:r>
      <w:r>
        <w:t xml:space="preserve"> </w:t>
      </w:r>
      <w:r w:rsidR="00FC13AC">
        <w:t>we will install “</w:t>
      </w:r>
      <w:r w:rsidR="00FC13AC" w:rsidRPr="00A11EF3">
        <w:rPr>
          <w:caps/>
        </w:rPr>
        <w:t>smart</w:t>
      </w:r>
      <w:r w:rsidR="00FC13AC">
        <w:t>” meters at properties and provide customers with timely information and comparisons on the recent usage.</w:t>
      </w:r>
      <w:r w:rsidR="002B0366">
        <w:t xml:space="preserve"> We have begun a trail of 500 customers and plan a 500 meter a year roll out in AMP7.</w:t>
      </w:r>
    </w:p>
    <w:p w:rsidR="00FC13AC" w:rsidRDefault="00FC13AC" w:rsidP="00FC13AC">
      <w:pPr>
        <w:pStyle w:val="Bullets"/>
      </w:pPr>
      <w:r>
        <w:t xml:space="preserve">Void properties – </w:t>
      </w:r>
      <w:r w:rsidR="00894678">
        <w:t xml:space="preserve">Where feasible, we will meter properties that have been void for more than six months.  This will ensure that we can be certain they are correctly marked as void, and will allow us to identify re-occupation. </w:t>
      </w:r>
    </w:p>
    <w:p w:rsidR="00FC13AC" w:rsidRDefault="00FC13AC" w:rsidP="00FC13AC">
      <w:pPr>
        <w:pStyle w:val="Bullets"/>
      </w:pPr>
      <w:r>
        <w:t>Change of occupier metering – we will selectively install meters where change of occupier occurs, and a boundary box exists.  This will minimise the overall cost of the programme on all customers.</w:t>
      </w:r>
      <w:r w:rsidR="00DF6628">
        <w:t xml:space="preserve">  We will also seek to gain customer support to meter all change of occupiers from 2025 and we have assumed this in our WRMP.</w:t>
      </w:r>
    </w:p>
    <w:p w:rsidR="00FC13AC" w:rsidRDefault="00FC13AC" w:rsidP="00FC13AC">
      <w:pPr>
        <w:pStyle w:val="Bullets"/>
        <w:numPr>
          <w:ilvl w:val="0"/>
          <w:numId w:val="0"/>
        </w:numPr>
        <w:ind w:left="1848"/>
      </w:pPr>
    </w:p>
    <w:p w:rsidR="00FC13AC" w:rsidRDefault="00FC13AC" w:rsidP="00FC13AC">
      <w:r>
        <w:t xml:space="preserve">We believe </w:t>
      </w:r>
      <w:r w:rsidRPr="008E6AD1">
        <w:t>the “not for revenue” metering programme will provide customers with information on their usage</w:t>
      </w:r>
      <w:r>
        <w:t xml:space="preserve"> addresses many of the concerns of our customers.  </w:t>
      </w:r>
      <w:r w:rsidRPr="008E6AD1">
        <w:t>The objective of this strategy is to help customers use less water over time</w:t>
      </w:r>
      <w:r w:rsidR="00FE279C">
        <w:t>, and for us to understand how best to influence the water using behaviour of the wider customer base.</w:t>
      </w:r>
      <w:r w:rsidRPr="008E6AD1">
        <w:t xml:space="preserve">  The use of smart meters will give customers the opportunity to monitor their own usage in a timely manner.</w:t>
      </w:r>
      <w:r>
        <w:t xml:space="preserve">  They can then choose whether to switch to a measured basis.</w:t>
      </w:r>
    </w:p>
    <w:p w:rsidR="00017B81" w:rsidRDefault="00017B81" w:rsidP="00FC13AC">
      <w:r>
        <w:t xml:space="preserve">The Environment Agency </w:t>
      </w:r>
      <w:r w:rsidR="00867C57">
        <w:t xml:space="preserve">has </w:t>
      </w:r>
      <w:r w:rsidR="00EA5FAD">
        <w:t>assessed</w:t>
      </w:r>
      <w:r>
        <w:t xml:space="preserve"> the level of stress in each water supply area, based on a specific formula.  Our area of supply is classified as </w:t>
      </w:r>
      <w:r w:rsidR="00EA5FAD">
        <w:t>‘</w:t>
      </w:r>
      <w:r>
        <w:t>water stressed</w:t>
      </w:r>
      <w:r w:rsidR="00EA5FAD">
        <w:t>’</w:t>
      </w:r>
      <w:r>
        <w:t xml:space="preserve">, whilst every other area </w:t>
      </w:r>
      <w:r w:rsidR="00EA5FAD">
        <w:t>in the South East is deemed</w:t>
      </w:r>
      <w:r>
        <w:t xml:space="preserve"> ‘seriously water stressed’.  This is important in terms of metering strategy as only companies in ‘serious</w:t>
      </w:r>
      <w:r w:rsidR="005471C9">
        <w:t>ly</w:t>
      </w:r>
      <w:r>
        <w:t xml:space="preserve"> water stress</w:t>
      </w:r>
      <w:r w:rsidR="005471C9">
        <w:t>ed</w:t>
      </w:r>
      <w:r>
        <w:t>’</w:t>
      </w:r>
      <w:r w:rsidR="005471C9">
        <w:t xml:space="preserve"> areas</w:t>
      </w:r>
      <w:r>
        <w:t xml:space="preserve"> can propose metering on a compulsory basis for all their customers.</w:t>
      </w:r>
    </w:p>
    <w:p w:rsidR="00FC13AC" w:rsidRDefault="00FC13AC" w:rsidP="00FC13AC">
      <w:r>
        <w:t xml:space="preserve">We would like to be able to compulsory meter all customers, but do not have this option as we are not </w:t>
      </w:r>
      <w:r w:rsidR="003B02AB">
        <w:t xml:space="preserve">deemed to be </w:t>
      </w:r>
      <w:r w:rsidR="00067353">
        <w:t>‘</w:t>
      </w:r>
      <w:r>
        <w:t>severe</w:t>
      </w:r>
      <w:r w:rsidR="005471C9">
        <w:t>ly</w:t>
      </w:r>
      <w:r>
        <w:t xml:space="preserve"> water stress</w:t>
      </w:r>
      <w:r w:rsidR="005471C9">
        <w:t>ed</w:t>
      </w:r>
      <w:r w:rsidR="00067353">
        <w:t>’</w:t>
      </w:r>
      <w:r>
        <w:t xml:space="preserve">.  We will be lobbying </w:t>
      </w:r>
      <w:r w:rsidR="00E76864">
        <w:t>DEFRA</w:t>
      </w:r>
      <w:r>
        <w:t xml:space="preserve"> to change legislation</w:t>
      </w:r>
      <w:r w:rsidR="00017B81">
        <w:t xml:space="preserve"> o</w:t>
      </w:r>
      <w:r w:rsidR="00DF6628">
        <w:t>r</w:t>
      </w:r>
      <w:r w:rsidR="00017B81">
        <w:t xml:space="preserve"> our classification</w:t>
      </w:r>
      <w:r>
        <w:t xml:space="preserve"> to allow us to compulsory meter.</w:t>
      </w:r>
    </w:p>
    <w:p w:rsidR="003B02AB" w:rsidRPr="008E6AD1" w:rsidRDefault="003B02AB" w:rsidP="00FC13AC">
      <w:r>
        <w:t xml:space="preserve">We will be undertaking some change of occupier metering in AMP7, where it can be done at a low cost.  </w:t>
      </w:r>
      <w:r w:rsidR="00EA5FAD">
        <w:t>In addition</w:t>
      </w:r>
      <w:r>
        <w:t xml:space="preserve">, we will meter </w:t>
      </w:r>
      <w:r w:rsidR="00EA5FAD">
        <w:t>long-term</w:t>
      </w:r>
      <w:r>
        <w:t xml:space="preserve"> void properties as part of our void property strategy.</w:t>
      </w:r>
    </w:p>
    <w:p w:rsidR="0079430F" w:rsidRDefault="0079430F" w:rsidP="00FC13AC">
      <w:r>
        <w:t xml:space="preserve">Whilst we see metering as the key to reducing </w:t>
      </w:r>
      <w:r w:rsidR="009258ED">
        <w:t>PCC</w:t>
      </w:r>
      <w:r>
        <w:t xml:space="preserve">, water efficiency promotion will also play a key part in delivering </w:t>
      </w:r>
      <w:r w:rsidR="000B676C">
        <w:t xml:space="preserve">a </w:t>
      </w:r>
      <w:r w:rsidR="009258ED">
        <w:t>PCC</w:t>
      </w:r>
      <w:r w:rsidR="000B676C">
        <w:t xml:space="preserve"> of 100 by 2050.  We are working with WaterWise to develop a strategy that will deliver meaningful reductions in </w:t>
      </w:r>
      <w:r w:rsidR="009258ED">
        <w:t>PCC</w:t>
      </w:r>
      <w:r w:rsidR="000B676C">
        <w:t xml:space="preserve"> by:</w:t>
      </w:r>
    </w:p>
    <w:p w:rsidR="000B676C" w:rsidRDefault="00067353" w:rsidP="000B676C">
      <w:pPr>
        <w:pStyle w:val="Bullets"/>
      </w:pPr>
      <w:r>
        <w:t xml:space="preserve">Effectively conveying </w:t>
      </w:r>
      <w:r w:rsidR="000B676C">
        <w:t>the message that using less water is a good thing and the right thing to do</w:t>
      </w:r>
    </w:p>
    <w:p w:rsidR="000B676C" w:rsidRDefault="000B676C" w:rsidP="000B676C">
      <w:pPr>
        <w:pStyle w:val="Bullets"/>
      </w:pPr>
      <w:r>
        <w:t>Work with stakeholders, e.g. Housing Associations/Councils to improve messages and undertake audits to identify wastage and inefficient appliances</w:t>
      </w:r>
    </w:p>
    <w:p w:rsidR="000B676C" w:rsidRDefault="000B676C" w:rsidP="000B676C">
      <w:pPr>
        <w:pStyle w:val="Bullets"/>
      </w:pPr>
      <w:r>
        <w:t>Work</w:t>
      </w:r>
      <w:r w:rsidR="00067353">
        <w:t>ing</w:t>
      </w:r>
      <w:r>
        <w:t xml:space="preserve"> with </w:t>
      </w:r>
      <w:r w:rsidR="00A11EF3">
        <w:t>D</w:t>
      </w:r>
      <w:r>
        <w:t xml:space="preserve">evelopers and NAV’s to ensure new homes are highly efficient </w:t>
      </w:r>
    </w:p>
    <w:p w:rsidR="000B676C" w:rsidRDefault="000B676C" w:rsidP="000B676C">
      <w:pPr>
        <w:pStyle w:val="Bullets"/>
      </w:pPr>
      <w:r>
        <w:t>Publicis</w:t>
      </w:r>
      <w:r w:rsidR="00067353">
        <w:t xml:space="preserve">ing our </w:t>
      </w:r>
      <w:r>
        <w:t xml:space="preserve">leakage reductions achieved to show that we are doing our bit </w:t>
      </w:r>
    </w:p>
    <w:p w:rsidR="000B676C" w:rsidRDefault="000B676C" w:rsidP="000B676C">
      <w:pPr>
        <w:pStyle w:val="Bullets"/>
      </w:pPr>
      <w:r>
        <w:t>Work</w:t>
      </w:r>
      <w:r w:rsidR="00067353">
        <w:t>ing</w:t>
      </w:r>
      <w:r>
        <w:t xml:space="preserve"> with retailers and non-household customers to ensure that commercial use is well managed</w:t>
      </w:r>
    </w:p>
    <w:p w:rsidR="000B676C" w:rsidRDefault="000B676C" w:rsidP="000B676C">
      <w:pPr>
        <w:pStyle w:val="Bullets"/>
      </w:pPr>
      <w:r>
        <w:t>Co-creat</w:t>
      </w:r>
      <w:r w:rsidR="00067353">
        <w:t>ing</w:t>
      </w:r>
      <w:r>
        <w:t xml:space="preserve"> strategies with customers from engagement and trials </w:t>
      </w:r>
    </w:p>
    <w:p w:rsidR="00017B81" w:rsidRDefault="00017B81" w:rsidP="000B676C">
      <w:pPr>
        <w:pStyle w:val="Bullets"/>
      </w:pPr>
      <w:r>
        <w:t>Continu</w:t>
      </w:r>
      <w:r w:rsidR="00067353">
        <w:t>ing</w:t>
      </w:r>
      <w:r>
        <w:t xml:space="preserve"> to promote our water saving challenge, which encourages customers to think about water use and provides free water saving devices</w:t>
      </w:r>
    </w:p>
    <w:p w:rsidR="000B676C" w:rsidRDefault="000B676C" w:rsidP="00D645C1">
      <w:pPr>
        <w:spacing w:after="0"/>
      </w:pPr>
    </w:p>
    <w:p w:rsidR="00FC13AC" w:rsidRDefault="00FC13AC" w:rsidP="00FC13AC">
      <w:r>
        <w:t>All of the demand options described above enhance our ability to meet customer demands under rarer drought scenarios, in line with customer and regulatory expectations.</w:t>
      </w:r>
    </w:p>
    <w:p w:rsidR="00FC13AC" w:rsidRDefault="00752754" w:rsidP="00FC13AC">
      <w:r>
        <w:rPr>
          <w:b/>
        </w:rPr>
        <w:t>2</w:t>
      </w:r>
      <w:r>
        <w:rPr>
          <w:b/>
        </w:rPr>
        <w:tab/>
      </w:r>
      <w:r w:rsidR="00FC13AC">
        <w:rPr>
          <w:b/>
        </w:rPr>
        <w:t>Risk of restrictions in severe drought</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845529" w:rsidRPr="00482CC5" w:rsidTr="00672145">
        <w:tc>
          <w:tcPr>
            <w:tcW w:w="2405" w:type="dxa"/>
            <w:shd w:val="clear" w:color="auto" w:fill="2E74B5" w:themeFill="accent1" w:themeFillShade="BF"/>
          </w:tcPr>
          <w:p w:rsidR="00845529" w:rsidRPr="00482CC5" w:rsidRDefault="00845529" w:rsidP="00732F33">
            <w:pPr>
              <w:spacing w:after="0"/>
              <w:ind w:left="0"/>
              <w:rPr>
                <w:sz w:val="16"/>
                <w:szCs w:val="16"/>
              </w:rPr>
            </w:pPr>
            <w:r w:rsidRPr="00482CC5">
              <w:rPr>
                <w:b/>
                <w:bCs/>
                <w:color w:val="FFFFFF" w:themeColor="background1"/>
                <w:sz w:val="16"/>
                <w:szCs w:val="16"/>
              </w:rPr>
              <w:t>Performance Commitment</w:t>
            </w:r>
          </w:p>
        </w:tc>
        <w:tc>
          <w:tcPr>
            <w:tcW w:w="708" w:type="dxa"/>
            <w:shd w:val="clear" w:color="auto" w:fill="2E74B5" w:themeFill="accent1" w:themeFillShade="BF"/>
          </w:tcPr>
          <w:p w:rsidR="00845529" w:rsidRPr="00482CC5" w:rsidRDefault="00845529" w:rsidP="00732F33">
            <w:pPr>
              <w:spacing w:before="20" w:after="20"/>
              <w:ind w:left="0"/>
              <w:jc w:val="center"/>
              <w:rPr>
                <w:b/>
                <w:bCs/>
                <w:color w:val="FFFFFF" w:themeColor="background1"/>
                <w:sz w:val="16"/>
                <w:szCs w:val="16"/>
              </w:rPr>
            </w:pPr>
            <w:r w:rsidRPr="00482CC5">
              <w:rPr>
                <w:b/>
                <w:bCs/>
                <w:color w:val="FFFFFF" w:themeColor="background1"/>
                <w:sz w:val="16"/>
                <w:szCs w:val="16"/>
              </w:rPr>
              <w:t>Type</w:t>
            </w:r>
          </w:p>
        </w:tc>
        <w:tc>
          <w:tcPr>
            <w:tcW w:w="1512" w:type="dxa"/>
            <w:shd w:val="clear" w:color="auto" w:fill="2E74B5" w:themeFill="accent1" w:themeFillShade="BF"/>
          </w:tcPr>
          <w:p w:rsidR="00845529" w:rsidRPr="00482CC5" w:rsidRDefault="00845529" w:rsidP="00732F33">
            <w:pPr>
              <w:spacing w:after="0"/>
              <w:ind w:left="0"/>
              <w:rPr>
                <w:b/>
                <w:color w:val="FFFFFF" w:themeColor="background1"/>
                <w:sz w:val="16"/>
                <w:szCs w:val="16"/>
              </w:rPr>
            </w:pPr>
            <w:r w:rsidRPr="00482CC5">
              <w:rPr>
                <w:b/>
                <w:color w:val="FFFFFF" w:themeColor="background1"/>
                <w:sz w:val="16"/>
                <w:szCs w:val="16"/>
              </w:rPr>
              <w:t>AMP6 Performance</w:t>
            </w:r>
          </w:p>
        </w:tc>
        <w:tc>
          <w:tcPr>
            <w:tcW w:w="1654" w:type="dxa"/>
            <w:shd w:val="clear" w:color="auto" w:fill="2E74B5" w:themeFill="accent1" w:themeFillShade="BF"/>
          </w:tcPr>
          <w:p w:rsidR="00845529" w:rsidRPr="00482CC5" w:rsidRDefault="00845529" w:rsidP="00732F33">
            <w:pPr>
              <w:spacing w:after="0"/>
              <w:ind w:left="0"/>
              <w:rPr>
                <w:b/>
                <w:color w:val="FFFFFF" w:themeColor="background1"/>
                <w:sz w:val="16"/>
                <w:szCs w:val="16"/>
              </w:rPr>
            </w:pPr>
            <w:r w:rsidRPr="00482CC5">
              <w:rPr>
                <w:b/>
                <w:color w:val="FFFFFF" w:themeColor="background1"/>
                <w:sz w:val="16"/>
                <w:szCs w:val="16"/>
              </w:rPr>
              <w:t>2024/25 Target</w:t>
            </w:r>
          </w:p>
        </w:tc>
        <w:tc>
          <w:tcPr>
            <w:tcW w:w="1654" w:type="dxa"/>
            <w:shd w:val="clear" w:color="auto" w:fill="2E74B5" w:themeFill="accent1" w:themeFillShade="BF"/>
          </w:tcPr>
          <w:p w:rsidR="00845529" w:rsidRPr="00482CC5" w:rsidRDefault="00845529" w:rsidP="00732F33">
            <w:pPr>
              <w:spacing w:after="0"/>
              <w:ind w:left="0"/>
              <w:rPr>
                <w:b/>
                <w:color w:val="FFFFFF" w:themeColor="background1"/>
                <w:sz w:val="16"/>
                <w:szCs w:val="16"/>
              </w:rPr>
            </w:pPr>
            <w:r w:rsidRPr="00482CC5">
              <w:rPr>
                <w:b/>
                <w:color w:val="FFFFFF" w:themeColor="background1"/>
                <w:sz w:val="16"/>
                <w:szCs w:val="16"/>
              </w:rPr>
              <w:t>2034/35 Target</w:t>
            </w:r>
          </w:p>
        </w:tc>
        <w:tc>
          <w:tcPr>
            <w:tcW w:w="850" w:type="dxa"/>
            <w:shd w:val="clear" w:color="auto" w:fill="2E74B5" w:themeFill="accent1" w:themeFillShade="BF"/>
          </w:tcPr>
          <w:p w:rsidR="00845529" w:rsidRPr="00482CC5" w:rsidRDefault="00845529" w:rsidP="00732F33">
            <w:pPr>
              <w:spacing w:after="0"/>
              <w:ind w:left="0"/>
              <w:jc w:val="center"/>
              <w:rPr>
                <w:b/>
                <w:color w:val="FFFFFF" w:themeColor="background1"/>
                <w:sz w:val="16"/>
                <w:szCs w:val="16"/>
              </w:rPr>
            </w:pPr>
            <w:r w:rsidRPr="00482CC5">
              <w:rPr>
                <w:b/>
                <w:color w:val="FFFFFF" w:themeColor="background1"/>
                <w:sz w:val="16"/>
                <w:szCs w:val="16"/>
              </w:rPr>
              <w:t>Reward/Penalty</w:t>
            </w:r>
          </w:p>
        </w:tc>
      </w:tr>
      <w:tr w:rsidR="00845529" w:rsidRPr="00482CC5" w:rsidTr="00672145">
        <w:tc>
          <w:tcPr>
            <w:tcW w:w="2405" w:type="dxa"/>
          </w:tcPr>
          <w:p w:rsidR="00845529" w:rsidRPr="00482CC5" w:rsidRDefault="00845529" w:rsidP="00732F33">
            <w:pPr>
              <w:spacing w:before="20" w:after="20"/>
              <w:ind w:left="0"/>
              <w:rPr>
                <w:sz w:val="16"/>
                <w:szCs w:val="16"/>
              </w:rPr>
            </w:pPr>
            <w:r w:rsidRPr="00482CC5">
              <w:rPr>
                <w:sz w:val="16"/>
                <w:szCs w:val="16"/>
              </w:rPr>
              <w:t>Risk of Severe Restrictions in Drought</w:t>
            </w:r>
          </w:p>
        </w:tc>
        <w:tc>
          <w:tcPr>
            <w:tcW w:w="708" w:type="dxa"/>
          </w:tcPr>
          <w:p w:rsidR="00845529" w:rsidRPr="00482CC5" w:rsidRDefault="00845529" w:rsidP="00732F33">
            <w:pPr>
              <w:spacing w:before="20" w:after="20"/>
              <w:ind w:left="0"/>
              <w:jc w:val="center"/>
              <w:rPr>
                <w:sz w:val="16"/>
                <w:szCs w:val="16"/>
              </w:rPr>
            </w:pPr>
            <w:r w:rsidRPr="00482CC5">
              <w:rPr>
                <w:sz w:val="16"/>
                <w:szCs w:val="16"/>
              </w:rPr>
              <w:t>C</w:t>
            </w:r>
          </w:p>
        </w:tc>
        <w:tc>
          <w:tcPr>
            <w:tcW w:w="1512" w:type="dxa"/>
          </w:tcPr>
          <w:p w:rsidR="00845529" w:rsidRPr="00482CC5" w:rsidRDefault="00845529" w:rsidP="00732F33">
            <w:pPr>
              <w:spacing w:after="0"/>
              <w:ind w:left="0"/>
              <w:rPr>
                <w:sz w:val="16"/>
                <w:szCs w:val="16"/>
              </w:rPr>
            </w:pPr>
            <w:r w:rsidRPr="00482CC5">
              <w:rPr>
                <w:sz w:val="16"/>
                <w:szCs w:val="16"/>
              </w:rPr>
              <w:t>Not required</w:t>
            </w:r>
          </w:p>
        </w:tc>
        <w:tc>
          <w:tcPr>
            <w:tcW w:w="1654" w:type="dxa"/>
          </w:tcPr>
          <w:p w:rsidR="00845529" w:rsidRPr="00482CC5" w:rsidRDefault="00845529" w:rsidP="00732F33">
            <w:pPr>
              <w:spacing w:after="0"/>
              <w:ind w:left="0"/>
              <w:rPr>
                <w:sz w:val="16"/>
                <w:szCs w:val="16"/>
              </w:rPr>
            </w:pPr>
            <w:r w:rsidRPr="00482CC5">
              <w:rPr>
                <w:sz w:val="16"/>
                <w:szCs w:val="16"/>
              </w:rPr>
              <w:t>Not required</w:t>
            </w:r>
          </w:p>
        </w:tc>
        <w:tc>
          <w:tcPr>
            <w:tcW w:w="1654" w:type="dxa"/>
          </w:tcPr>
          <w:p w:rsidR="00845529" w:rsidRPr="00482CC5" w:rsidRDefault="00845529" w:rsidP="00732F33">
            <w:pPr>
              <w:spacing w:after="0"/>
              <w:ind w:left="0"/>
              <w:rPr>
                <w:sz w:val="16"/>
                <w:szCs w:val="16"/>
              </w:rPr>
            </w:pPr>
            <w:r w:rsidRPr="00482CC5">
              <w:rPr>
                <w:sz w:val="16"/>
                <w:szCs w:val="16"/>
              </w:rPr>
              <w:t>Not required</w:t>
            </w:r>
          </w:p>
        </w:tc>
        <w:tc>
          <w:tcPr>
            <w:tcW w:w="850" w:type="dxa"/>
          </w:tcPr>
          <w:p w:rsidR="00845529" w:rsidRPr="00482CC5" w:rsidRDefault="00845529" w:rsidP="00732F33">
            <w:pPr>
              <w:spacing w:after="0"/>
              <w:ind w:left="0"/>
              <w:jc w:val="center"/>
              <w:rPr>
                <w:sz w:val="16"/>
                <w:szCs w:val="16"/>
              </w:rPr>
            </w:pPr>
            <w:r w:rsidRPr="00482CC5">
              <w:rPr>
                <w:sz w:val="16"/>
                <w:szCs w:val="16"/>
              </w:rPr>
              <w:t>REP</w:t>
            </w:r>
          </w:p>
        </w:tc>
      </w:tr>
    </w:tbl>
    <w:p w:rsidR="005471C9" w:rsidRDefault="005471C9" w:rsidP="005471C9">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FC13AC" w:rsidRPr="00706B2C" w:rsidRDefault="00FC13AC" w:rsidP="00FC13AC">
      <w:pPr>
        <w:rPr>
          <w:rFonts w:cs="Arial"/>
        </w:rPr>
      </w:pPr>
      <w:r w:rsidRPr="00706B2C">
        <w:rPr>
          <w:rFonts w:cs="Arial"/>
        </w:rPr>
        <w:t xml:space="preserve">As part of the </w:t>
      </w:r>
      <w:r w:rsidR="00EA5FAD" w:rsidRPr="00706B2C">
        <w:rPr>
          <w:rFonts w:cs="Arial"/>
        </w:rPr>
        <w:t>WRMP</w:t>
      </w:r>
      <w:r w:rsidRPr="00706B2C">
        <w:rPr>
          <w:rFonts w:cs="Arial"/>
        </w:rPr>
        <w:t xml:space="preserve"> process we have assessed the reliability of </w:t>
      </w:r>
      <w:r w:rsidR="00067353">
        <w:rPr>
          <w:rFonts w:cs="Arial"/>
        </w:rPr>
        <w:t xml:space="preserve">the </w:t>
      </w:r>
      <w:r w:rsidRPr="00706B2C">
        <w:rPr>
          <w:rFonts w:cs="Arial"/>
        </w:rPr>
        <w:t>yield of each of our sources</w:t>
      </w:r>
      <w:r>
        <w:rPr>
          <w:rFonts w:cs="Arial"/>
        </w:rPr>
        <w:t xml:space="preserve"> against </w:t>
      </w:r>
      <w:r w:rsidR="00672145">
        <w:rPr>
          <w:rFonts w:cs="Arial"/>
        </w:rPr>
        <w:t xml:space="preserve">various </w:t>
      </w:r>
      <w:r>
        <w:rPr>
          <w:rFonts w:cs="Arial"/>
        </w:rPr>
        <w:t>drought frequencies</w:t>
      </w:r>
      <w:r w:rsidRPr="00706B2C">
        <w:rPr>
          <w:rFonts w:cs="Arial"/>
        </w:rPr>
        <w:t xml:space="preserve">.  </w:t>
      </w:r>
      <w:r w:rsidR="00067353">
        <w:rPr>
          <w:rFonts w:cs="Arial"/>
        </w:rPr>
        <w:t xml:space="preserve">Our </w:t>
      </w:r>
      <w:r w:rsidRPr="00706B2C">
        <w:rPr>
          <w:rFonts w:cs="Arial"/>
        </w:rPr>
        <w:t xml:space="preserve">methodology has been assessed as in line with best practice by the EA.  </w:t>
      </w:r>
    </w:p>
    <w:p w:rsidR="00FC13AC" w:rsidRPr="00706B2C" w:rsidRDefault="00FC13AC" w:rsidP="00FC13AC">
      <w:pPr>
        <w:rPr>
          <w:rFonts w:cs="Arial"/>
        </w:rPr>
      </w:pPr>
      <w:r w:rsidRPr="00706B2C">
        <w:rPr>
          <w:rFonts w:cs="Arial"/>
        </w:rPr>
        <w:t xml:space="preserve">Our sources have also been assessed relative to their environmental impact.  We have only one source, Soberton, which the EA </w:t>
      </w:r>
      <w:r w:rsidR="00067353">
        <w:rPr>
          <w:rFonts w:cs="Arial"/>
        </w:rPr>
        <w:t xml:space="preserve">has </w:t>
      </w:r>
      <w:r w:rsidRPr="00706B2C">
        <w:rPr>
          <w:rFonts w:cs="Arial"/>
        </w:rPr>
        <w:t xml:space="preserve">identified in its WINEP process to need to be reviewed under </w:t>
      </w:r>
      <w:r w:rsidR="00EA5FAD" w:rsidRPr="00706B2C">
        <w:rPr>
          <w:rFonts w:cs="Arial"/>
        </w:rPr>
        <w:t>these criteria</w:t>
      </w:r>
      <w:r w:rsidRPr="00706B2C">
        <w:rPr>
          <w:rFonts w:cs="Arial"/>
        </w:rPr>
        <w:t xml:space="preserve">.  As </w:t>
      </w:r>
      <w:r w:rsidR="00EA5FAD" w:rsidRPr="00706B2C">
        <w:rPr>
          <w:rFonts w:cs="Arial"/>
        </w:rPr>
        <w:t>such,</w:t>
      </w:r>
      <w:r w:rsidRPr="00706B2C">
        <w:rPr>
          <w:rFonts w:cs="Arial"/>
        </w:rPr>
        <w:t xml:space="preserve"> our planning has recognised the </w:t>
      </w:r>
      <w:r w:rsidR="00EA5FAD" w:rsidRPr="00706B2C">
        <w:rPr>
          <w:rFonts w:cs="Arial"/>
        </w:rPr>
        <w:t>longer-term</w:t>
      </w:r>
      <w:r w:rsidRPr="00706B2C">
        <w:rPr>
          <w:rFonts w:cs="Arial"/>
        </w:rPr>
        <w:t xml:space="preserve"> risk to this licence.</w:t>
      </w:r>
    </w:p>
    <w:p w:rsidR="00FC13AC" w:rsidRPr="00706B2C" w:rsidRDefault="00FC13AC" w:rsidP="00FC13AC">
      <w:pPr>
        <w:rPr>
          <w:rFonts w:cs="Arial"/>
        </w:rPr>
      </w:pPr>
      <w:r w:rsidRPr="00706B2C">
        <w:rPr>
          <w:rFonts w:cs="Arial"/>
        </w:rPr>
        <w:t xml:space="preserve">We have also identified over 180 alternative schemes to solve any supply / demand deficit.  Some </w:t>
      </w:r>
      <w:r w:rsidR="00067353">
        <w:rPr>
          <w:rFonts w:cs="Arial"/>
        </w:rPr>
        <w:t xml:space="preserve">have </w:t>
      </w:r>
      <w:r w:rsidRPr="00706B2C">
        <w:rPr>
          <w:rFonts w:cs="Arial"/>
        </w:rPr>
        <w:t xml:space="preserve">not </w:t>
      </w:r>
      <w:r w:rsidR="00067353">
        <w:rPr>
          <w:rFonts w:cs="Arial"/>
        </w:rPr>
        <w:t xml:space="preserve">been </w:t>
      </w:r>
      <w:r w:rsidRPr="00706B2C">
        <w:rPr>
          <w:rFonts w:cs="Arial"/>
        </w:rPr>
        <w:t xml:space="preserve">taken forward to the costing stage given the reliability </w:t>
      </w:r>
      <w:r w:rsidR="003B02AB">
        <w:rPr>
          <w:rFonts w:cs="Arial"/>
        </w:rPr>
        <w:t>or</w:t>
      </w:r>
      <w:r w:rsidRPr="00706B2C">
        <w:rPr>
          <w:rFonts w:cs="Arial"/>
        </w:rPr>
        <w:t xml:space="preserve"> practicality of the option.  </w:t>
      </w:r>
      <w:r w:rsidR="00A06465">
        <w:rPr>
          <w:rFonts w:cs="Arial"/>
        </w:rPr>
        <w:t>The remainder are costed and assessed to provide the most cost effective solution to resolving the deficit.</w:t>
      </w:r>
    </w:p>
    <w:p w:rsidR="00FC13AC" w:rsidRPr="00706B2C" w:rsidRDefault="00FC13AC" w:rsidP="00FC13AC">
      <w:pPr>
        <w:rPr>
          <w:rFonts w:cs="Arial"/>
        </w:rPr>
      </w:pPr>
      <w:r w:rsidRPr="00706B2C">
        <w:rPr>
          <w:rFonts w:cs="Arial"/>
        </w:rPr>
        <w:t>Our chosen plan include</w:t>
      </w:r>
      <w:r>
        <w:rPr>
          <w:rFonts w:cs="Arial"/>
        </w:rPr>
        <w:t>s</w:t>
      </w:r>
      <w:r w:rsidRPr="00706B2C">
        <w:rPr>
          <w:rFonts w:cs="Arial"/>
        </w:rPr>
        <w:t xml:space="preserve"> investment in supply side assets.</w:t>
      </w:r>
    </w:p>
    <w:p w:rsidR="00FC13AC" w:rsidRDefault="00FC13AC" w:rsidP="00FC13AC">
      <w:r w:rsidRPr="00706B2C">
        <w:t xml:space="preserve">The most significant proposal in both our WRMP and this Business Plan is the </w:t>
      </w:r>
      <w:r>
        <w:t>development of Havant Thicket Winter Storage Reservoir</w:t>
      </w:r>
      <w:r w:rsidR="00017B81">
        <w:t xml:space="preserve"> (HTWSR)</w:t>
      </w:r>
      <w:r>
        <w:t xml:space="preserve">.  Stakeholder support is almost universal for the reservoir.  It will be built over the next ten years and will allow the Company to provide even greater bulk supplies to our neighbours, Southern Water, in their Hampshire zone in particular.  This development has been considered in the past and is now required to support the significant sustainability reductions </w:t>
      </w:r>
      <w:r w:rsidR="00752754">
        <w:t xml:space="preserve">that Southern Water have to meet </w:t>
      </w:r>
      <w:r>
        <w:t xml:space="preserve">on the Rivers Test and Itchen.  We are working closely with Southern Water to develop this strategic regional reservoir.  </w:t>
      </w:r>
    </w:p>
    <w:p w:rsidR="00FC13AC" w:rsidRDefault="00FC13AC" w:rsidP="00FC13AC">
      <w:r>
        <w:t>We note also the results from the Water Resources in the South East (WRSE) analysis, which highlights the importance Havant Thicket</w:t>
      </w:r>
      <w:r w:rsidR="00067353">
        <w:t xml:space="preserve"> Reservoir</w:t>
      </w:r>
      <w:r>
        <w:t xml:space="preserve"> provides to making the region more resilient to more severe droughts in the future.</w:t>
      </w:r>
    </w:p>
    <w:p w:rsidR="00FC13AC" w:rsidRDefault="00FC13AC" w:rsidP="00FC13AC">
      <w:r>
        <w:t>The reservoir will be sourced by transferring any winter excess from</w:t>
      </w:r>
      <w:r w:rsidR="00752754">
        <w:t xml:space="preserve"> our main source,</w:t>
      </w:r>
      <w:r>
        <w:t xml:space="preserve"> the Havant &amp; Bedhampton springs</w:t>
      </w:r>
      <w:r w:rsidR="00752754">
        <w:t>,</w:t>
      </w:r>
      <w:r>
        <w:t xml:space="preserve"> to the reservoir by the construction of a dedicated pipeline.  The yield of the springs, and indeed all of our sources, has been assessed against more extreme weather conditions than we have experienced in response to stakeholder expectations.  The springs remain resilient to the most extreme droughts we have tested, a 1 in 200-year event.</w:t>
      </w:r>
    </w:p>
    <w:p w:rsidR="00FC13AC" w:rsidRDefault="00FC13AC" w:rsidP="00FC13AC">
      <w:r>
        <w:t>Water</w:t>
      </w:r>
      <w:r w:rsidR="00067353">
        <w:t xml:space="preserve"> from the reservoir</w:t>
      </w:r>
      <w:r>
        <w:t xml:space="preserve"> will be treated at our Farlington </w:t>
      </w:r>
      <w:r w:rsidR="005471C9">
        <w:t>T</w:t>
      </w:r>
      <w:r>
        <w:t xml:space="preserve">reatment </w:t>
      </w:r>
      <w:r w:rsidR="005471C9">
        <w:t>W</w:t>
      </w:r>
      <w:r>
        <w:t xml:space="preserve">orks, where capacity already exists, before it is transferred </w:t>
      </w:r>
      <w:r w:rsidR="00752754">
        <w:t>westward</w:t>
      </w:r>
      <w:r>
        <w:t xml:space="preserve"> within our network to supply our customers in Gosport in particular.  It allows the water we currently take from the River Itchen to supply customers in Gosport, to be provided to Southern Water as noted above.</w:t>
      </w:r>
    </w:p>
    <w:p w:rsidR="00FC13AC" w:rsidRDefault="00FC13AC" w:rsidP="00FC13AC">
      <w:r>
        <w:t xml:space="preserve">In addition to </w:t>
      </w:r>
      <w:r w:rsidR="00017B81">
        <w:t>HTWSR</w:t>
      </w:r>
      <w:r>
        <w:t xml:space="preserve">, we will investigate </w:t>
      </w:r>
      <w:r w:rsidR="00067353">
        <w:t xml:space="preserve">the </w:t>
      </w:r>
      <w:r>
        <w:t xml:space="preserve">development of an additional </w:t>
      </w:r>
      <w:r w:rsidR="00EA5FAD">
        <w:t>borehole</w:t>
      </w:r>
      <w:r>
        <w:t xml:space="preserve"> at Worlds End.  This will take additional water from an existing </w:t>
      </w:r>
      <w:r w:rsidR="00EA5FAD">
        <w:t>source that</w:t>
      </w:r>
      <w:r>
        <w:t xml:space="preserve"> is located in the confined chalk </w:t>
      </w:r>
      <w:r w:rsidR="00EA5FAD">
        <w:t>aquifer, which</w:t>
      </w:r>
      <w:r>
        <w:t xml:space="preserve"> has been demonstrated to have limited or even no environmental impact.</w:t>
      </w:r>
    </w:p>
    <w:p w:rsidR="00FC13AC" w:rsidRDefault="00FC13AC" w:rsidP="00FC13AC">
      <w:r>
        <w:t>Finally, we propose to invest at some of our existing sites to allow us to abstract in line with our licences, which have all been renewed in the recent past. Our deployable output recovery schemes provide greater resilience to ourselves</w:t>
      </w:r>
      <w:r w:rsidR="008C1817">
        <w:t>,</w:t>
      </w:r>
      <w:r>
        <w:t xml:space="preserve"> and the potential to provide greater supplies to Southern </w:t>
      </w:r>
      <w:r w:rsidR="00977912">
        <w:t xml:space="preserve">Water </w:t>
      </w:r>
      <w:r>
        <w:t>earlier than planned.</w:t>
      </w:r>
    </w:p>
    <w:p w:rsidR="00FC13AC" w:rsidRDefault="00FC13AC" w:rsidP="00FC13AC">
      <w:r>
        <w:t>All of the supply options described above enhance our ability to meet customer demands under rarer drought scenarios, in line with customer and regulatory expectations.</w:t>
      </w:r>
      <w:r w:rsidR="003B02AB">
        <w:t xml:space="preserve">  A detailed explanation of the HTWSR is found in </w:t>
      </w:r>
      <w:r w:rsidR="00017B81" w:rsidRPr="00B40579">
        <w:t>Chapter 8</w:t>
      </w:r>
      <w:r w:rsidR="00672145">
        <w:t>.1</w:t>
      </w:r>
      <w:r w:rsidR="00017B81" w:rsidRPr="00B40579">
        <w:t>.</w:t>
      </w:r>
    </w:p>
    <w:p w:rsidR="00FC13AC" w:rsidRPr="00D81B0E" w:rsidRDefault="00752754" w:rsidP="00752754">
      <w:pPr>
        <w:tabs>
          <w:tab w:val="clear" w:pos="851"/>
        </w:tabs>
        <w:spacing w:after="160" w:line="259" w:lineRule="auto"/>
        <w:ind w:left="0" w:firstLine="851"/>
        <w:jc w:val="left"/>
      </w:pPr>
      <w:r>
        <w:rPr>
          <w:rFonts w:cs="Arial"/>
          <w:b/>
        </w:rPr>
        <w:t>3</w:t>
      </w:r>
      <w:r>
        <w:rPr>
          <w:rFonts w:cs="Arial"/>
          <w:b/>
        </w:rPr>
        <w:tab/>
      </w:r>
      <w:r w:rsidR="00FC13AC" w:rsidRPr="004A69EC">
        <w:rPr>
          <w:rFonts w:cs="Arial"/>
          <w:b/>
        </w:rPr>
        <w:t>Temporary Use Bans</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845529" w:rsidRPr="00482CC5" w:rsidTr="00672145">
        <w:tc>
          <w:tcPr>
            <w:tcW w:w="2405" w:type="dxa"/>
            <w:shd w:val="clear" w:color="auto" w:fill="2E74B5" w:themeFill="accent1" w:themeFillShade="BF"/>
          </w:tcPr>
          <w:p w:rsidR="00845529" w:rsidRPr="00482CC5" w:rsidRDefault="00845529" w:rsidP="00732F33">
            <w:pPr>
              <w:spacing w:after="0"/>
              <w:ind w:left="0"/>
              <w:rPr>
                <w:sz w:val="16"/>
                <w:szCs w:val="16"/>
              </w:rPr>
            </w:pPr>
            <w:r w:rsidRPr="00482CC5">
              <w:rPr>
                <w:b/>
                <w:bCs/>
                <w:color w:val="FFFFFF" w:themeColor="background1"/>
                <w:sz w:val="16"/>
                <w:szCs w:val="16"/>
              </w:rPr>
              <w:t>Performance Commitment</w:t>
            </w:r>
          </w:p>
        </w:tc>
        <w:tc>
          <w:tcPr>
            <w:tcW w:w="708" w:type="dxa"/>
            <w:shd w:val="clear" w:color="auto" w:fill="2E74B5" w:themeFill="accent1" w:themeFillShade="BF"/>
          </w:tcPr>
          <w:p w:rsidR="00845529" w:rsidRPr="00482CC5" w:rsidRDefault="00845529" w:rsidP="00732F33">
            <w:pPr>
              <w:spacing w:before="20" w:after="20"/>
              <w:ind w:left="0"/>
              <w:jc w:val="center"/>
              <w:rPr>
                <w:b/>
                <w:bCs/>
                <w:color w:val="FFFFFF" w:themeColor="background1"/>
                <w:sz w:val="16"/>
                <w:szCs w:val="16"/>
              </w:rPr>
            </w:pPr>
            <w:r w:rsidRPr="00482CC5">
              <w:rPr>
                <w:b/>
                <w:bCs/>
                <w:color w:val="FFFFFF" w:themeColor="background1"/>
                <w:sz w:val="16"/>
                <w:szCs w:val="16"/>
              </w:rPr>
              <w:t>Type</w:t>
            </w:r>
          </w:p>
        </w:tc>
        <w:tc>
          <w:tcPr>
            <w:tcW w:w="1512" w:type="dxa"/>
            <w:shd w:val="clear" w:color="auto" w:fill="2E74B5" w:themeFill="accent1" w:themeFillShade="BF"/>
          </w:tcPr>
          <w:p w:rsidR="00845529" w:rsidRPr="00482CC5" w:rsidRDefault="00845529" w:rsidP="00732F33">
            <w:pPr>
              <w:spacing w:after="0"/>
              <w:ind w:left="0"/>
              <w:rPr>
                <w:b/>
                <w:color w:val="FFFFFF" w:themeColor="background1"/>
                <w:sz w:val="16"/>
                <w:szCs w:val="16"/>
              </w:rPr>
            </w:pPr>
            <w:r w:rsidRPr="00482CC5">
              <w:rPr>
                <w:b/>
                <w:color w:val="FFFFFF" w:themeColor="background1"/>
                <w:sz w:val="16"/>
                <w:szCs w:val="16"/>
              </w:rPr>
              <w:t>AMP6 Performance</w:t>
            </w:r>
          </w:p>
        </w:tc>
        <w:tc>
          <w:tcPr>
            <w:tcW w:w="1654" w:type="dxa"/>
            <w:shd w:val="clear" w:color="auto" w:fill="2E74B5" w:themeFill="accent1" w:themeFillShade="BF"/>
          </w:tcPr>
          <w:p w:rsidR="00845529" w:rsidRPr="00482CC5" w:rsidRDefault="00845529" w:rsidP="00732F33">
            <w:pPr>
              <w:spacing w:after="0"/>
              <w:ind w:left="0"/>
              <w:rPr>
                <w:b/>
                <w:color w:val="FFFFFF" w:themeColor="background1"/>
                <w:sz w:val="16"/>
                <w:szCs w:val="16"/>
              </w:rPr>
            </w:pPr>
            <w:r w:rsidRPr="00482CC5">
              <w:rPr>
                <w:b/>
                <w:color w:val="FFFFFF" w:themeColor="background1"/>
                <w:sz w:val="16"/>
                <w:szCs w:val="16"/>
              </w:rPr>
              <w:t>2024/25 Target</w:t>
            </w:r>
          </w:p>
        </w:tc>
        <w:tc>
          <w:tcPr>
            <w:tcW w:w="1654" w:type="dxa"/>
            <w:shd w:val="clear" w:color="auto" w:fill="2E74B5" w:themeFill="accent1" w:themeFillShade="BF"/>
          </w:tcPr>
          <w:p w:rsidR="00845529" w:rsidRPr="00482CC5" w:rsidRDefault="00845529" w:rsidP="00732F33">
            <w:pPr>
              <w:spacing w:after="0"/>
              <w:ind w:left="0"/>
              <w:rPr>
                <w:b/>
                <w:color w:val="FFFFFF" w:themeColor="background1"/>
                <w:sz w:val="16"/>
                <w:szCs w:val="16"/>
              </w:rPr>
            </w:pPr>
            <w:r w:rsidRPr="00482CC5">
              <w:rPr>
                <w:b/>
                <w:color w:val="FFFFFF" w:themeColor="background1"/>
                <w:sz w:val="16"/>
                <w:szCs w:val="16"/>
              </w:rPr>
              <w:t>2034/35 Target</w:t>
            </w:r>
          </w:p>
        </w:tc>
        <w:tc>
          <w:tcPr>
            <w:tcW w:w="850" w:type="dxa"/>
            <w:shd w:val="clear" w:color="auto" w:fill="2E74B5" w:themeFill="accent1" w:themeFillShade="BF"/>
          </w:tcPr>
          <w:p w:rsidR="00845529" w:rsidRPr="00482CC5" w:rsidRDefault="00845529" w:rsidP="00732F33">
            <w:pPr>
              <w:spacing w:after="0"/>
              <w:ind w:left="0"/>
              <w:jc w:val="center"/>
              <w:rPr>
                <w:b/>
                <w:color w:val="FFFFFF" w:themeColor="background1"/>
                <w:sz w:val="16"/>
                <w:szCs w:val="16"/>
              </w:rPr>
            </w:pPr>
            <w:r w:rsidRPr="00482CC5">
              <w:rPr>
                <w:b/>
                <w:color w:val="FFFFFF" w:themeColor="background1"/>
                <w:sz w:val="16"/>
                <w:szCs w:val="16"/>
              </w:rPr>
              <w:t>Reward/Penalty</w:t>
            </w:r>
          </w:p>
        </w:tc>
      </w:tr>
      <w:tr w:rsidR="00845529" w:rsidRPr="00482CC5" w:rsidTr="00672145">
        <w:tc>
          <w:tcPr>
            <w:tcW w:w="2405" w:type="dxa"/>
          </w:tcPr>
          <w:p w:rsidR="00845529" w:rsidRPr="00482CC5" w:rsidRDefault="00845529" w:rsidP="00067353">
            <w:pPr>
              <w:spacing w:before="20" w:after="20"/>
              <w:ind w:left="0"/>
              <w:rPr>
                <w:sz w:val="16"/>
                <w:szCs w:val="16"/>
              </w:rPr>
            </w:pPr>
            <w:r w:rsidRPr="00482CC5">
              <w:rPr>
                <w:sz w:val="16"/>
                <w:szCs w:val="16"/>
              </w:rPr>
              <w:t xml:space="preserve">Requirement to Introduce Temporary Use Bans </w:t>
            </w:r>
            <w:r w:rsidR="001C7246">
              <w:rPr>
                <w:rFonts w:cs="Arial"/>
                <w:sz w:val="16"/>
                <w:szCs w:val="16"/>
              </w:rPr>
              <w:t>≤</w:t>
            </w:r>
            <w:r w:rsidR="001C7246">
              <w:rPr>
                <w:sz w:val="16"/>
                <w:szCs w:val="16"/>
              </w:rPr>
              <w:t xml:space="preserve"> 1 in 20 year drought scenario</w:t>
            </w:r>
          </w:p>
        </w:tc>
        <w:tc>
          <w:tcPr>
            <w:tcW w:w="708" w:type="dxa"/>
          </w:tcPr>
          <w:p w:rsidR="00845529" w:rsidRPr="00482CC5" w:rsidRDefault="00845529" w:rsidP="00732F33">
            <w:pPr>
              <w:spacing w:before="20" w:after="20"/>
              <w:ind w:left="0"/>
              <w:jc w:val="center"/>
              <w:rPr>
                <w:sz w:val="16"/>
                <w:szCs w:val="16"/>
              </w:rPr>
            </w:pPr>
            <w:r w:rsidRPr="00482CC5">
              <w:rPr>
                <w:sz w:val="16"/>
                <w:szCs w:val="16"/>
              </w:rPr>
              <w:t>B</w:t>
            </w:r>
          </w:p>
        </w:tc>
        <w:tc>
          <w:tcPr>
            <w:tcW w:w="1512" w:type="dxa"/>
          </w:tcPr>
          <w:p w:rsidR="00845529" w:rsidRPr="00482CC5" w:rsidRDefault="00845529" w:rsidP="00732F33">
            <w:pPr>
              <w:spacing w:after="0"/>
              <w:ind w:left="0"/>
              <w:rPr>
                <w:sz w:val="16"/>
                <w:szCs w:val="16"/>
              </w:rPr>
            </w:pPr>
            <w:r w:rsidRPr="00482CC5">
              <w:rPr>
                <w:sz w:val="16"/>
                <w:szCs w:val="16"/>
              </w:rPr>
              <w:t>Not required</w:t>
            </w:r>
          </w:p>
        </w:tc>
        <w:tc>
          <w:tcPr>
            <w:tcW w:w="1654" w:type="dxa"/>
          </w:tcPr>
          <w:p w:rsidR="00845529" w:rsidRPr="00482CC5" w:rsidRDefault="00845529" w:rsidP="00732F33">
            <w:pPr>
              <w:spacing w:after="0"/>
              <w:ind w:left="0"/>
              <w:rPr>
                <w:sz w:val="16"/>
                <w:szCs w:val="16"/>
              </w:rPr>
            </w:pPr>
            <w:r w:rsidRPr="00482CC5">
              <w:rPr>
                <w:sz w:val="16"/>
                <w:szCs w:val="16"/>
              </w:rPr>
              <w:t>Not required</w:t>
            </w:r>
          </w:p>
        </w:tc>
        <w:tc>
          <w:tcPr>
            <w:tcW w:w="1654" w:type="dxa"/>
          </w:tcPr>
          <w:p w:rsidR="00845529" w:rsidRPr="00482CC5" w:rsidRDefault="00845529" w:rsidP="00732F33">
            <w:pPr>
              <w:spacing w:after="0"/>
              <w:ind w:left="0"/>
              <w:rPr>
                <w:sz w:val="16"/>
                <w:szCs w:val="16"/>
              </w:rPr>
            </w:pPr>
            <w:r w:rsidRPr="00482CC5">
              <w:rPr>
                <w:sz w:val="16"/>
                <w:szCs w:val="16"/>
              </w:rPr>
              <w:t>Not required</w:t>
            </w:r>
          </w:p>
        </w:tc>
        <w:tc>
          <w:tcPr>
            <w:tcW w:w="850" w:type="dxa"/>
          </w:tcPr>
          <w:p w:rsidR="00845529" w:rsidRPr="00482CC5" w:rsidRDefault="00845529" w:rsidP="00732F33">
            <w:pPr>
              <w:spacing w:after="0"/>
              <w:ind w:left="0"/>
              <w:jc w:val="center"/>
              <w:rPr>
                <w:sz w:val="16"/>
                <w:szCs w:val="16"/>
              </w:rPr>
            </w:pPr>
            <w:r w:rsidRPr="00482CC5">
              <w:rPr>
                <w:sz w:val="16"/>
                <w:szCs w:val="16"/>
              </w:rPr>
              <w:t>REP</w:t>
            </w:r>
          </w:p>
        </w:tc>
      </w:tr>
    </w:tbl>
    <w:p w:rsidR="005471C9" w:rsidRDefault="005471C9" w:rsidP="005471C9">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FC13AC" w:rsidRPr="00691D9E" w:rsidRDefault="00A35834" w:rsidP="003941AC">
      <w:r>
        <w:t>Our plans are designed to mitigate against a 1 in 200 year drought scenario and these will also ensure that in a 1 in 20 year scenario</w:t>
      </w:r>
      <w:r w:rsidR="002E7077">
        <w:t>, temporary use bans will not be required.</w:t>
      </w:r>
    </w:p>
    <w:p w:rsidR="003B02AB" w:rsidRPr="00C11AF1" w:rsidRDefault="003B02AB" w:rsidP="003B02AB">
      <w:pPr>
        <w:pStyle w:val="Heading3"/>
      </w:pPr>
      <w:bookmarkStart w:id="56" w:name="_Toc522199980"/>
      <w:bookmarkStart w:id="57" w:name="_Toc522200077"/>
      <w:bookmarkStart w:id="58" w:name="_Toc523651257"/>
      <w:r>
        <w:t>Securing Long Term Resilience</w:t>
      </w:r>
      <w:bookmarkEnd w:id="56"/>
      <w:bookmarkEnd w:id="57"/>
      <w:bookmarkEnd w:id="58"/>
    </w:p>
    <w:p w:rsidR="00FC13AC" w:rsidRPr="000516D6" w:rsidRDefault="00FC13AC" w:rsidP="00482CC5">
      <w:r w:rsidRPr="000516D6">
        <w:t xml:space="preserve">The Company has demonstrated, not only through its planning process, </w:t>
      </w:r>
      <w:r w:rsidR="008C1817" w:rsidRPr="000516D6">
        <w:t>but also</w:t>
      </w:r>
      <w:r w:rsidRPr="000516D6">
        <w:t xml:space="preserve"> in practice, that it is resilient to extreme events.  In </w:t>
      </w:r>
      <w:r w:rsidR="008C1817" w:rsidRPr="000516D6">
        <w:t>2018,</w:t>
      </w:r>
      <w:r w:rsidRPr="000516D6">
        <w:t xml:space="preserve"> we experienced the </w:t>
      </w:r>
      <w:r w:rsidR="00A11EF3">
        <w:t>‘</w:t>
      </w:r>
      <w:r w:rsidRPr="000516D6">
        <w:t>Freeze</w:t>
      </w:r>
      <w:r w:rsidR="00A11EF3">
        <w:t>/</w:t>
      </w:r>
      <w:r w:rsidRPr="000516D6">
        <w:t>Thaw</w:t>
      </w:r>
      <w:r w:rsidR="00A11EF3">
        <w:t>’</w:t>
      </w:r>
      <w:r w:rsidRPr="000516D6">
        <w:t xml:space="preserve"> event in March where demands increased to over 230 Ml/d.</w:t>
      </w:r>
      <w:r w:rsidR="00752754">
        <w:t xml:space="preserve"> some </w:t>
      </w:r>
      <w:r w:rsidR="00017B81">
        <w:t>30</w:t>
      </w:r>
      <w:r w:rsidR="00752754" w:rsidRPr="00017B81">
        <w:t>%</w:t>
      </w:r>
      <w:r w:rsidR="00752754">
        <w:t xml:space="preserve"> over our normal demand.</w:t>
      </w:r>
      <w:r w:rsidRPr="000516D6">
        <w:t xml:space="preserve">  Similar demands have been experienced this summer also</w:t>
      </w:r>
      <w:r w:rsidR="003B02AB">
        <w:t>, without the need for any restrictions</w:t>
      </w:r>
      <w:r w:rsidRPr="000516D6">
        <w:t>.</w:t>
      </w:r>
    </w:p>
    <w:p w:rsidR="00FC13AC" w:rsidRPr="000516D6" w:rsidRDefault="00FC13AC" w:rsidP="00FC13AC">
      <w:pPr>
        <w:rPr>
          <w:rFonts w:cs="Arial"/>
        </w:rPr>
      </w:pPr>
      <w:r w:rsidRPr="000516D6">
        <w:rPr>
          <w:rFonts w:cs="Arial"/>
        </w:rPr>
        <w:t>Our water resource position is therefore practically resilient / robust as well as statistically proven.</w:t>
      </w:r>
    </w:p>
    <w:p w:rsidR="00FC13AC" w:rsidRPr="000516D6" w:rsidRDefault="00FC13AC" w:rsidP="00FC13AC">
      <w:pPr>
        <w:rPr>
          <w:rFonts w:cs="Arial"/>
        </w:rPr>
      </w:pPr>
      <w:r w:rsidRPr="000516D6">
        <w:rPr>
          <w:rFonts w:cs="Arial"/>
        </w:rPr>
        <w:t xml:space="preserve">Our future plans are based on a twin track approach, of demand and supply options </w:t>
      </w:r>
      <w:r>
        <w:rPr>
          <w:rFonts w:cs="Arial"/>
        </w:rPr>
        <w:t xml:space="preserve">including metering, leakage and the development of Havant Thicket and </w:t>
      </w:r>
      <w:r w:rsidR="00A06465">
        <w:rPr>
          <w:rFonts w:cs="Arial"/>
        </w:rPr>
        <w:t>other smaller supply options.</w:t>
      </w:r>
    </w:p>
    <w:p w:rsidR="00FC13AC" w:rsidRPr="000516D6" w:rsidRDefault="00FC13AC" w:rsidP="00FC13AC">
      <w:pPr>
        <w:rPr>
          <w:rFonts w:cs="Arial"/>
        </w:rPr>
      </w:pPr>
      <w:r w:rsidRPr="000516D6">
        <w:rPr>
          <w:rFonts w:cs="Arial"/>
        </w:rPr>
        <w:t>Our ability to trade is further enhanced by our aggressive leakage target and metering strateg</w:t>
      </w:r>
      <w:r>
        <w:rPr>
          <w:rFonts w:cs="Arial"/>
        </w:rPr>
        <w:t>ies</w:t>
      </w:r>
      <w:r w:rsidRPr="000516D6">
        <w:rPr>
          <w:rFonts w:cs="Arial"/>
        </w:rPr>
        <w:t xml:space="preserve">.  </w:t>
      </w:r>
      <w:r>
        <w:rPr>
          <w:rFonts w:cs="Arial"/>
        </w:rPr>
        <w:t xml:space="preserve">We will continue to seek </w:t>
      </w:r>
      <w:r w:rsidRPr="000516D6">
        <w:rPr>
          <w:rFonts w:cs="Arial"/>
        </w:rPr>
        <w:t>support on our ability to compulsory meter all customers, to benefit the</w:t>
      </w:r>
      <w:r w:rsidR="00067353">
        <w:rPr>
          <w:rFonts w:cs="Arial"/>
        </w:rPr>
        <w:t xml:space="preserve"> wider</w:t>
      </w:r>
      <w:r w:rsidRPr="000516D6">
        <w:rPr>
          <w:rFonts w:cs="Arial"/>
        </w:rPr>
        <w:t xml:space="preserve"> region.</w:t>
      </w:r>
    </w:p>
    <w:p w:rsidR="00FC13AC" w:rsidRDefault="00FC13AC" w:rsidP="00FC13AC">
      <w:pPr>
        <w:rPr>
          <w:rFonts w:cs="Arial"/>
        </w:rPr>
      </w:pPr>
      <w:r w:rsidRPr="000516D6">
        <w:rPr>
          <w:rFonts w:cs="Arial"/>
        </w:rPr>
        <w:t>We consider there is a significant role we can play in supporting the region with relatively low cost sustainable water supplies and are working with other companies as part of WRSE to deliver these plans.</w:t>
      </w:r>
    </w:p>
    <w:p w:rsidR="00A42A6E" w:rsidRPr="00A42A6E" w:rsidRDefault="00A42A6E" w:rsidP="00A42A6E">
      <w:pPr>
        <w:rPr>
          <w:b/>
          <w:color w:val="2E74B5" w:themeColor="accent1" w:themeShade="BF"/>
        </w:rPr>
      </w:pPr>
      <w:r w:rsidRPr="00A42A6E">
        <w:rPr>
          <w:b/>
          <w:color w:val="2E74B5" w:themeColor="accent1" w:themeShade="BF"/>
        </w:rPr>
        <w:t>Collaboration with other companies in the South East</w:t>
      </w:r>
    </w:p>
    <w:p w:rsidR="00A42A6E" w:rsidRDefault="00A42A6E" w:rsidP="00A42A6E">
      <w:pPr>
        <w:rPr>
          <w:rFonts w:ascii="Calibri" w:hAnsi="Calibri"/>
          <w:sz w:val="22"/>
          <w:szCs w:val="22"/>
        </w:rPr>
      </w:pPr>
      <w:r>
        <w:t>The development of the latest WRSE strategy has seen significantly more co-ordination between member companies both at strategic and technical level than ever before. Together we are committed to continuing our collaborative work, for the benefit of customers and the environment.</w:t>
      </w:r>
    </w:p>
    <w:p w:rsidR="00A42A6E" w:rsidRDefault="00A42A6E" w:rsidP="00A42A6E">
      <w:r>
        <w:t xml:space="preserve">We want to reach further, so that we can plan more efficiently and manage this scarce resource at a regional level.  We have an ambitious agenda that we recognise can be achieved by our working together as a cohesive group of six companies, rather than acting in isolation. The evolution of the WRSE provides the ability for the group to increase its leadership for water management and resilience for the South East </w:t>
      </w:r>
    </w:p>
    <w:p w:rsidR="00A42A6E" w:rsidRDefault="00A42A6E" w:rsidP="00A42A6E">
      <w:r>
        <w:t>Change is needed: the current WRMP process has successfully increased resilience over time and has supported population growth and environmental enhancement across the region. However, the process alone does not deliver the level of resilience to drought now expected, or the true value or utility of water. The parameters of planning have changed and regional groups can address this.</w:t>
      </w:r>
    </w:p>
    <w:p w:rsidR="00A42A6E" w:rsidRDefault="00A42A6E" w:rsidP="00A42A6E">
      <w:r>
        <w:t>The WRSE offers great benefits in terms of innovation and savings, from efficiency of technical work; scale of endeavour and sharing resources.  While additional funds are being put forward initially, the WRSE will be cost-beneficial overall.</w:t>
      </w:r>
    </w:p>
    <w:p w:rsidR="00A42A6E" w:rsidRDefault="00A42A6E" w:rsidP="00A42A6E">
      <w:r>
        <w:t xml:space="preserve">By increasing our inputs to the group, the WRSE has the potential to develop a single regional water resource management plan for the region, develop a ‘trading hub’ for the southeast, be resilient to increasing pressures including extreme drought, be able to embrace the direction of travel set out by the </w:t>
      </w:r>
      <w:r w:rsidR="00E76864">
        <w:t>DEFRA</w:t>
      </w:r>
      <w:r>
        <w:t xml:space="preserve"> 25 year Plan and NIC Water Infrastructure Plan, and work collaboratively with other regional groups and the proposed Environment Agency National Framework.  </w:t>
      </w:r>
    </w:p>
    <w:p w:rsidR="00A42A6E" w:rsidRDefault="00A42A6E" w:rsidP="00A42A6E">
      <w:r>
        <w:t>Our Plan with additional water trading, is a good example of this in practice.</w:t>
      </w:r>
    </w:p>
    <w:p w:rsidR="00772301" w:rsidRPr="00453F64" w:rsidRDefault="00772301" w:rsidP="00FC13AC">
      <w:pPr>
        <w:rPr>
          <w:rFonts w:cs="Arial"/>
          <w:color w:val="2E74B5" w:themeColor="accent1" w:themeShade="BF"/>
        </w:rPr>
      </w:pPr>
      <w:r w:rsidRPr="00453F64">
        <w:rPr>
          <w:rFonts w:cs="Arial"/>
          <w:color w:val="2E74B5" w:themeColor="accent1" w:themeShade="BF"/>
        </w:rPr>
        <w:t>Appendice</w:t>
      </w:r>
      <w:r w:rsidR="00453F64" w:rsidRPr="00453F64">
        <w:rPr>
          <w:rFonts w:cs="Arial"/>
          <w:color w:val="2E74B5" w:themeColor="accent1" w:themeShade="BF"/>
        </w:rPr>
        <w:t>s relevant to this this section</w:t>
      </w:r>
    </w:p>
    <w:tbl>
      <w:tblPr>
        <w:tblStyle w:val="TableGrid22"/>
        <w:tblW w:w="0" w:type="auto"/>
        <w:jc w:val="center"/>
        <w:tblLook w:val="04A0" w:firstRow="1" w:lastRow="0" w:firstColumn="1" w:lastColumn="0" w:noHBand="0" w:noVBand="1"/>
      </w:tblPr>
      <w:tblGrid>
        <w:gridCol w:w="1838"/>
        <w:gridCol w:w="4173"/>
        <w:gridCol w:w="1781"/>
      </w:tblGrid>
      <w:tr w:rsidR="004B539E" w:rsidRPr="001E0DCD" w:rsidTr="0024233B">
        <w:trPr>
          <w:jc w:val="center"/>
        </w:trPr>
        <w:tc>
          <w:tcPr>
            <w:tcW w:w="1838" w:type="dxa"/>
            <w:shd w:val="clear" w:color="auto" w:fill="2E74B5" w:themeFill="accent1" w:themeFillShade="BF"/>
          </w:tcPr>
          <w:p w:rsidR="004B539E" w:rsidRPr="001E0DCD" w:rsidRDefault="004B539E" w:rsidP="0024233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4B539E" w:rsidRPr="001E0DCD" w:rsidRDefault="004B539E" w:rsidP="0024233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4B539E" w:rsidRPr="001E0DCD" w:rsidRDefault="004B539E" w:rsidP="0024233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4B539E" w:rsidRPr="001E0DCD" w:rsidTr="0024233B">
        <w:trPr>
          <w:jc w:val="center"/>
        </w:trPr>
        <w:tc>
          <w:tcPr>
            <w:tcW w:w="1838" w:type="dxa"/>
          </w:tcPr>
          <w:p w:rsidR="004B539E" w:rsidRPr="001E0DCD" w:rsidRDefault="004B539E" w:rsidP="0024233B">
            <w:pPr>
              <w:tabs>
                <w:tab w:val="clear" w:pos="851"/>
              </w:tabs>
              <w:spacing w:after="0"/>
              <w:ind w:left="0"/>
              <w:jc w:val="left"/>
              <w:rPr>
                <w:rFonts w:cs="Arial"/>
                <w:sz w:val="16"/>
                <w:szCs w:val="16"/>
              </w:rPr>
            </w:pPr>
            <w:r>
              <w:rPr>
                <w:rFonts w:cs="Arial"/>
                <w:sz w:val="16"/>
                <w:szCs w:val="16"/>
              </w:rPr>
              <w:t>2.4</w:t>
            </w:r>
          </w:p>
        </w:tc>
        <w:tc>
          <w:tcPr>
            <w:tcW w:w="4173" w:type="dxa"/>
          </w:tcPr>
          <w:p w:rsidR="004B539E" w:rsidRPr="001E0DCD" w:rsidRDefault="004B539E" w:rsidP="0024233B">
            <w:pPr>
              <w:tabs>
                <w:tab w:val="clear" w:pos="851"/>
              </w:tabs>
              <w:spacing w:after="0"/>
              <w:ind w:left="0"/>
              <w:jc w:val="left"/>
              <w:rPr>
                <w:rFonts w:cs="Arial"/>
                <w:sz w:val="16"/>
                <w:szCs w:val="16"/>
              </w:rPr>
            </w:pPr>
            <w:r>
              <w:rPr>
                <w:rFonts w:cs="Arial"/>
                <w:sz w:val="16"/>
                <w:szCs w:val="16"/>
              </w:rPr>
              <w:t>Customer Advisory Panel 1</w:t>
            </w:r>
          </w:p>
        </w:tc>
        <w:tc>
          <w:tcPr>
            <w:tcW w:w="1781" w:type="dxa"/>
          </w:tcPr>
          <w:p w:rsidR="004B539E" w:rsidRPr="001E0DCD" w:rsidRDefault="004B539E" w:rsidP="0024233B">
            <w:pPr>
              <w:tabs>
                <w:tab w:val="clear" w:pos="851"/>
              </w:tabs>
              <w:spacing w:after="0"/>
              <w:ind w:left="0"/>
              <w:jc w:val="left"/>
              <w:rPr>
                <w:rFonts w:cs="Arial"/>
                <w:sz w:val="16"/>
                <w:szCs w:val="16"/>
              </w:rPr>
            </w:pPr>
            <w:r>
              <w:rPr>
                <w:rFonts w:cs="Arial"/>
                <w:sz w:val="16"/>
                <w:szCs w:val="16"/>
              </w:rPr>
              <w:t>February 2017</w:t>
            </w:r>
          </w:p>
        </w:tc>
      </w:tr>
      <w:tr w:rsidR="004B539E" w:rsidRPr="001E0DCD" w:rsidTr="0024233B">
        <w:trPr>
          <w:jc w:val="center"/>
        </w:trPr>
        <w:tc>
          <w:tcPr>
            <w:tcW w:w="1838" w:type="dxa"/>
          </w:tcPr>
          <w:p w:rsidR="004B539E" w:rsidRPr="001E0DCD" w:rsidRDefault="004B539E" w:rsidP="0024233B">
            <w:pPr>
              <w:tabs>
                <w:tab w:val="clear" w:pos="851"/>
              </w:tabs>
              <w:spacing w:after="0"/>
              <w:ind w:left="0"/>
              <w:jc w:val="left"/>
              <w:rPr>
                <w:rFonts w:cs="Arial"/>
                <w:sz w:val="16"/>
                <w:szCs w:val="16"/>
              </w:rPr>
            </w:pPr>
            <w:r>
              <w:rPr>
                <w:rFonts w:cs="Arial"/>
                <w:sz w:val="16"/>
                <w:szCs w:val="16"/>
              </w:rPr>
              <w:t>2.6</w:t>
            </w:r>
          </w:p>
        </w:tc>
        <w:tc>
          <w:tcPr>
            <w:tcW w:w="4173" w:type="dxa"/>
          </w:tcPr>
          <w:p w:rsidR="004B539E" w:rsidRPr="001E0DCD" w:rsidRDefault="004B539E" w:rsidP="0024233B">
            <w:pPr>
              <w:tabs>
                <w:tab w:val="clear" w:pos="851"/>
              </w:tabs>
              <w:spacing w:after="0"/>
              <w:ind w:left="0"/>
              <w:jc w:val="left"/>
              <w:rPr>
                <w:rFonts w:cs="Arial"/>
                <w:sz w:val="16"/>
                <w:szCs w:val="16"/>
              </w:rPr>
            </w:pPr>
            <w:r>
              <w:rPr>
                <w:rFonts w:cs="Arial"/>
                <w:sz w:val="16"/>
                <w:szCs w:val="16"/>
              </w:rPr>
              <w:t>Customer Advisory Panel 2</w:t>
            </w:r>
          </w:p>
        </w:tc>
        <w:tc>
          <w:tcPr>
            <w:tcW w:w="1781" w:type="dxa"/>
          </w:tcPr>
          <w:p w:rsidR="004B539E" w:rsidRPr="001E0DCD" w:rsidRDefault="004B539E" w:rsidP="0024233B">
            <w:pPr>
              <w:tabs>
                <w:tab w:val="clear" w:pos="851"/>
              </w:tabs>
              <w:spacing w:after="0"/>
              <w:ind w:left="0"/>
              <w:jc w:val="left"/>
              <w:rPr>
                <w:rFonts w:cs="Arial"/>
                <w:sz w:val="16"/>
                <w:szCs w:val="16"/>
              </w:rPr>
            </w:pPr>
            <w:r>
              <w:rPr>
                <w:rFonts w:cs="Arial"/>
                <w:sz w:val="16"/>
                <w:szCs w:val="16"/>
              </w:rPr>
              <w:t>April 2017</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2.7</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Customer Advisory Panel 3</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June 2017</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2.16</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Customer Advisory Panel 4</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March 2018</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2.22</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Customer Advisory Panel 5</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May 2018</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2.17</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ICS – PC + ODI customer Survey Results</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April 2018</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2.11</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Student Customer Survey Report</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October 2017</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2.1</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Customer Engagement and Triangulation</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August 2018</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2.8</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Institute of Customer Service Report</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July 2017</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2.9</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Workplace Key Points</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August 2017</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2.12</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Results from Cowplain School</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November 2017</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2.13</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Ark Charter Academy School</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November 2017</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2.21</w:t>
            </w:r>
          </w:p>
        </w:tc>
        <w:tc>
          <w:tcPr>
            <w:tcW w:w="4173" w:type="dxa"/>
          </w:tcPr>
          <w:p w:rsidR="004B539E" w:rsidRDefault="004B539E" w:rsidP="004B539E">
            <w:pPr>
              <w:tabs>
                <w:tab w:val="clear" w:pos="851"/>
              </w:tabs>
              <w:spacing w:after="0"/>
              <w:ind w:left="0"/>
              <w:jc w:val="left"/>
              <w:rPr>
                <w:rFonts w:cs="Arial"/>
                <w:sz w:val="16"/>
                <w:szCs w:val="16"/>
              </w:rPr>
            </w:pPr>
            <w:r>
              <w:rPr>
                <w:rFonts w:cs="Arial"/>
                <w:sz w:val="16"/>
                <w:szCs w:val="16"/>
              </w:rPr>
              <w:t>Community Research – Qualitative Research with NHH Customers</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May 2018</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2.14</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Customer Affordability Survey</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February 2018</w:t>
            </w:r>
          </w:p>
        </w:tc>
      </w:tr>
      <w:tr w:rsidR="004B539E" w:rsidRPr="001E0DCD" w:rsidTr="0024233B">
        <w:trPr>
          <w:jc w:val="center"/>
        </w:trPr>
        <w:tc>
          <w:tcPr>
            <w:tcW w:w="1838" w:type="dxa"/>
          </w:tcPr>
          <w:p w:rsidR="004B539E" w:rsidRDefault="004B539E" w:rsidP="0024233B">
            <w:pPr>
              <w:tabs>
                <w:tab w:val="clear" w:pos="851"/>
              </w:tabs>
              <w:spacing w:after="0"/>
              <w:ind w:left="0"/>
              <w:jc w:val="left"/>
              <w:rPr>
                <w:rFonts w:cs="Arial"/>
                <w:sz w:val="16"/>
                <w:szCs w:val="16"/>
              </w:rPr>
            </w:pPr>
            <w:r>
              <w:rPr>
                <w:rFonts w:cs="Arial"/>
                <w:sz w:val="16"/>
                <w:szCs w:val="16"/>
              </w:rPr>
              <w:t>2.20</w:t>
            </w:r>
          </w:p>
        </w:tc>
        <w:tc>
          <w:tcPr>
            <w:tcW w:w="4173" w:type="dxa"/>
          </w:tcPr>
          <w:p w:rsidR="004B539E" w:rsidRDefault="004B539E" w:rsidP="0024233B">
            <w:pPr>
              <w:tabs>
                <w:tab w:val="clear" w:pos="851"/>
              </w:tabs>
              <w:spacing w:after="0"/>
              <w:ind w:left="0"/>
              <w:jc w:val="left"/>
              <w:rPr>
                <w:rFonts w:cs="Arial"/>
                <w:sz w:val="16"/>
                <w:szCs w:val="16"/>
              </w:rPr>
            </w:pPr>
            <w:r>
              <w:rPr>
                <w:rFonts w:cs="Arial"/>
                <w:sz w:val="16"/>
                <w:szCs w:val="16"/>
              </w:rPr>
              <w:t>WRMP Survey Summary</w:t>
            </w:r>
          </w:p>
        </w:tc>
        <w:tc>
          <w:tcPr>
            <w:tcW w:w="1781" w:type="dxa"/>
          </w:tcPr>
          <w:p w:rsidR="004B539E" w:rsidRDefault="004B539E" w:rsidP="0024233B">
            <w:pPr>
              <w:tabs>
                <w:tab w:val="clear" w:pos="851"/>
              </w:tabs>
              <w:spacing w:after="0"/>
              <w:ind w:left="0"/>
              <w:jc w:val="left"/>
              <w:rPr>
                <w:rFonts w:cs="Arial"/>
                <w:sz w:val="16"/>
                <w:szCs w:val="16"/>
              </w:rPr>
            </w:pPr>
            <w:r>
              <w:rPr>
                <w:rFonts w:cs="Arial"/>
                <w:sz w:val="16"/>
                <w:szCs w:val="16"/>
              </w:rPr>
              <w:t>May 2018</w:t>
            </w:r>
          </w:p>
        </w:tc>
      </w:tr>
      <w:tr w:rsidR="00F2161B" w:rsidRPr="001E0DCD" w:rsidTr="0024233B">
        <w:trPr>
          <w:jc w:val="center"/>
        </w:trPr>
        <w:tc>
          <w:tcPr>
            <w:tcW w:w="1838" w:type="dxa"/>
          </w:tcPr>
          <w:p w:rsidR="00F2161B" w:rsidRDefault="00F2161B" w:rsidP="0024233B">
            <w:pPr>
              <w:tabs>
                <w:tab w:val="clear" w:pos="851"/>
              </w:tabs>
              <w:spacing w:after="0"/>
              <w:ind w:left="0"/>
              <w:jc w:val="left"/>
              <w:rPr>
                <w:rFonts w:cs="Arial"/>
                <w:sz w:val="16"/>
                <w:szCs w:val="16"/>
              </w:rPr>
            </w:pPr>
            <w:r>
              <w:rPr>
                <w:rFonts w:cs="Arial"/>
                <w:sz w:val="16"/>
                <w:szCs w:val="16"/>
              </w:rPr>
              <w:t>2.27</w:t>
            </w:r>
          </w:p>
        </w:tc>
        <w:tc>
          <w:tcPr>
            <w:tcW w:w="4173" w:type="dxa"/>
          </w:tcPr>
          <w:p w:rsidR="00F2161B" w:rsidRDefault="00F2161B" w:rsidP="0024233B">
            <w:pPr>
              <w:tabs>
                <w:tab w:val="clear" w:pos="851"/>
              </w:tabs>
              <w:spacing w:after="0"/>
              <w:ind w:left="0"/>
              <w:jc w:val="left"/>
              <w:rPr>
                <w:rFonts w:cs="Arial"/>
                <w:sz w:val="16"/>
                <w:szCs w:val="16"/>
              </w:rPr>
            </w:pPr>
            <w:r>
              <w:rPr>
                <w:rFonts w:cs="Arial"/>
                <w:sz w:val="16"/>
                <w:szCs w:val="16"/>
              </w:rPr>
              <w:t>WRMP Public Consultation Update</w:t>
            </w:r>
          </w:p>
        </w:tc>
        <w:tc>
          <w:tcPr>
            <w:tcW w:w="1781" w:type="dxa"/>
          </w:tcPr>
          <w:p w:rsidR="00F2161B" w:rsidRDefault="00BA1427" w:rsidP="0024233B">
            <w:pPr>
              <w:tabs>
                <w:tab w:val="clear" w:pos="851"/>
              </w:tabs>
              <w:spacing w:after="0"/>
              <w:ind w:left="0"/>
              <w:jc w:val="left"/>
              <w:rPr>
                <w:rFonts w:cs="Arial"/>
                <w:sz w:val="16"/>
                <w:szCs w:val="16"/>
              </w:rPr>
            </w:pPr>
            <w:r>
              <w:rPr>
                <w:rFonts w:cs="Arial"/>
                <w:sz w:val="16"/>
                <w:szCs w:val="16"/>
              </w:rPr>
              <w:t>July 2018</w:t>
            </w:r>
          </w:p>
        </w:tc>
      </w:tr>
    </w:tbl>
    <w:p w:rsidR="0074163F" w:rsidRDefault="0074163F" w:rsidP="00B40579">
      <w:pPr>
        <w:spacing w:after="0"/>
        <w:rPr>
          <w:rFonts w:cs="Arial"/>
        </w:rPr>
      </w:pPr>
    </w:p>
    <w:p w:rsidR="0074163F" w:rsidRDefault="0074163F">
      <w:pPr>
        <w:tabs>
          <w:tab w:val="clear" w:pos="851"/>
        </w:tabs>
        <w:spacing w:after="0"/>
        <w:ind w:left="0"/>
        <w:jc w:val="left"/>
        <w:rPr>
          <w:rFonts w:cs="Arial"/>
        </w:rPr>
      </w:pPr>
      <w:r>
        <w:rPr>
          <w:rFonts w:cs="Arial"/>
        </w:rPr>
        <w:br w:type="page"/>
      </w:r>
    </w:p>
    <w:p w:rsidR="00A73A0F" w:rsidRDefault="00A73A0F" w:rsidP="001523F8">
      <w:pPr>
        <w:pStyle w:val="Heading2"/>
      </w:pPr>
      <w:bookmarkStart w:id="59" w:name="_Toc522199981"/>
      <w:bookmarkStart w:id="60" w:name="_Toc522200078"/>
      <w:bookmarkStart w:id="61" w:name="_Toc523651258"/>
      <w:r>
        <w:t>Low leakage</w:t>
      </w:r>
      <w:bookmarkEnd w:id="59"/>
      <w:bookmarkEnd w:id="60"/>
      <w:bookmarkEnd w:id="61"/>
    </w:p>
    <w:p w:rsidR="005471C9" w:rsidRPr="005471C9" w:rsidRDefault="005471C9" w:rsidP="005471C9">
      <w:r>
        <w:t>This section explains our outcome ‘Low Leakage’.  We start with a summary table showing our Performance Commitment that underpins the outcome and then explain the customer insight that has shaped it.  We then explain the Performance Commitment in detail and how it will be delivered.  Finally, we consider how our actions in AMP7 will impact on our longer term resilience.</w:t>
      </w:r>
    </w:p>
    <w:tbl>
      <w:tblPr>
        <w:tblStyle w:val="TableGrid"/>
        <w:tblW w:w="8783" w:type="dxa"/>
        <w:tblInd w:w="851" w:type="dxa"/>
        <w:tblLayout w:type="fixed"/>
        <w:tblLook w:val="04A0" w:firstRow="1" w:lastRow="0" w:firstColumn="1" w:lastColumn="0" w:noHBand="0" w:noVBand="1"/>
      </w:tblPr>
      <w:tblGrid>
        <w:gridCol w:w="2405"/>
        <w:gridCol w:w="567"/>
        <w:gridCol w:w="1653"/>
        <w:gridCol w:w="1654"/>
        <w:gridCol w:w="1654"/>
        <w:gridCol w:w="850"/>
      </w:tblGrid>
      <w:tr w:rsidR="00AB5B6F" w:rsidRPr="007C5AC6" w:rsidTr="001D6930">
        <w:tc>
          <w:tcPr>
            <w:tcW w:w="2405" w:type="dxa"/>
            <w:shd w:val="clear" w:color="auto" w:fill="2E74B5" w:themeFill="accent1" w:themeFillShade="BF"/>
          </w:tcPr>
          <w:p w:rsidR="00AB5B6F" w:rsidRPr="007C5AC6" w:rsidRDefault="00AB5B6F" w:rsidP="001D6930">
            <w:pPr>
              <w:spacing w:after="0"/>
              <w:ind w:left="0"/>
              <w:rPr>
                <w:sz w:val="14"/>
                <w:szCs w:val="14"/>
              </w:rPr>
            </w:pPr>
            <w:r w:rsidRPr="007C5AC6">
              <w:rPr>
                <w:b/>
                <w:bCs/>
                <w:color w:val="FFFFFF" w:themeColor="background1"/>
                <w:sz w:val="14"/>
                <w:szCs w:val="14"/>
              </w:rPr>
              <w:t>Performance Commitment</w:t>
            </w:r>
          </w:p>
        </w:tc>
        <w:tc>
          <w:tcPr>
            <w:tcW w:w="567" w:type="dxa"/>
            <w:shd w:val="clear" w:color="auto" w:fill="2E74B5" w:themeFill="accent1" w:themeFillShade="BF"/>
          </w:tcPr>
          <w:p w:rsidR="00AB5B6F" w:rsidRPr="007C5AC6" w:rsidRDefault="00AB5B6F" w:rsidP="001D6930">
            <w:pPr>
              <w:spacing w:before="20" w:after="20"/>
              <w:ind w:left="0"/>
              <w:jc w:val="center"/>
              <w:rPr>
                <w:b/>
                <w:bCs/>
                <w:color w:val="FFFFFF" w:themeColor="background1"/>
                <w:sz w:val="14"/>
                <w:szCs w:val="14"/>
              </w:rPr>
            </w:pPr>
            <w:r w:rsidRPr="007C5AC6">
              <w:rPr>
                <w:b/>
                <w:bCs/>
                <w:color w:val="FFFFFF" w:themeColor="background1"/>
                <w:sz w:val="14"/>
                <w:szCs w:val="14"/>
              </w:rPr>
              <w:t>Type</w:t>
            </w:r>
          </w:p>
        </w:tc>
        <w:tc>
          <w:tcPr>
            <w:tcW w:w="1653" w:type="dxa"/>
            <w:shd w:val="clear" w:color="auto" w:fill="2E74B5" w:themeFill="accent1" w:themeFillShade="BF"/>
          </w:tcPr>
          <w:p w:rsidR="00AB5B6F" w:rsidRPr="007C5AC6" w:rsidRDefault="00AB5B6F" w:rsidP="001D6930">
            <w:pPr>
              <w:spacing w:after="0"/>
              <w:ind w:left="0"/>
              <w:rPr>
                <w:b/>
                <w:color w:val="FFFFFF" w:themeColor="background1"/>
                <w:sz w:val="14"/>
                <w:szCs w:val="14"/>
              </w:rPr>
            </w:pPr>
            <w:r w:rsidRPr="007C5AC6">
              <w:rPr>
                <w:b/>
                <w:color w:val="FFFFFF" w:themeColor="background1"/>
                <w:sz w:val="14"/>
                <w:szCs w:val="14"/>
              </w:rPr>
              <w:t>AMP6 Performance</w:t>
            </w:r>
          </w:p>
        </w:tc>
        <w:tc>
          <w:tcPr>
            <w:tcW w:w="1654" w:type="dxa"/>
            <w:shd w:val="clear" w:color="auto" w:fill="2E74B5" w:themeFill="accent1" w:themeFillShade="BF"/>
          </w:tcPr>
          <w:p w:rsidR="00AB5B6F" w:rsidRPr="007C5AC6" w:rsidRDefault="00AB5B6F" w:rsidP="001D6930">
            <w:pPr>
              <w:spacing w:after="0"/>
              <w:ind w:left="0"/>
              <w:rPr>
                <w:b/>
                <w:color w:val="FFFFFF" w:themeColor="background1"/>
                <w:sz w:val="14"/>
                <w:szCs w:val="14"/>
              </w:rPr>
            </w:pPr>
            <w:r w:rsidRPr="007C5AC6">
              <w:rPr>
                <w:b/>
                <w:color w:val="FFFFFF" w:themeColor="background1"/>
                <w:sz w:val="14"/>
                <w:szCs w:val="14"/>
              </w:rPr>
              <w:t>2024/25 Target</w:t>
            </w:r>
          </w:p>
        </w:tc>
        <w:tc>
          <w:tcPr>
            <w:tcW w:w="1654" w:type="dxa"/>
            <w:shd w:val="clear" w:color="auto" w:fill="2E74B5" w:themeFill="accent1" w:themeFillShade="BF"/>
          </w:tcPr>
          <w:p w:rsidR="00AB5B6F" w:rsidRPr="007C5AC6" w:rsidRDefault="00AB5B6F" w:rsidP="001D6930">
            <w:pPr>
              <w:spacing w:after="0"/>
              <w:ind w:left="0"/>
              <w:rPr>
                <w:b/>
                <w:color w:val="FFFFFF" w:themeColor="background1"/>
                <w:sz w:val="14"/>
                <w:szCs w:val="14"/>
              </w:rPr>
            </w:pPr>
            <w:r w:rsidRPr="007C5AC6">
              <w:rPr>
                <w:b/>
                <w:color w:val="FFFFFF" w:themeColor="background1"/>
                <w:sz w:val="14"/>
                <w:szCs w:val="14"/>
              </w:rPr>
              <w:t>2034/35 Target</w:t>
            </w:r>
          </w:p>
        </w:tc>
        <w:tc>
          <w:tcPr>
            <w:tcW w:w="850" w:type="dxa"/>
            <w:shd w:val="clear" w:color="auto" w:fill="2E74B5" w:themeFill="accent1" w:themeFillShade="BF"/>
          </w:tcPr>
          <w:p w:rsidR="00AB5B6F" w:rsidRPr="007C5AC6" w:rsidRDefault="00AB5B6F" w:rsidP="001D6930">
            <w:pPr>
              <w:spacing w:after="0"/>
              <w:ind w:left="0"/>
              <w:jc w:val="center"/>
              <w:rPr>
                <w:b/>
                <w:color w:val="FFFFFF" w:themeColor="background1"/>
                <w:sz w:val="14"/>
                <w:szCs w:val="14"/>
              </w:rPr>
            </w:pPr>
            <w:r w:rsidRPr="007C5AC6">
              <w:rPr>
                <w:b/>
                <w:color w:val="FFFFFF" w:themeColor="background1"/>
                <w:sz w:val="14"/>
                <w:szCs w:val="14"/>
              </w:rPr>
              <w:t>Reward/Penalty</w:t>
            </w:r>
          </w:p>
        </w:tc>
      </w:tr>
      <w:tr w:rsidR="00AB5B6F" w:rsidRPr="007C5AC6" w:rsidTr="001D6930">
        <w:tc>
          <w:tcPr>
            <w:tcW w:w="2405" w:type="dxa"/>
          </w:tcPr>
          <w:p w:rsidR="00AB5B6F" w:rsidRPr="007C5AC6" w:rsidRDefault="00AB5B6F" w:rsidP="001D6930">
            <w:pPr>
              <w:spacing w:before="20" w:after="20"/>
              <w:ind w:left="0"/>
              <w:rPr>
                <w:sz w:val="14"/>
                <w:szCs w:val="14"/>
              </w:rPr>
            </w:pPr>
            <w:r>
              <w:rPr>
                <w:sz w:val="14"/>
                <w:szCs w:val="14"/>
              </w:rPr>
              <w:t>Leakage</w:t>
            </w:r>
          </w:p>
        </w:tc>
        <w:tc>
          <w:tcPr>
            <w:tcW w:w="567" w:type="dxa"/>
          </w:tcPr>
          <w:p w:rsidR="00AB5B6F" w:rsidRPr="007C5AC6" w:rsidRDefault="00AB5B6F" w:rsidP="001D6930">
            <w:pPr>
              <w:spacing w:before="20" w:after="20"/>
              <w:ind w:left="0"/>
              <w:jc w:val="center"/>
              <w:rPr>
                <w:sz w:val="14"/>
                <w:szCs w:val="14"/>
              </w:rPr>
            </w:pPr>
            <w:r>
              <w:rPr>
                <w:sz w:val="14"/>
                <w:szCs w:val="14"/>
              </w:rPr>
              <w:t>C</w:t>
            </w:r>
          </w:p>
        </w:tc>
        <w:tc>
          <w:tcPr>
            <w:tcW w:w="1653" w:type="dxa"/>
          </w:tcPr>
          <w:p w:rsidR="00AB5B6F" w:rsidRPr="007C5AC6" w:rsidRDefault="00AB5B6F" w:rsidP="00BB762E">
            <w:pPr>
              <w:spacing w:after="0"/>
              <w:ind w:left="0"/>
              <w:rPr>
                <w:sz w:val="14"/>
                <w:szCs w:val="14"/>
              </w:rPr>
            </w:pPr>
            <w:r>
              <w:rPr>
                <w:sz w:val="14"/>
                <w:szCs w:val="14"/>
              </w:rPr>
              <w:t>3</w:t>
            </w:r>
            <w:r w:rsidR="00BB762E">
              <w:rPr>
                <w:sz w:val="14"/>
                <w:szCs w:val="14"/>
              </w:rPr>
              <w:t>4.9</w:t>
            </w:r>
            <w:r>
              <w:rPr>
                <w:sz w:val="14"/>
                <w:szCs w:val="14"/>
              </w:rPr>
              <w:t xml:space="preserve"> Ml/d</w:t>
            </w:r>
          </w:p>
        </w:tc>
        <w:tc>
          <w:tcPr>
            <w:tcW w:w="1654" w:type="dxa"/>
          </w:tcPr>
          <w:p w:rsidR="00AB5B6F" w:rsidRPr="00F84F6A" w:rsidRDefault="00AB5B6F" w:rsidP="001D6930">
            <w:pPr>
              <w:spacing w:before="20" w:after="20"/>
              <w:ind w:left="0"/>
              <w:rPr>
                <w:sz w:val="14"/>
                <w:szCs w:val="14"/>
              </w:rPr>
            </w:pPr>
            <w:r>
              <w:rPr>
                <w:sz w:val="14"/>
                <w:szCs w:val="14"/>
              </w:rPr>
              <w:t>15% Reduction</w:t>
            </w:r>
          </w:p>
        </w:tc>
        <w:tc>
          <w:tcPr>
            <w:tcW w:w="1654" w:type="dxa"/>
          </w:tcPr>
          <w:p w:rsidR="00AB5B6F" w:rsidRPr="007C5AC6" w:rsidRDefault="00AB5B6F" w:rsidP="005471C9">
            <w:pPr>
              <w:spacing w:after="0"/>
              <w:ind w:left="0"/>
              <w:rPr>
                <w:sz w:val="14"/>
                <w:szCs w:val="14"/>
              </w:rPr>
            </w:pPr>
            <w:r>
              <w:rPr>
                <w:sz w:val="14"/>
                <w:szCs w:val="14"/>
              </w:rPr>
              <w:t>25% reduction (from 2</w:t>
            </w:r>
            <w:r w:rsidR="005471C9">
              <w:rPr>
                <w:sz w:val="14"/>
                <w:szCs w:val="14"/>
              </w:rPr>
              <w:t>0</w:t>
            </w:r>
            <w:r>
              <w:rPr>
                <w:sz w:val="14"/>
                <w:szCs w:val="14"/>
              </w:rPr>
              <w:t>19/20)</w:t>
            </w:r>
          </w:p>
        </w:tc>
        <w:tc>
          <w:tcPr>
            <w:tcW w:w="850" w:type="dxa"/>
          </w:tcPr>
          <w:p w:rsidR="00AB5B6F" w:rsidRPr="007C5AC6" w:rsidRDefault="00E312F3" w:rsidP="001D6930">
            <w:pPr>
              <w:spacing w:after="0"/>
              <w:ind w:left="0"/>
              <w:jc w:val="center"/>
              <w:rPr>
                <w:sz w:val="14"/>
                <w:szCs w:val="14"/>
              </w:rPr>
            </w:pPr>
            <w:r>
              <w:rPr>
                <w:sz w:val="14"/>
                <w:szCs w:val="14"/>
              </w:rPr>
              <w:t>E</w:t>
            </w:r>
            <w:r w:rsidR="00AB5B6F">
              <w:rPr>
                <w:sz w:val="14"/>
                <w:szCs w:val="14"/>
              </w:rPr>
              <w:t>R/</w:t>
            </w:r>
            <w:r>
              <w:rPr>
                <w:sz w:val="14"/>
                <w:szCs w:val="14"/>
              </w:rPr>
              <w:t>E</w:t>
            </w:r>
            <w:r w:rsidR="00AB5B6F">
              <w:rPr>
                <w:sz w:val="14"/>
                <w:szCs w:val="14"/>
              </w:rPr>
              <w:t>P</w:t>
            </w:r>
          </w:p>
        </w:tc>
      </w:tr>
    </w:tbl>
    <w:p w:rsidR="005471C9" w:rsidRDefault="005471C9" w:rsidP="005471C9">
      <w:pPr>
        <w:rPr>
          <w:sz w:val="14"/>
          <w:szCs w:val="14"/>
        </w:rPr>
      </w:pPr>
      <w:bookmarkStart w:id="62" w:name="_Toc522199982"/>
      <w:bookmarkStart w:id="63" w:name="_Toc522200079"/>
      <w:r w:rsidRPr="00F84F6A">
        <w:rPr>
          <w:sz w:val="14"/>
          <w:szCs w:val="14"/>
        </w:rPr>
        <w:t>Key: C= Co</w:t>
      </w:r>
      <w:r>
        <w:rPr>
          <w:sz w:val="14"/>
          <w:szCs w:val="14"/>
        </w:rPr>
        <w:t>mmon B=Bespoke P=Penalty Only R = Reward Only R/P = Reward/Penalty REP = Reputational ER/EP = Enhanced Reward/Penalty UQ = Upper Quartile</w:t>
      </w:r>
    </w:p>
    <w:p w:rsidR="00830616" w:rsidRPr="00544B7C" w:rsidRDefault="00830616" w:rsidP="000C6953">
      <w:pPr>
        <w:pStyle w:val="Heading3"/>
      </w:pPr>
      <w:bookmarkStart w:id="64" w:name="_Toc523651259"/>
      <w:r w:rsidRPr="00544B7C">
        <w:t>Engaging with Customers</w:t>
      </w:r>
      <w:bookmarkEnd w:id="62"/>
      <w:bookmarkEnd w:id="63"/>
      <w:bookmarkEnd w:id="64"/>
      <w:r w:rsidRPr="00544B7C">
        <w:t xml:space="preserve"> </w:t>
      </w:r>
    </w:p>
    <w:tbl>
      <w:tblPr>
        <w:tblStyle w:val="TableGrid29"/>
        <w:tblW w:w="8935" w:type="dxa"/>
        <w:tblInd w:w="841" w:type="dxa"/>
        <w:tblLook w:val="04A0" w:firstRow="1" w:lastRow="0" w:firstColumn="1" w:lastColumn="0" w:noHBand="0" w:noVBand="1"/>
      </w:tblPr>
      <w:tblGrid>
        <w:gridCol w:w="2556"/>
        <w:gridCol w:w="3828"/>
        <w:gridCol w:w="2551"/>
      </w:tblGrid>
      <w:tr w:rsidR="00AB5B6F" w:rsidRPr="00772B39" w:rsidTr="00482CC5">
        <w:tc>
          <w:tcPr>
            <w:tcW w:w="2556" w:type="dxa"/>
            <w:shd w:val="clear" w:color="auto" w:fill="2E74B5" w:themeFill="accent1" w:themeFillShade="BF"/>
          </w:tcPr>
          <w:p w:rsidR="00AB5B6F" w:rsidRPr="00772B39" w:rsidRDefault="00AB5B6F" w:rsidP="001D6930">
            <w:pPr>
              <w:tabs>
                <w:tab w:val="clear" w:pos="851"/>
              </w:tabs>
              <w:spacing w:before="20" w:after="20"/>
              <w:ind w:left="0"/>
              <w:jc w:val="left"/>
              <w:rPr>
                <w:rFonts w:cs="Arial"/>
                <w:b/>
                <w:color w:val="FFFFFF" w:themeColor="background1"/>
                <w:sz w:val="16"/>
                <w:szCs w:val="16"/>
              </w:rPr>
            </w:pPr>
            <w:r w:rsidRPr="00772B39">
              <w:rPr>
                <w:rFonts w:cs="Arial"/>
                <w:b/>
                <w:color w:val="FFFFFF" w:themeColor="background1"/>
                <w:sz w:val="16"/>
                <w:szCs w:val="16"/>
              </w:rPr>
              <w:t>Research</w:t>
            </w:r>
            <w:r>
              <w:rPr>
                <w:rFonts w:cs="Arial"/>
                <w:b/>
                <w:color w:val="FFFFFF" w:themeColor="background1"/>
                <w:sz w:val="16"/>
                <w:szCs w:val="16"/>
              </w:rPr>
              <w:t xml:space="preserve"> and Triangulation</w:t>
            </w:r>
          </w:p>
        </w:tc>
        <w:tc>
          <w:tcPr>
            <w:tcW w:w="3828" w:type="dxa"/>
            <w:shd w:val="clear" w:color="auto" w:fill="2E74B5" w:themeFill="accent1" w:themeFillShade="BF"/>
          </w:tcPr>
          <w:p w:rsidR="00AB5B6F" w:rsidRPr="00772B39" w:rsidRDefault="00AB5B6F" w:rsidP="001D6930">
            <w:pPr>
              <w:tabs>
                <w:tab w:val="clear" w:pos="851"/>
              </w:tabs>
              <w:spacing w:before="20" w:after="20"/>
              <w:ind w:left="0"/>
              <w:jc w:val="left"/>
              <w:rPr>
                <w:rFonts w:cs="Arial"/>
                <w:b/>
                <w:color w:val="FFFFFF" w:themeColor="background1"/>
                <w:sz w:val="16"/>
                <w:szCs w:val="16"/>
              </w:rPr>
            </w:pPr>
            <w:r w:rsidRPr="00772B39">
              <w:rPr>
                <w:rFonts w:cs="Arial"/>
                <w:b/>
                <w:color w:val="FFFFFF" w:themeColor="background1"/>
                <w:sz w:val="16"/>
                <w:szCs w:val="16"/>
              </w:rPr>
              <w:t>Insight</w:t>
            </w:r>
          </w:p>
        </w:tc>
        <w:tc>
          <w:tcPr>
            <w:tcW w:w="2551" w:type="dxa"/>
            <w:shd w:val="clear" w:color="auto" w:fill="2E74B5" w:themeFill="accent1" w:themeFillShade="BF"/>
          </w:tcPr>
          <w:p w:rsidR="00AB5B6F" w:rsidRPr="00772B39" w:rsidRDefault="00AB5B6F" w:rsidP="001D6930">
            <w:pPr>
              <w:tabs>
                <w:tab w:val="clear" w:pos="851"/>
              </w:tabs>
              <w:spacing w:before="20" w:after="20"/>
              <w:ind w:left="0"/>
              <w:jc w:val="left"/>
              <w:rPr>
                <w:rFonts w:cs="Arial"/>
                <w:b/>
                <w:color w:val="FFFFFF" w:themeColor="background1"/>
                <w:sz w:val="16"/>
                <w:szCs w:val="16"/>
              </w:rPr>
            </w:pPr>
            <w:r w:rsidRPr="00772B39">
              <w:rPr>
                <w:rFonts w:cs="Arial"/>
                <w:b/>
                <w:color w:val="FFFFFF" w:themeColor="background1"/>
                <w:sz w:val="16"/>
                <w:szCs w:val="16"/>
              </w:rPr>
              <w:t>Impact on the business plan</w:t>
            </w:r>
          </w:p>
        </w:tc>
      </w:tr>
      <w:tr w:rsidR="00AB5B6F" w:rsidRPr="00772B39" w:rsidTr="00482CC5">
        <w:tc>
          <w:tcPr>
            <w:tcW w:w="2556" w:type="dxa"/>
            <w:tcBorders>
              <w:top w:val="single" w:sz="4" w:space="0" w:color="auto"/>
              <w:left w:val="single" w:sz="4" w:space="0" w:color="auto"/>
              <w:bottom w:val="single" w:sz="4" w:space="0" w:color="auto"/>
              <w:right w:val="single" w:sz="4" w:space="0" w:color="auto"/>
            </w:tcBorders>
          </w:tcPr>
          <w:p w:rsidR="00AB5B6F" w:rsidRPr="00A92B85" w:rsidRDefault="00AB5B6F" w:rsidP="0024233B">
            <w:pPr>
              <w:tabs>
                <w:tab w:val="left" w:pos="720"/>
              </w:tabs>
              <w:spacing w:before="20" w:after="20"/>
              <w:ind w:left="0"/>
              <w:jc w:val="left"/>
              <w:rPr>
                <w:rFonts w:cs="Arial"/>
                <w:sz w:val="16"/>
                <w:szCs w:val="16"/>
              </w:rPr>
            </w:pPr>
            <w:r w:rsidRPr="00A92B85">
              <w:rPr>
                <w:rFonts w:cs="Arial"/>
                <w:sz w:val="16"/>
                <w:szCs w:val="16"/>
              </w:rPr>
              <w:t xml:space="preserve">Customer Advisory Panels </w:t>
            </w:r>
            <w:r w:rsidR="0024233B">
              <w:rPr>
                <w:rFonts w:cs="Arial"/>
                <w:sz w:val="16"/>
                <w:szCs w:val="16"/>
              </w:rPr>
              <w:t>(Appendix 2.4, 2.16)</w:t>
            </w:r>
          </w:p>
        </w:tc>
        <w:tc>
          <w:tcPr>
            <w:tcW w:w="3828"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Reducing leakage </w:t>
            </w:r>
            <w:r w:rsidR="00772301">
              <w:rPr>
                <w:rFonts w:cs="Arial"/>
                <w:sz w:val="16"/>
                <w:szCs w:val="16"/>
              </w:rPr>
              <w:t xml:space="preserve">has a higher </w:t>
            </w:r>
            <w:r w:rsidRPr="00A92B85">
              <w:rPr>
                <w:rFonts w:cs="Arial"/>
                <w:sz w:val="16"/>
                <w:szCs w:val="16"/>
              </w:rPr>
              <w:t xml:space="preserve">priority </w:t>
            </w:r>
            <w:r w:rsidR="00BF548D">
              <w:rPr>
                <w:rFonts w:cs="Arial"/>
                <w:sz w:val="16"/>
                <w:szCs w:val="16"/>
              </w:rPr>
              <w:t xml:space="preserve">for water resources over </w:t>
            </w:r>
            <w:r w:rsidRPr="00A92B85">
              <w:rPr>
                <w:rFonts w:cs="Arial"/>
                <w:sz w:val="16"/>
                <w:szCs w:val="16"/>
              </w:rPr>
              <w:t>a reservoir or metering.</w:t>
            </w:r>
          </w:p>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The need to prepare for water supply issues by addressing weaknesses in infrastructure. </w:t>
            </w:r>
          </w:p>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Environmental factors putting pressure on water companies to not waste water.</w:t>
            </w:r>
          </w:p>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Prepared to pay more to stretch target past 15%.</w:t>
            </w:r>
          </w:p>
        </w:tc>
        <w:tc>
          <w:tcPr>
            <w:tcW w:w="2551"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Ambitious reduction in leakage supported.</w:t>
            </w:r>
          </w:p>
        </w:tc>
      </w:tr>
      <w:tr w:rsidR="00AB5B6F" w:rsidRPr="00772B39" w:rsidTr="00482CC5">
        <w:tc>
          <w:tcPr>
            <w:tcW w:w="2556"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ICS Consulting Research- Survey work on Outcome priorities, Performance Commitment targets &amp; rewards &amp; penalties </w:t>
            </w:r>
            <w:r w:rsidR="0024233B">
              <w:rPr>
                <w:rFonts w:cs="Arial"/>
                <w:sz w:val="16"/>
                <w:szCs w:val="16"/>
              </w:rPr>
              <w:t>(Appendix 2.17)</w:t>
            </w:r>
          </w:p>
        </w:tc>
        <w:tc>
          <w:tcPr>
            <w:tcW w:w="3828"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Penalty structure supported for commitments relating to leakage. </w:t>
            </w:r>
          </w:p>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Upper quartile performance thought to be ambitious. </w:t>
            </w:r>
          </w:p>
        </w:tc>
        <w:tc>
          <w:tcPr>
            <w:tcW w:w="2551"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Reward and penalty rate creation.</w:t>
            </w:r>
          </w:p>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Quantitative support for stretching target.</w:t>
            </w:r>
          </w:p>
        </w:tc>
      </w:tr>
      <w:tr w:rsidR="00AB5B6F" w:rsidRPr="00772B39" w:rsidTr="00482CC5">
        <w:tc>
          <w:tcPr>
            <w:tcW w:w="2556"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Future issues – students survey </w:t>
            </w:r>
            <w:r w:rsidR="0024233B">
              <w:rPr>
                <w:rFonts w:cs="Arial"/>
                <w:sz w:val="16"/>
                <w:szCs w:val="16"/>
              </w:rPr>
              <w:t>(Appendix 2.11)</w:t>
            </w:r>
          </w:p>
        </w:tc>
        <w:tc>
          <w:tcPr>
            <w:tcW w:w="3828"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Very high priority on reducing leaks.</w:t>
            </w:r>
          </w:p>
        </w:tc>
        <w:tc>
          <w:tcPr>
            <w:tcW w:w="2551"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p>
        </w:tc>
      </w:tr>
      <w:tr w:rsidR="00AB5B6F" w:rsidRPr="00772B39" w:rsidTr="00482CC5">
        <w:tc>
          <w:tcPr>
            <w:tcW w:w="2556"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Complaints &amp; unwanted  contacts triangulation </w:t>
            </w:r>
            <w:r w:rsidR="0024233B">
              <w:rPr>
                <w:rFonts w:cs="Arial"/>
                <w:sz w:val="16"/>
                <w:szCs w:val="16"/>
              </w:rPr>
              <w:t>(Appendix 2.1 Customer Engagement and Triangulation)</w:t>
            </w:r>
          </w:p>
        </w:tc>
        <w:tc>
          <w:tcPr>
            <w:tcW w:w="3828"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High consumption 3</w:t>
            </w:r>
            <w:r w:rsidRPr="00A92B85">
              <w:rPr>
                <w:rFonts w:cs="Arial"/>
                <w:sz w:val="16"/>
                <w:szCs w:val="16"/>
                <w:vertAlign w:val="superscript"/>
              </w:rPr>
              <w:t>rd</w:t>
            </w:r>
            <w:r w:rsidRPr="00A92B85">
              <w:rPr>
                <w:rFonts w:cs="Arial"/>
                <w:sz w:val="16"/>
                <w:szCs w:val="16"/>
              </w:rPr>
              <w:t xml:space="preserve"> most common complaint and general lack of communication on leak repair in top 20 complaints. </w:t>
            </w:r>
          </w:p>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Check meter job at number 1 in unwanted billing contacts and waste of water in top 10 for operational unwanted contacts. </w:t>
            </w:r>
          </w:p>
        </w:tc>
        <w:tc>
          <w:tcPr>
            <w:tcW w:w="2551"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Leakage is an emotive subject.  It is clear that customers’ uninformed expectations are that leaks, especially visible ones, should be quickly fixed.  It is clear that our performance cannot be based on economics alone.</w:t>
            </w:r>
          </w:p>
        </w:tc>
      </w:tr>
      <w:tr w:rsidR="00AB5B6F" w:rsidRPr="00772B39" w:rsidTr="00482CC5">
        <w:tc>
          <w:tcPr>
            <w:tcW w:w="2556"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Employee engagement</w:t>
            </w:r>
            <w:r w:rsidR="0024233B">
              <w:rPr>
                <w:rFonts w:cs="Arial"/>
                <w:sz w:val="16"/>
                <w:szCs w:val="16"/>
              </w:rPr>
              <w:t xml:space="preserve"> (Appendix 2.9)</w:t>
            </w:r>
          </w:p>
        </w:tc>
        <w:tc>
          <w:tcPr>
            <w:tcW w:w="3828" w:type="dxa"/>
            <w:tcBorders>
              <w:top w:val="single" w:sz="4" w:space="0" w:color="auto"/>
              <w:left w:val="single" w:sz="4" w:space="0" w:color="auto"/>
              <w:bottom w:val="single" w:sz="4" w:space="0" w:color="auto"/>
              <w:right w:val="single" w:sz="4" w:space="0" w:color="auto"/>
            </w:tcBorders>
          </w:tcPr>
          <w:p w:rsidR="00AB5B6F" w:rsidRPr="00A92B85" w:rsidRDefault="00AB5B6F" w:rsidP="005471C9">
            <w:pPr>
              <w:tabs>
                <w:tab w:val="left" w:pos="720"/>
              </w:tabs>
              <w:spacing w:before="20" w:after="20"/>
              <w:ind w:left="0"/>
              <w:jc w:val="left"/>
              <w:rPr>
                <w:rFonts w:cs="Arial"/>
                <w:sz w:val="16"/>
                <w:szCs w:val="16"/>
              </w:rPr>
            </w:pPr>
            <w:r w:rsidRPr="00A92B85">
              <w:rPr>
                <w:rFonts w:cs="Arial"/>
                <w:sz w:val="16"/>
                <w:szCs w:val="16"/>
              </w:rPr>
              <w:t xml:space="preserve">Visible signage needed to show </w:t>
            </w:r>
            <w:r w:rsidR="005471C9">
              <w:rPr>
                <w:rFonts w:cs="Arial"/>
                <w:sz w:val="16"/>
                <w:szCs w:val="16"/>
              </w:rPr>
              <w:t>we are aware of a leak.</w:t>
            </w:r>
          </w:p>
        </w:tc>
        <w:tc>
          <w:tcPr>
            <w:tcW w:w="2551" w:type="dxa"/>
            <w:tcBorders>
              <w:top w:val="single" w:sz="4" w:space="0" w:color="auto"/>
              <w:left w:val="single" w:sz="4" w:space="0" w:color="auto"/>
              <w:bottom w:val="single" w:sz="4" w:space="0" w:color="auto"/>
              <w:right w:val="single" w:sz="4" w:space="0" w:color="auto"/>
            </w:tcBorders>
          </w:tcPr>
          <w:p w:rsidR="00AB5B6F" w:rsidRPr="00A92B85" w:rsidRDefault="00AB5B6F" w:rsidP="005471C9">
            <w:pPr>
              <w:tabs>
                <w:tab w:val="left" w:pos="720"/>
              </w:tabs>
              <w:spacing w:before="20" w:after="20"/>
              <w:ind w:left="0"/>
              <w:jc w:val="left"/>
              <w:rPr>
                <w:rFonts w:cs="Arial"/>
                <w:sz w:val="16"/>
                <w:szCs w:val="16"/>
              </w:rPr>
            </w:pPr>
            <w:r w:rsidRPr="00A92B85">
              <w:rPr>
                <w:rFonts w:cs="Arial"/>
                <w:sz w:val="16"/>
                <w:szCs w:val="16"/>
              </w:rPr>
              <w:t xml:space="preserve">Whilst not for the </w:t>
            </w:r>
            <w:r w:rsidR="005471C9">
              <w:rPr>
                <w:rFonts w:cs="Arial"/>
                <w:sz w:val="16"/>
                <w:szCs w:val="16"/>
              </w:rPr>
              <w:t>B</w:t>
            </w:r>
            <w:r w:rsidRPr="00A92B85">
              <w:rPr>
                <w:rFonts w:cs="Arial"/>
                <w:sz w:val="16"/>
                <w:szCs w:val="16"/>
              </w:rPr>
              <w:t xml:space="preserve">usiness </w:t>
            </w:r>
            <w:r w:rsidR="005471C9">
              <w:rPr>
                <w:rFonts w:cs="Arial"/>
                <w:sz w:val="16"/>
                <w:szCs w:val="16"/>
              </w:rPr>
              <w:t>P</w:t>
            </w:r>
            <w:r w:rsidRPr="00A92B85">
              <w:rPr>
                <w:rFonts w:cs="Arial"/>
                <w:sz w:val="16"/>
                <w:szCs w:val="16"/>
              </w:rPr>
              <w:t>lan – leakage awareness signage has been introduced.</w:t>
            </w:r>
          </w:p>
        </w:tc>
      </w:tr>
      <w:tr w:rsidR="00AB5B6F" w:rsidRPr="00772B39" w:rsidTr="00482CC5">
        <w:tc>
          <w:tcPr>
            <w:tcW w:w="2556" w:type="dxa"/>
            <w:tcBorders>
              <w:top w:val="single" w:sz="4" w:space="0" w:color="auto"/>
              <w:left w:val="single" w:sz="4" w:space="0" w:color="auto"/>
              <w:bottom w:val="single" w:sz="4" w:space="0" w:color="auto"/>
              <w:right w:val="single" w:sz="4" w:space="0" w:color="auto"/>
            </w:tcBorders>
          </w:tcPr>
          <w:p w:rsidR="00AB5B6F" w:rsidRPr="00A92B85" w:rsidRDefault="00AB5B6F" w:rsidP="0029130D">
            <w:pPr>
              <w:tabs>
                <w:tab w:val="left" w:pos="720"/>
              </w:tabs>
              <w:spacing w:before="20" w:after="20"/>
              <w:ind w:left="0"/>
              <w:jc w:val="left"/>
              <w:rPr>
                <w:rFonts w:cs="Arial"/>
                <w:sz w:val="16"/>
                <w:szCs w:val="16"/>
              </w:rPr>
            </w:pPr>
            <w:r w:rsidRPr="00A92B85">
              <w:rPr>
                <w:rFonts w:cs="Arial"/>
                <w:sz w:val="16"/>
                <w:szCs w:val="16"/>
              </w:rPr>
              <w:t>Future issues- school engagement</w:t>
            </w:r>
            <w:r w:rsidR="0029130D">
              <w:rPr>
                <w:rFonts w:cs="Arial"/>
                <w:sz w:val="16"/>
                <w:szCs w:val="16"/>
              </w:rPr>
              <w:t xml:space="preserve"> (Appendix 2.12, 2.13)</w:t>
            </w:r>
          </w:p>
        </w:tc>
        <w:tc>
          <w:tcPr>
            <w:tcW w:w="3828" w:type="dxa"/>
            <w:tcBorders>
              <w:top w:val="single" w:sz="4" w:space="0" w:color="auto"/>
              <w:left w:val="single" w:sz="4" w:space="0" w:color="auto"/>
              <w:bottom w:val="single" w:sz="4" w:space="0" w:color="auto"/>
              <w:right w:val="single" w:sz="4" w:space="0" w:color="auto"/>
            </w:tcBorders>
          </w:tcPr>
          <w:p w:rsidR="00AB5B6F" w:rsidRPr="00A92B85" w:rsidRDefault="00AB5B6F" w:rsidP="00E93C7F">
            <w:pPr>
              <w:tabs>
                <w:tab w:val="left" w:pos="720"/>
              </w:tabs>
              <w:spacing w:before="20" w:after="20"/>
              <w:ind w:left="0"/>
              <w:jc w:val="left"/>
              <w:rPr>
                <w:rFonts w:cs="Arial"/>
                <w:sz w:val="16"/>
                <w:szCs w:val="16"/>
              </w:rPr>
            </w:pPr>
            <w:r w:rsidRPr="00A92B85">
              <w:rPr>
                <w:rFonts w:cs="Arial"/>
                <w:sz w:val="16"/>
                <w:szCs w:val="16"/>
              </w:rPr>
              <w:t xml:space="preserve">Leakage </w:t>
            </w:r>
            <w:r w:rsidR="00E93C7F">
              <w:rPr>
                <w:rFonts w:cs="Arial"/>
                <w:sz w:val="16"/>
                <w:szCs w:val="16"/>
              </w:rPr>
              <w:t>was seen as an important issue by future customers</w:t>
            </w:r>
          </w:p>
        </w:tc>
        <w:tc>
          <w:tcPr>
            <w:tcW w:w="2551" w:type="dxa"/>
            <w:tcBorders>
              <w:top w:val="single" w:sz="4" w:space="0" w:color="auto"/>
              <w:left w:val="single" w:sz="4" w:space="0" w:color="auto"/>
              <w:bottom w:val="single" w:sz="4" w:space="0" w:color="auto"/>
              <w:right w:val="single" w:sz="4" w:space="0" w:color="auto"/>
            </w:tcBorders>
          </w:tcPr>
          <w:p w:rsidR="00AB5B6F" w:rsidRPr="00A92B85" w:rsidRDefault="00E93C7F" w:rsidP="001D6930">
            <w:pPr>
              <w:tabs>
                <w:tab w:val="left" w:pos="720"/>
              </w:tabs>
              <w:spacing w:before="20" w:after="20"/>
              <w:ind w:left="0"/>
              <w:jc w:val="left"/>
              <w:rPr>
                <w:rFonts w:cs="Arial"/>
                <w:sz w:val="16"/>
                <w:szCs w:val="16"/>
              </w:rPr>
            </w:pPr>
            <w:r>
              <w:rPr>
                <w:rFonts w:cs="Arial"/>
                <w:sz w:val="16"/>
                <w:szCs w:val="16"/>
              </w:rPr>
              <w:t>Supports ambition to reduce leakage beyond this coming AMP.</w:t>
            </w:r>
          </w:p>
        </w:tc>
      </w:tr>
      <w:tr w:rsidR="00AB5B6F" w:rsidRPr="00772B39" w:rsidTr="00482CC5">
        <w:tc>
          <w:tcPr>
            <w:tcW w:w="2556"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Non-household engagement </w:t>
            </w:r>
            <w:r w:rsidR="0029130D">
              <w:rPr>
                <w:rFonts w:cs="Arial"/>
                <w:sz w:val="16"/>
                <w:szCs w:val="16"/>
              </w:rPr>
              <w:t>(Appendix 2.21)</w:t>
            </w:r>
          </w:p>
        </w:tc>
        <w:tc>
          <w:tcPr>
            <w:tcW w:w="3828"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Low leakage is second most important outcome. </w:t>
            </w:r>
          </w:p>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Found current level of leakage surprising but accepted reducing it by 15%.</w:t>
            </w:r>
          </w:p>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 xml:space="preserve">Highlighted that targets need to be achievable as well as challenging. </w:t>
            </w:r>
          </w:p>
        </w:tc>
        <w:tc>
          <w:tcPr>
            <w:tcW w:w="2551" w:type="dxa"/>
            <w:tcBorders>
              <w:top w:val="single" w:sz="4" w:space="0" w:color="auto"/>
              <w:left w:val="single" w:sz="4" w:space="0" w:color="auto"/>
              <w:bottom w:val="single" w:sz="4" w:space="0" w:color="auto"/>
              <w:right w:val="single" w:sz="4" w:space="0" w:color="auto"/>
            </w:tcBorders>
          </w:tcPr>
          <w:p w:rsidR="00AB5B6F" w:rsidRPr="00A92B85" w:rsidRDefault="00AB5B6F" w:rsidP="001D6930">
            <w:pPr>
              <w:tabs>
                <w:tab w:val="left" w:pos="720"/>
              </w:tabs>
              <w:spacing w:before="20" w:after="20"/>
              <w:ind w:left="0"/>
              <w:jc w:val="left"/>
              <w:rPr>
                <w:rFonts w:cs="Arial"/>
                <w:sz w:val="16"/>
                <w:szCs w:val="16"/>
              </w:rPr>
            </w:pPr>
            <w:r w:rsidRPr="00A92B85">
              <w:rPr>
                <w:rFonts w:cs="Arial"/>
                <w:sz w:val="16"/>
                <w:szCs w:val="16"/>
              </w:rPr>
              <w:t>Supports proposed performance commitment.</w:t>
            </w:r>
          </w:p>
        </w:tc>
      </w:tr>
      <w:tr w:rsidR="00AB5B6F" w:rsidRPr="00772B39" w:rsidTr="00482CC5">
        <w:tc>
          <w:tcPr>
            <w:tcW w:w="2556" w:type="dxa"/>
            <w:tcBorders>
              <w:top w:val="single" w:sz="4" w:space="0" w:color="auto"/>
              <w:left w:val="single" w:sz="4" w:space="0" w:color="auto"/>
              <w:bottom w:val="single" w:sz="4" w:space="0" w:color="auto"/>
              <w:right w:val="single" w:sz="4" w:space="0" w:color="auto"/>
            </w:tcBorders>
          </w:tcPr>
          <w:p w:rsidR="00AB5B6F" w:rsidRPr="00A92B85" w:rsidRDefault="00AB5B6F" w:rsidP="00482CC5">
            <w:pPr>
              <w:tabs>
                <w:tab w:val="left" w:pos="720"/>
              </w:tabs>
              <w:spacing w:before="20" w:after="20"/>
              <w:ind w:left="0"/>
              <w:jc w:val="left"/>
              <w:rPr>
                <w:rFonts w:cs="Arial"/>
                <w:sz w:val="16"/>
                <w:szCs w:val="16"/>
              </w:rPr>
            </w:pPr>
            <w:r>
              <w:rPr>
                <w:rFonts w:cs="Arial"/>
                <w:sz w:val="16"/>
                <w:szCs w:val="16"/>
              </w:rPr>
              <w:t>Water Resources Management Plan</w:t>
            </w:r>
            <w:r w:rsidR="00E312F3">
              <w:rPr>
                <w:rFonts w:cs="Arial"/>
                <w:sz w:val="16"/>
                <w:szCs w:val="16"/>
              </w:rPr>
              <w:t xml:space="preserve"> Survey</w:t>
            </w:r>
            <w:r w:rsidR="0029130D">
              <w:rPr>
                <w:rFonts w:cs="Arial"/>
                <w:sz w:val="16"/>
                <w:szCs w:val="16"/>
              </w:rPr>
              <w:t xml:space="preserve"> (Appendix 2.20)</w:t>
            </w:r>
          </w:p>
        </w:tc>
        <w:tc>
          <w:tcPr>
            <w:tcW w:w="3828" w:type="dxa"/>
            <w:tcBorders>
              <w:top w:val="single" w:sz="4" w:space="0" w:color="auto"/>
              <w:left w:val="single" w:sz="4" w:space="0" w:color="auto"/>
              <w:bottom w:val="single" w:sz="4" w:space="0" w:color="auto"/>
              <w:right w:val="single" w:sz="4" w:space="0" w:color="auto"/>
            </w:tcBorders>
          </w:tcPr>
          <w:p w:rsidR="00AB5B6F" w:rsidRPr="00A92B85" w:rsidRDefault="00E312F3" w:rsidP="001D6930">
            <w:pPr>
              <w:tabs>
                <w:tab w:val="left" w:pos="720"/>
              </w:tabs>
              <w:spacing w:before="20" w:after="20"/>
              <w:ind w:left="0"/>
              <w:jc w:val="left"/>
              <w:rPr>
                <w:rFonts w:cs="Arial"/>
                <w:sz w:val="16"/>
                <w:szCs w:val="16"/>
              </w:rPr>
            </w:pPr>
            <w:r>
              <w:rPr>
                <w:rFonts w:cs="Arial"/>
                <w:sz w:val="16"/>
                <w:szCs w:val="16"/>
              </w:rPr>
              <w:t>95% of respondents supported plan to reduce leakage by 15%.</w:t>
            </w:r>
          </w:p>
        </w:tc>
        <w:tc>
          <w:tcPr>
            <w:tcW w:w="2551" w:type="dxa"/>
            <w:tcBorders>
              <w:top w:val="single" w:sz="4" w:space="0" w:color="auto"/>
              <w:left w:val="single" w:sz="4" w:space="0" w:color="auto"/>
              <w:bottom w:val="single" w:sz="4" w:space="0" w:color="auto"/>
              <w:right w:val="single" w:sz="4" w:space="0" w:color="auto"/>
            </w:tcBorders>
          </w:tcPr>
          <w:p w:rsidR="00AB5B6F" w:rsidRPr="00A92B85" w:rsidRDefault="00E312F3" w:rsidP="001D6930">
            <w:pPr>
              <w:tabs>
                <w:tab w:val="left" w:pos="720"/>
              </w:tabs>
              <w:spacing w:before="20" w:after="20"/>
              <w:ind w:left="0"/>
              <w:jc w:val="left"/>
              <w:rPr>
                <w:rFonts w:cs="Arial"/>
                <w:sz w:val="16"/>
                <w:szCs w:val="16"/>
              </w:rPr>
            </w:pPr>
            <w:r>
              <w:rPr>
                <w:rFonts w:cs="Arial"/>
                <w:sz w:val="16"/>
                <w:szCs w:val="16"/>
              </w:rPr>
              <w:t>Supports proposed level of service charge.</w:t>
            </w:r>
          </w:p>
        </w:tc>
      </w:tr>
    </w:tbl>
    <w:p w:rsidR="00977912" w:rsidRDefault="00977912" w:rsidP="00977912">
      <w:pPr>
        <w:spacing w:after="0"/>
      </w:pPr>
    </w:p>
    <w:p w:rsidR="00AB5B6F" w:rsidRPr="00A92B85" w:rsidRDefault="00AB5B6F" w:rsidP="00AB5B6F">
      <w:r w:rsidRPr="00A92B85">
        <w:t xml:space="preserve">Leakage is a very high profile issue with customers, and there is a very wide range of views from customers and stakeholders. It is also linked to the long term planning for water resources through the statutory Water Resources Management Plan process.  </w:t>
      </w:r>
    </w:p>
    <w:p w:rsidR="00AB5B6F" w:rsidRPr="00A92B85" w:rsidRDefault="00AB5B6F" w:rsidP="00AB5B6F">
      <w:r w:rsidRPr="00A92B85">
        <w:t>Both customers and other stakeholders are challenging the Company to improve its leakage performance to the benefit of the environment and (potentially) greater transfers to other water companies who may not be in as a fortunate</w:t>
      </w:r>
      <w:r w:rsidR="00772301">
        <w:t xml:space="preserve"> resource</w:t>
      </w:r>
      <w:r w:rsidRPr="00A92B85">
        <w:t xml:space="preserve"> position. </w:t>
      </w:r>
    </w:p>
    <w:p w:rsidR="00AB5B6F" w:rsidRDefault="001C7246" w:rsidP="00AB5B6F">
      <w:r>
        <w:t>Although we have reduced leakage by 20% since 2011 i</w:t>
      </w:r>
      <w:r w:rsidR="00AB5B6F" w:rsidRPr="00A92B85">
        <w:t>n the</w:t>
      </w:r>
      <w:r w:rsidR="00977912">
        <w:t xml:space="preserve"> last</w:t>
      </w:r>
      <w:r w:rsidR="00AB5B6F" w:rsidRPr="00A92B85">
        <w:t xml:space="preserve"> two years we have seen leakage</w:t>
      </w:r>
      <w:r>
        <w:t xml:space="preserve"> rise, with adverse weather a factor.  To address this we have employed </w:t>
      </w:r>
      <w:r w:rsidR="00AB5B6F" w:rsidRPr="00A92B85">
        <w:t>significantly greater resource and attention.</w:t>
      </w:r>
    </w:p>
    <w:p w:rsidR="00AB5B6F" w:rsidRDefault="00AB5B6F" w:rsidP="00AB5B6F">
      <w:r>
        <w:t xml:space="preserve">The table below shows annual </w:t>
      </w:r>
      <w:r w:rsidR="007B6DFB">
        <w:t xml:space="preserve">leakage levels and </w:t>
      </w:r>
      <w:r w:rsidR="00964B14">
        <w:t>Opex</w:t>
      </w:r>
      <w:r>
        <w:t xml:space="preserve"> expenditure for l</w:t>
      </w:r>
      <w:r w:rsidR="00A06465">
        <w:t>eakage activities since 2010/11, demonstrating substantial and renewed further investment in leakage management in 2017/18 to 2019/20.</w:t>
      </w:r>
    </w:p>
    <w:tbl>
      <w:tblPr>
        <w:tblW w:w="4904" w:type="pct"/>
        <w:tblInd w:w="848" w:type="dxa"/>
        <w:tblLayout w:type="fixed"/>
        <w:tblLook w:val="04A0" w:firstRow="1" w:lastRow="0" w:firstColumn="1" w:lastColumn="0" w:noHBand="0" w:noVBand="1"/>
      </w:tblPr>
      <w:tblGrid>
        <w:gridCol w:w="1272"/>
        <w:gridCol w:w="709"/>
        <w:gridCol w:w="710"/>
        <w:gridCol w:w="710"/>
        <w:gridCol w:w="710"/>
        <w:gridCol w:w="709"/>
        <w:gridCol w:w="710"/>
        <w:gridCol w:w="714"/>
        <w:gridCol w:w="618"/>
        <w:gridCol w:w="618"/>
        <w:gridCol w:w="678"/>
        <w:gridCol w:w="618"/>
        <w:gridCol w:w="671"/>
      </w:tblGrid>
      <w:tr w:rsidR="00FD1CE4" w:rsidRPr="0038789B" w:rsidTr="00FD1CE4">
        <w:trPr>
          <w:trHeight w:val="495"/>
        </w:trPr>
        <w:tc>
          <w:tcPr>
            <w:tcW w:w="673"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tcPr>
          <w:p w:rsidR="0038789B" w:rsidRPr="0038789B" w:rsidRDefault="0038789B" w:rsidP="0038789B">
            <w:pPr>
              <w:tabs>
                <w:tab w:val="clear" w:pos="851"/>
              </w:tabs>
              <w:spacing w:after="0"/>
              <w:ind w:left="0"/>
              <w:jc w:val="left"/>
              <w:rPr>
                <w:rFonts w:cs="Arial"/>
                <w:b/>
                <w:color w:val="FFFFFF" w:themeColor="background1"/>
                <w:sz w:val="16"/>
                <w:szCs w:val="16"/>
                <w:lang w:eastAsia="en-US"/>
              </w:rPr>
            </w:pPr>
          </w:p>
        </w:tc>
        <w:tc>
          <w:tcPr>
            <w:tcW w:w="1878" w:type="pct"/>
            <w:gridSpan w:val="5"/>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center"/>
          </w:tcPr>
          <w:p w:rsidR="0038789B" w:rsidRPr="0038789B" w:rsidRDefault="0038789B" w:rsidP="0038789B">
            <w:pPr>
              <w:tabs>
                <w:tab w:val="clear" w:pos="851"/>
              </w:tabs>
              <w:spacing w:after="0"/>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AMP5</w:t>
            </w:r>
          </w:p>
          <w:p w:rsidR="0038789B" w:rsidRPr="0038789B" w:rsidRDefault="0038789B" w:rsidP="0038789B">
            <w:pPr>
              <w:tabs>
                <w:tab w:val="clear" w:pos="851"/>
              </w:tabs>
              <w:spacing w:after="0"/>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£K000</w:t>
            </w:r>
          </w:p>
        </w:tc>
        <w:tc>
          <w:tcPr>
            <w:tcW w:w="376" w:type="pct"/>
            <w:vMerge w:val="restart"/>
            <w:tcBorders>
              <w:top w:val="single" w:sz="2" w:space="0" w:color="auto"/>
              <w:left w:val="single" w:sz="2" w:space="0" w:color="auto"/>
              <w:right w:val="single" w:sz="2" w:space="0" w:color="auto"/>
            </w:tcBorders>
            <w:shd w:val="clear" w:color="auto" w:fill="2E74B5" w:themeFill="accent1" w:themeFillShade="BF"/>
            <w:vAlign w:val="center"/>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AMP5</w:t>
            </w:r>
          </w:p>
          <w:p w:rsidR="0038789B" w:rsidRPr="0038789B" w:rsidRDefault="0038789B" w:rsidP="0038789B">
            <w:pPr>
              <w:tabs>
                <w:tab w:val="clear" w:pos="851"/>
              </w:tabs>
              <w:spacing w:after="0"/>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Total</w:t>
            </w:r>
          </w:p>
        </w:tc>
        <w:tc>
          <w:tcPr>
            <w:tcW w:w="1717" w:type="pct"/>
            <w:gridSpan w:val="5"/>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center"/>
          </w:tcPr>
          <w:p w:rsidR="0038789B" w:rsidRPr="0038789B" w:rsidRDefault="0038789B" w:rsidP="0038789B">
            <w:pPr>
              <w:tabs>
                <w:tab w:val="clear" w:pos="851"/>
              </w:tabs>
              <w:spacing w:after="0"/>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AMP6</w:t>
            </w:r>
          </w:p>
          <w:p w:rsidR="0038789B" w:rsidRPr="0038789B" w:rsidRDefault="0038789B" w:rsidP="0038789B">
            <w:pPr>
              <w:tabs>
                <w:tab w:val="clear" w:pos="851"/>
              </w:tabs>
              <w:spacing w:after="0"/>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£K000</w:t>
            </w:r>
          </w:p>
        </w:tc>
        <w:tc>
          <w:tcPr>
            <w:tcW w:w="357" w:type="pct"/>
            <w:vMerge w:val="restart"/>
            <w:tcBorders>
              <w:top w:val="single" w:sz="2" w:space="0" w:color="auto"/>
              <w:left w:val="single" w:sz="2" w:space="0" w:color="auto"/>
              <w:right w:val="single" w:sz="2" w:space="0" w:color="auto"/>
            </w:tcBorders>
            <w:shd w:val="clear" w:color="auto" w:fill="2E74B5" w:themeFill="accent1" w:themeFillShade="BF"/>
            <w:vAlign w:val="center"/>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AMP6</w:t>
            </w:r>
          </w:p>
          <w:p w:rsidR="0038789B" w:rsidRPr="0038789B" w:rsidRDefault="0038789B" w:rsidP="0038789B">
            <w:pPr>
              <w:tabs>
                <w:tab w:val="clear" w:pos="851"/>
              </w:tabs>
              <w:spacing w:after="0"/>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Total</w:t>
            </w:r>
          </w:p>
        </w:tc>
      </w:tr>
      <w:tr w:rsidR="00FD1CE4" w:rsidRPr="0038789B" w:rsidTr="00FD1CE4">
        <w:trPr>
          <w:trHeight w:val="495"/>
        </w:trPr>
        <w:tc>
          <w:tcPr>
            <w:tcW w:w="673"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left"/>
              <w:rPr>
                <w:rFonts w:cs="Arial"/>
                <w:b/>
                <w:color w:val="000000"/>
                <w:sz w:val="16"/>
                <w:szCs w:val="16"/>
                <w:lang w:eastAsia="en-US"/>
              </w:rPr>
            </w:pPr>
            <w:r w:rsidRPr="0038789B">
              <w:rPr>
                <w:rFonts w:cs="Arial"/>
                <w:b/>
                <w:color w:val="000000"/>
                <w:sz w:val="16"/>
                <w:szCs w:val="16"/>
                <w:lang w:eastAsia="en-US"/>
              </w:rPr>
              <w:t> </w:t>
            </w:r>
          </w:p>
        </w:tc>
        <w:tc>
          <w:tcPr>
            <w:tcW w:w="375"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10/11</w:t>
            </w:r>
          </w:p>
        </w:tc>
        <w:tc>
          <w:tcPr>
            <w:tcW w:w="376"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11/12</w:t>
            </w:r>
          </w:p>
        </w:tc>
        <w:tc>
          <w:tcPr>
            <w:tcW w:w="376"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12/13</w:t>
            </w:r>
          </w:p>
        </w:tc>
        <w:tc>
          <w:tcPr>
            <w:tcW w:w="376"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13/14</w:t>
            </w:r>
          </w:p>
        </w:tc>
        <w:tc>
          <w:tcPr>
            <w:tcW w:w="375"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14/15</w:t>
            </w:r>
          </w:p>
        </w:tc>
        <w:tc>
          <w:tcPr>
            <w:tcW w:w="376" w:type="pct"/>
            <w:vMerge/>
            <w:tcBorders>
              <w:left w:val="single" w:sz="2" w:space="0" w:color="auto"/>
              <w:bottom w:val="single" w:sz="2" w:space="0" w:color="auto"/>
              <w:right w:val="single" w:sz="2" w:space="0" w:color="auto"/>
            </w:tcBorders>
            <w:shd w:val="clear" w:color="auto" w:fill="D9D9D9" w:themeFill="background1" w:themeFillShade="D9"/>
            <w:vAlign w:val="bottom"/>
          </w:tcPr>
          <w:p w:rsidR="0038789B" w:rsidRPr="0038789B" w:rsidRDefault="0038789B" w:rsidP="0038789B">
            <w:pPr>
              <w:tabs>
                <w:tab w:val="clear" w:pos="851"/>
              </w:tabs>
              <w:spacing w:after="160" w:line="259" w:lineRule="auto"/>
              <w:ind w:left="0"/>
              <w:jc w:val="center"/>
              <w:rPr>
                <w:rFonts w:cs="Arial"/>
                <w:b/>
                <w:color w:val="000000"/>
                <w:sz w:val="16"/>
                <w:szCs w:val="16"/>
                <w:lang w:eastAsia="en-US"/>
              </w:rPr>
            </w:pPr>
          </w:p>
        </w:tc>
        <w:tc>
          <w:tcPr>
            <w:tcW w:w="378"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15/16</w:t>
            </w:r>
          </w:p>
        </w:tc>
        <w:tc>
          <w:tcPr>
            <w:tcW w:w="327"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16/17</w:t>
            </w:r>
          </w:p>
        </w:tc>
        <w:tc>
          <w:tcPr>
            <w:tcW w:w="327"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17/18</w:t>
            </w:r>
          </w:p>
        </w:tc>
        <w:tc>
          <w:tcPr>
            <w:tcW w:w="359"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18/19*</w:t>
            </w:r>
          </w:p>
        </w:tc>
        <w:tc>
          <w:tcPr>
            <w:tcW w:w="327"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38789B" w:rsidRDefault="0038789B" w:rsidP="0038789B">
            <w:pPr>
              <w:tabs>
                <w:tab w:val="clear" w:pos="851"/>
              </w:tabs>
              <w:spacing w:after="160" w:line="259" w:lineRule="auto"/>
              <w:ind w:left="0"/>
              <w:jc w:val="center"/>
              <w:rPr>
                <w:rFonts w:cs="Arial"/>
                <w:b/>
                <w:color w:val="FFFFFF" w:themeColor="background1"/>
                <w:sz w:val="16"/>
                <w:szCs w:val="16"/>
                <w:lang w:eastAsia="en-US"/>
              </w:rPr>
            </w:pPr>
            <w:r w:rsidRPr="0038789B">
              <w:rPr>
                <w:rFonts w:cs="Arial"/>
                <w:b/>
                <w:color w:val="FFFFFF" w:themeColor="background1"/>
                <w:sz w:val="16"/>
                <w:szCs w:val="16"/>
                <w:lang w:eastAsia="en-US"/>
              </w:rPr>
              <w:t>19/20</w:t>
            </w:r>
          </w:p>
        </w:tc>
        <w:tc>
          <w:tcPr>
            <w:tcW w:w="357" w:type="pct"/>
            <w:vMerge/>
            <w:tcBorders>
              <w:left w:val="single" w:sz="2" w:space="0" w:color="auto"/>
              <w:bottom w:val="single" w:sz="2" w:space="0" w:color="auto"/>
              <w:right w:val="single" w:sz="2" w:space="0" w:color="auto"/>
            </w:tcBorders>
            <w:shd w:val="clear" w:color="auto" w:fill="D9D9D9" w:themeFill="background1" w:themeFillShade="D9"/>
            <w:vAlign w:val="bottom"/>
          </w:tcPr>
          <w:p w:rsidR="0038789B" w:rsidRPr="0038789B" w:rsidRDefault="0038789B" w:rsidP="0038789B">
            <w:pPr>
              <w:tabs>
                <w:tab w:val="clear" w:pos="851"/>
              </w:tabs>
              <w:spacing w:after="160" w:line="259" w:lineRule="auto"/>
              <w:ind w:left="0"/>
              <w:jc w:val="center"/>
              <w:rPr>
                <w:rFonts w:cs="Arial"/>
                <w:b/>
                <w:color w:val="000000"/>
                <w:sz w:val="16"/>
                <w:szCs w:val="16"/>
                <w:lang w:eastAsia="en-US"/>
              </w:rPr>
            </w:pPr>
          </w:p>
        </w:tc>
      </w:tr>
      <w:tr w:rsidR="00FD1CE4" w:rsidRPr="0038789B" w:rsidTr="00FD1CE4">
        <w:trPr>
          <w:trHeight w:val="495"/>
        </w:trPr>
        <w:tc>
          <w:tcPr>
            <w:tcW w:w="67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left"/>
              <w:rPr>
                <w:rFonts w:cs="Arial"/>
                <w:color w:val="000000"/>
                <w:sz w:val="16"/>
                <w:szCs w:val="16"/>
                <w:lang w:eastAsia="en-US"/>
              </w:rPr>
            </w:pPr>
            <w:r w:rsidRPr="0038789B">
              <w:rPr>
                <w:rFonts w:cs="Arial"/>
                <w:color w:val="000000"/>
                <w:sz w:val="16"/>
                <w:szCs w:val="16"/>
                <w:lang w:eastAsia="en-US"/>
              </w:rPr>
              <w:t>Reported Leakage Ml/d</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36.6</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34.00</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29.50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28.85</w:t>
            </w:r>
          </w:p>
        </w:tc>
        <w:tc>
          <w:tcPr>
            <w:tcW w:w="376"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p>
        </w:tc>
        <w:tc>
          <w:tcPr>
            <w:tcW w:w="37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28.23</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30.38</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32.92</w:t>
            </w:r>
          </w:p>
        </w:tc>
        <w:tc>
          <w:tcPr>
            <w:tcW w:w="35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p>
        </w:tc>
        <w:tc>
          <w:tcPr>
            <w:tcW w:w="357"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p>
        </w:tc>
      </w:tr>
      <w:tr w:rsidR="00FD1CE4" w:rsidRPr="0038789B" w:rsidTr="0004609A">
        <w:trPr>
          <w:trHeight w:val="256"/>
        </w:trPr>
        <w:tc>
          <w:tcPr>
            <w:tcW w:w="67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964B14" w:rsidP="0004609A">
            <w:pPr>
              <w:tabs>
                <w:tab w:val="clear" w:pos="851"/>
              </w:tabs>
              <w:spacing w:after="0"/>
              <w:ind w:left="0"/>
              <w:jc w:val="left"/>
              <w:rPr>
                <w:rFonts w:cs="Arial"/>
                <w:b/>
                <w:bCs/>
                <w:color w:val="000000"/>
                <w:sz w:val="16"/>
                <w:szCs w:val="16"/>
                <w:lang w:eastAsia="en-US"/>
              </w:rPr>
            </w:pPr>
            <w:r>
              <w:rPr>
                <w:rFonts w:cs="Arial"/>
                <w:b/>
                <w:bCs/>
                <w:color w:val="000000"/>
                <w:sz w:val="16"/>
                <w:szCs w:val="16"/>
                <w:lang w:eastAsia="en-US"/>
              </w:rPr>
              <w:t>Opex</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76"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p>
        </w:tc>
        <w:tc>
          <w:tcPr>
            <w:tcW w:w="37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5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w:t>
            </w:r>
          </w:p>
        </w:tc>
        <w:tc>
          <w:tcPr>
            <w:tcW w:w="357"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p>
        </w:tc>
      </w:tr>
      <w:tr w:rsidR="00FD1CE4" w:rsidRPr="0038789B" w:rsidTr="0004609A">
        <w:trPr>
          <w:trHeight w:val="273"/>
        </w:trPr>
        <w:tc>
          <w:tcPr>
            <w:tcW w:w="67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left"/>
              <w:rPr>
                <w:rFonts w:cs="Arial"/>
                <w:color w:val="000000"/>
                <w:sz w:val="16"/>
                <w:szCs w:val="16"/>
                <w:lang w:eastAsia="en-US"/>
              </w:rPr>
            </w:pPr>
            <w:r w:rsidRPr="0038789B">
              <w:rPr>
                <w:rFonts w:cs="Arial"/>
                <w:color w:val="000000"/>
                <w:sz w:val="16"/>
                <w:szCs w:val="16"/>
                <w:lang w:eastAsia="en-US"/>
              </w:rPr>
              <w:t>Analysis</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60</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62</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92</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148</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165</w:t>
            </w:r>
          </w:p>
        </w:tc>
        <w:tc>
          <w:tcPr>
            <w:tcW w:w="376"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527</w:t>
            </w:r>
          </w:p>
        </w:tc>
        <w:tc>
          <w:tcPr>
            <w:tcW w:w="37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143</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148</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259</w:t>
            </w:r>
          </w:p>
        </w:tc>
        <w:tc>
          <w:tcPr>
            <w:tcW w:w="35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521</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290</w:t>
            </w:r>
          </w:p>
        </w:tc>
        <w:tc>
          <w:tcPr>
            <w:tcW w:w="357"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1,361</w:t>
            </w:r>
          </w:p>
        </w:tc>
      </w:tr>
      <w:tr w:rsidR="00FD1CE4" w:rsidRPr="0038789B" w:rsidTr="0004609A">
        <w:trPr>
          <w:trHeight w:val="292"/>
        </w:trPr>
        <w:tc>
          <w:tcPr>
            <w:tcW w:w="67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left"/>
              <w:rPr>
                <w:rFonts w:cs="Arial"/>
                <w:color w:val="000000"/>
                <w:sz w:val="16"/>
                <w:szCs w:val="16"/>
                <w:lang w:eastAsia="en-US"/>
              </w:rPr>
            </w:pPr>
            <w:r w:rsidRPr="0038789B">
              <w:rPr>
                <w:rFonts w:cs="Arial"/>
                <w:color w:val="000000"/>
                <w:sz w:val="16"/>
                <w:szCs w:val="16"/>
                <w:lang w:eastAsia="en-US"/>
              </w:rPr>
              <w:t>Detection</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115</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115</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215</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325</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359</w:t>
            </w:r>
          </w:p>
        </w:tc>
        <w:tc>
          <w:tcPr>
            <w:tcW w:w="376"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1,129</w:t>
            </w:r>
          </w:p>
        </w:tc>
        <w:tc>
          <w:tcPr>
            <w:tcW w:w="37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278</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232</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420</w:t>
            </w:r>
          </w:p>
        </w:tc>
        <w:tc>
          <w:tcPr>
            <w:tcW w:w="35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980</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430</w:t>
            </w:r>
          </w:p>
        </w:tc>
        <w:tc>
          <w:tcPr>
            <w:tcW w:w="357"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2,340</w:t>
            </w:r>
          </w:p>
        </w:tc>
      </w:tr>
      <w:tr w:rsidR="00FD1CE4" w:rsidRPr="0038789B" w:rsidTr="0004609A">
        <w:trPr>
          <w:trHeight w:val="267"/>
        </w:trPr>
        <w:tc>
          <w:tcPr>
            <w:tcW w:w="67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left"/>
              <w:rPr>
                <w:rFonts w:cs="Arial"/>
                <w:color w:val="000000"/>
                <w:sz w:val="16"/>
                <w:szCs w:val="16"/>
                <w:lang w:eastAsia="en-US"/>
              </w:rPr>
            </w:pPr>
            <w:r w:rsidRPr="0038789B">
              <w:rPr>
                <w:rFonts w:cs="Arial"/>
                <w:color w:val="000000"/>
                <w:sz w:val="16"/>
                <w:szCs w:val="16"/>
                <w:lang w:eastAsia="en-US"/>
              </w:rPr>
              <w:t>Repair</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146</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145</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231</w:t>
            </w:r>
          </w:p>
        </w:tc>
        <w:tc>
          <w:tcPr>
            <w:tcW w:w="37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298</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247</w:t>
            </w:r>
          </w:p>
        </w:tc>
        <w:tc>
          <w:tcPr>
            <w:tcW w:w="376"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1,067</w:t>
            </w:r>
          </w:p>
        </w:tc>
        <w:tc>
          <w:tcPr>
            <w:tcW w:w="378"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195</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350</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406</w:t>
            </w:r>
          </w:p>
        </w:tc>
        <w:tc>
          <w:tcPr>
            <w:tcW w:w="35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777</w:t>
            </w:r>
          </w:p>
        </w:tc>
        <w:tc>
          <w:tcPr>
            <w:tcW w:w="32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465</w:t>
            </w:r>
          </w:p>
        </w:tc>
        <w:tc>
          <w:tcPr>
            <w:tcW w:w="357"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bottom"/>
          </w:tcPr>
          <w:p w:rsidR="0038789B" w:rsidRPr="0038789B" w:rsidRDefault="0038789B" w:rsidP="0004609A">
            <w:pPr>
              <w:tabs>
                <w:tab w:val="clear" w:pos="851"/>
              </w:tabs>
              <w:spacing w:after="0"/>
              <w:ind w:left="0"/>
              <w:jc w:val="center"/>
              <w:rPr>
                <w:rFonts w:cs="Arial"/>
                <w:color w:val="000000"/>
                <w:sz w:val="16"/>
                <w:szCs w:val="16"/>
                <w:lang w:eastAsia="en-US"/>
              </w:rPr>
            </w:pPr>
            <w:r w:rsidRPr="0038789B">
              <w:rPr>
                <w:rFonts w:cs="Arial"/>
                <w:color w:val="000000"/>
                <w:sz w:val="16"/>
                <w:szCs w:val="16"/>
                <w:lang w:eastAsia="en-US"/>
              </w:rPr>
              <w:t>2,193</w:t>
            </w:r>
          </w:p>
        </w:tc>
      </w:tr>
      <w:tr w:rsidR="00FD1CE4" w:rsidRPr="0005234B" w:rsidTr="0004609A">
        <w:trPr>
          <w:trHeight w:val="286"/>
        </w:trPr>
        <w:tc>
          <w:tcPr>
            <w:tcW w:w="673"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964B14" w:rsidP="0004609A">
            <w:pPr>
              <w:tabs>
                <w:tab w:val="clear" w:pos="851"/>
              </w:tabs>
              <w:spacing w:after="0"/>
              <w:ind w:left="0"/>
              <w:jc w:val="left"/>
              <w:rPr>
                <w:rFonts w:cs="Arial"/>
                <w:b/>
                <w:bCs/>
                <w:color w:val="FFFFFF" w:themeColor="background1"/>
                <w:sz w:val="16"/>
                <w:szCs w:val="16"/>
                <w:lang w:eastAsia="en-US"/>
              </w:rPr>
            </w:pPr>
            <w:r>
              <w:rPr>
                <w:rFonts w:cs="Arial"/>
                <w:b/>
                <w:bCs/>
                <w:color w:val="FFFFFF" w:themeColor="background1"/>
                <w:sz w:val="16"/>
                <w:szCs w:val="16"/>
                <w:lang w:eastAsia="en-US"/>
              </w:rPr>
              <w:t>Opex</w:t>
            </w:r>
            <w:r w:rsidR="0038789B" w:rsidRPr="0005234B">
              <w:rPr>
                <w:rFonts w:cs="Arial"/>
                <w:b/>
                <w:bCs/>
                <w:color w:val="FFFFFF" w:themeColor="background1"/>
                <w:sz w:val="16"/>
                <w:szCs w:val="16"/>
                <w:lang w:eastAsia="en-US"/>
              </w:rPr>
              <w:t xml:space="preserve"> Total</w:t>
            </w:r>
          </w:p>
        </w:tc>
        <w:tc>
          <w:tcPr>
            <w:tcW w:w="375"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321</w:t>
            </w:r>
          </w:p>
        </w:tc>
        <w:tc>
          <w:tcPr>
            <w:tcW w:w="376"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322</w:t>
            </w:r>
          </w:p>
        </w:tc>
        <w:tc>
          <w:tcPr>
            <w:tcW w:w="376"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538</w:t>
            </w:r>
          </w:p>
        </w:tc>
        <w:tc>
          <w:tcPr>
            <w:tcW w:w="376"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771</w:t>
            </w:r>
          </w:p>
        </w:tc>
        <w:tc>
          <w:tcPr>
            <w:tcW w:w="375"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771</w:t>
            </w:r>
          </w:p>
        </w:tc>
        <w:tc>
          <w:tcPr>
            <w:tcW w:w="376" w:type="pct"/>
            <w:tcBorders>
              <w:top w:val="single" w:sz="2" w:space="0" w:color="auto"/>
              <w:left w:val="single" w:sz="2" w:space="0" w:color="auto"/>
              <w:bottom w:val="single" w:sz="2" w:space="0" w:color="auto"/>
              <w:right w:val="single" w:sz="2" w:space="0" w:color="auto"/>
            </w:tcBorders>
            <w:shd w:val="clear" w:color="auto" w:fill="2E74B5" w:themeFill="accent1" w:themeFillShade="BF"/>
            <w:vAlign w:val="bottom"/>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2,723</w:t>
            </w:r>
          </w:p>
        </w:tc>
        <w:tc>
          <w:tcPr>
            <w:tcW w:w="378"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616</w:t>
            </w:r>
          </w:p>
        </w:tc>
        <w:tc>
          <w:tcPr>
            <w:tcW w:w="327"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730</w:t>
            </w:r>
          </w:p>
        </w:tc>
        <w:tc>
          <w:tcPr>
            <w:tcW w:w="327"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1,085</w:t>
            </w:r>
          </w:p>
        </w:tc>
        <w:tc>
          <w:tcPr>
            <w:tcW w:w="359"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2,278</w:t>
            </w:r>
          </w:p>
        </w:tc>
        <w:tc>
          <w:tcPr>
            <w:tcW w:w="327" w:type="pct"/>
            <w:tcBorders>
              <w:top w:val="single" w:sz="2" w:space="0" w:color="auto"/>
              <w:left w:val="single" w:sz="2" w:space="0" w:color="auto"/>
              <w:bottom w:val="single" w:sz="2" w:space="0" w:color="auto"/>
              <w:right w:val="single" w:sz="2" w:space="0" w:color="auto"/>
            </w:tcBorders>
            <w:shd w:val="clear" w:color="auto" w:fill="2E74B5" w:themeFill="accent1" w:themeFillShade="BF"/>
            <w:noWrap/>
            <w:vAlign w:val="bottom"/>
            <w:hideMark/>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1,185</w:t>
            </w:r>
          </w:p>
        </w:tc>
        <w:tc>
          <w:tcPr>
            <w:tcW w:w="357" w:type="pct"/>
            <w:tcBorders>
              <w:top w:val="single" w:sz="2" w:space="0" w:color="auto"/>
              <w:left w:val="single" w:sz="2" w:space="0" w:color="auto"/>
              <w:bottom w:val="single" w:sz="2" w:space="0" w:color="auto"/>
              <w:right w:val="single" w:sz="2" w:space="0" w:color="auto"/>
            </w:tcBorders>
            <w:shd w:val="clear" w:color="auto" w:fill="2E74B5" w:themeFill="accent1" w:themeFillShade="BF"/>
            <w:vAlign w:val="bottom"/>
          </w:tcPr>
          <w:p w:rsidR="0038789B" w:rsidRPr="0005234B" w:rsidRDefault="0038789B" w:rsidP="0004609A">
            <w:pPr>
              <w:tabs>
                <w:tab w:val="clear" w:pos="851"/>
              </w:tabs>
              <w:spacing w:after="0"/>
              <w:ind w:left="0"/>
              <w:jc w:val="center"/>
              <w:rPr>
                <w:rFonts w:cs="Arial"/>
                <w:b/>
                <w:bCs/>
                <w:color w:val="FFFFFF" w:themeColor="background1"/>
                <w:sz w:val="16"/>
                <w:szCs w:val="16"/>
                <w:lang w:eastAsia="en-US"/>
              </w:rPr>
            </w:pPr>
            <w:r w:rsidRPr="0005234B">
              <w:rPr>
                <w:rFonts w:cs="Arial"/>
                <w:b/>
                <w:bCs/>
                <w:color w:val="FFFFFF" w:themeColor="background1"/>
                <w:sz w:val="16"/>
                <w:szCs w:val="16"/>
                <w:lang w:eastAsia="en-US"/>
              </w:rPr>
              <w:t>5,894</w:t>
            </w:r>
          </w:p>
        </w:tc>
      </w:tr>
    </w:tbl>
    <w:p w:rsidR="0038789B" w:rsidRDefault="0038789B" w:rsidP="00724E1F">
      <w:pPr>
        <w:spacing w:after="0"/>
      </w:pPr>
    </w:p>
    <w:p w:rsidR="00AB5B6F" w:rsidRPr="00A92B85" w:rsidRDefault="00A06465" w:rsidP="00AB5B6F">
      <w:r>
        <w:t>With the additional investment we expect to be back on target by 2020.</w:t>
      </w:r>
    </w:p>
    <w:p w:rsidR="00AB5B6F" w:rsidRPr="00A92B85" w:rsidRDefault="00AB5B6F" w:rsidP="00AB5B6F">
      <w:r w:rsidRPr="00A92B85">
        <w:t>Our Customer Challenge Group has been very interested in this issue and sought to understand how the Company will improve the current and medium term situation</w:t>
      </w:r>
      <w:r w:rsidR="00A06465">
        <w:t xml:space="preserve"> achieve a 15% reduction in AMP7</w:t>
      </w:r>
      <w:r w:rsidRPr="00A92B85">
        <w:t>, and challenged us to employ newer and more innovative approaches to achieve a step change in performance.</w:t>
      </w:r>
    </w:p>
    <w:p w:rsidR="00AB5B6F" w:rsidRDefault="00E312F3" w:rsidP="00AB5B6F">
      <w:pPr>
        <w:rPr>
          <w:rFonts w:cs="Arial"/>
          <w:b/>
        </w:rPr>
      </w:pPr>
      <w:r>
        <w:rPr>
          <w:rFonts w:cs="Arial"/>
          <w:b/>
        </w:rPr>
        <w:t>What customers said</w:t>
      </w:r>
    </w:p>
    <w:p w:rsidR="00AB5B6F" w:rsidRPr="00A92B85" w:rsidRDefault="00AB5B6F" w:rsidP="00AB5B6F">
      <w:pPr>
        <w:rPr>
          <w:rFonts w:cs="Arial"/>
        </w:rPr>
      </w:pPr>
      <w:r w:rsidRPr="00A92B85">
        <w:rPr>
          <w:rFonts w:cs="Arial"/>
        </w:rPr>
        <w:t xml:space="preserve">Customer perception is, generally, that any leakage reflects poor performance and customers who work in production and manufacturing businesses cannot comprehend 15-20% wastage.  </w:t>
      </w:r>
      <w:r w:rsidR="00067353">
        <w:rPr>
          <w:rFonts w:cs="Arial"/>
        </w:rPr>
        <w:t xml:space="preserve">We heard </w:t>
      </w:r>
      <w:r w:rsidRPr="00A92B85">
        <w:rPr>
          <w:rFonts w:cs="Arial"/>
        </w:rPr>
        <w:t xml:space="preserve">a similar view from younger customers who link leakage to abstraction and the potential impact to the environment.  </w:t>
      </w:r>
    </w:p>
    <w:p w:rsidR="00AB5B6F" w:rsidRPr="00A92B85" w:rsidRDefault="00DC1C14" w:rsidP="00AB5B6F">
      <w:pPr>
        <w:rPr>
          <w:rFonts w:cs="Arial"/>
        </w:rPr>
      </w:pPr>
      <w:r>
        <w:rPr>
          <w:rFonts w:cs="Arial"/>
        </w:rPr>
        <w:t>T</w:t>
      </w:r>
      <w:r w:rsidR="00AB5B6F" w:rsidRPr="00A92B85">
        <w:rPr>
          <w:rFonts w:cs="Arial"/>
        </w:rPr>
        <w:t xml:space="preserve">here is a strong view from customers that unless the Company is demonstrating that it “has its own house in order” by having low leakage, imposing restrictions on customers lacks legitimacy.  This view has been further re-enforced during the heatwave in the summer of 2018, where calls to use </w:t>
      </w:r>
      <w:r w:rsidR="0029130D">
        <w:rPr>
          <w:rFonts w:cs="Arial"/>
        </w:rPr>
        <w:t xml:space="preserve">water </w:t>
      </w:r>
      <w:r w:rsidR="00AB5B6F" w:rsidRPr="00A92B85">
        <w:rPr>
          <w:rFonts w:cs="Arial"/>
        </w:rPr>
        <w:t>wisely are regularly countered with criticism of leakage performance.</w:t>
      </w:r>
    </w:p>
    <w:p w:rsidR="00AB5B6F" w:rsidRPr="00A92B85" w:rsidRDefault="00AB5B6F" w:rsidP="00AB5B6F">
      <w:pPr>
        <w:rPr>
          <w:rFonts w:cs="Arial"/>
        </w:rPr>
      </w:pPr>
      <w:r w:rsidRPr="00A92B85">
        <w:rPr>
          <w:rFonts w:cs="Arial"/>
        </w:rPr>
        <w:t xml:space="preserve">The proposal to reduce leakage by 15% is seen as ambitious by customers, although some think we should go further.  Conversely, some Non Household Customers who use the wholesale services of the business, have asked if this is too ambitious a target and should be realistic not aspirational. </w:t>
      </w:r>
    </w:p>
    <w:p w:rsidR="00AB5B6F" w:rsidRDefault="00AB5B6F" w:rsidP="00AB5B6F">
      <w:pPr>
        <w:rPr>
          <w:rFonts w:cs="Arial"/>
        </w:rPr>
      </w:pPr>
      <w:r w:rsidRPr="00A92B85">
        <w:rPr>
          <w:rFonts w:cs="Arial"/>
        </w:rPr>
        <w:t xml:space="preserve">The consultation on our draft Water Resources Management Plan, which concluded at the end of May 2018, had over 95% support </w:t>
      </w:r>
      <w:r w:rsidR="00B00BC1">
        <w:rPr>
          <w:rFonts w:cs="Arial"/>
        </w:rPr>
        <w:t xml:space="preserve">from the customers who responded </w:t>
      </w:r>
      <w:r w:rsidRPr="00A92B85">
        <w:rPr>
          <w:rFonts w:cs="Arial"/>
        </w:rPr>
        <w:t xml:space="preserve">for our proposal to reduce leakage by 15% by 2025.  Whilst stakeholders including </w:t>
      </w:r>
      <w:r w:rsidR="00E76864">
        <w:rPr>
          <w:rFonts w:cs="Arial"/>
        </w:rPr>
        <w:t>DEFRA</w:t>
      </w:r>
      <w:r w:rsidRPr="00A92B85">
        <w:rPr>
          <w:rFonts w:cs="Arial"/>
        </w:rPr>
        <w:t xml:space="preserve">, EA and Ofwat have all supported this ambition they have stated that they expect our performance to improve even further, post 2025. We have responded by </w:t>
      </w:r>
      <w:r w:rsidR="00977912">
        <w:rPr>
          <w:rFonts w:cs="Arial"/>
        </w:rPr>
        <w:t xml:space="preserve">proposing </w:t>
      </w:r>
      <w:r w:rsidRPr="00A92B85">
        <w:rPr>
          <w:rFonts w:cs="Arial"/>
        </w:rPr>
        <w:t>a further 5% reductio</w:t>
      </w:r>
      <w:r w:rsidR="00E312F3">
        <w:rPr>
          <w:rFonts w:cs="Arial"/>
        </w:rPr>
        <w:t xml:space="preserve">n in each of the following AMPs and </w:t>
      </w:r>
      <w:r w:rsidR="00B00BC1">
        <w:rPr>
          <w:rFonts w:cs="Arial"/>
        </w:rPr>
        <w:t xml:space="preserve">an aspiration to achieve </w:t>
      </w:r>
      <w:r w:rsidR="00E312F3">
        <w:rPr>
          <w:rFonts w:cs="Arial"/>
        </w:rPr>
        <w:t>a 50% reduction by 2050.</w:t>
      </w:r>
    </w:p>
    <w:p w:rsidR="00AB5B6F" w:rsidRPr="00A92B85" w:rsidRDefault="00E312F3" w:rsidP="00AB5B6F">
      <w:pPr>
        <w:rPr>
          <w:rFonts w:cs="Arial"/>
        </w:rPr>
      </w:pPr>
      <w:r>
        <w:rPr>
          <w:rFonts w:cs="Arial"/>
        </w:rPr>
        <w:t xml:space="preserve">Regular meter readings for billing purposes often reveal </w:t>
      </w:r>
      <w:r w:rsidR="00AB5B6F" w:rsidRPr="00A92B85">
        <w:rPr>
          <w:rFonts w:cs="Arial"/>
        </w:rPr>
        <w:t>a higher than expected consumption.  Consequent investigations often conclude that the customer has a leak on their supply pipe.  Whilst the Company offers a free supply pipe repair option, the issue of supply side leakage must be addressed to achieve the ambitious target reduction of 15%.  We estimate that 1/3</w:t>
      </w:r>
      <w:r w:rsidR="00AB5B6F" w:rsidRPr="00A92B85">
        <w:rPr>
          <w:rFonts w:cs="Arial"/>
          <w:vertAlign w:val="superscript"/>
        </w:rPr>
        <w:t>rd</w:t>
      </w:r>
      <w:r w:rsidR="00AB5B6F" w:rsidRPr="00A92B85">
        <w:rPr>
          <w:rFonts w:cs="Arial"/>
        </w:rPr>
        <w:t xml:space="preserve"> of the total leakage is associated with such leaks.  </w:t>
      </w:r>
      <w:r w:rsidR="00AB5B6F">
        <w:rPr>
          <w:rFonts w:cs="Arial"/>
        </w:rPr>
        <w:t xml:space="preserve">We have already entered into a contract with a utility technology company to search worldwide for technologies to address this issue. </w:t>
      </w:r>
      <w:r w:rsidR="00AB5B6F" w:rsidRPr="00A92B85">
        <w:rPr>
          <w:rFonts w:cs="Arial"/>
        </w:rPr>
        <w:t xml:space="preserve">   </w:t>
      </w:r>
      <w:r w:rsidR="00AB5B6F">
        <w:rPr>
          <w:rFonts w:cs="Arial"/>
        </w:rPr>
        <w:t>O</w:t>
      </w:r>
      <w:r w:rsidR="00AB5B6F" w:rsidRPr="00A92B85">
        <w:rPr>
          <w:rFonts w:cs="Arial"/>
        </w:rPr>
        <w:t>ur increased metering programme</w:t>
      </w:r>
      <w:r w:rsidR="00AB5B6F">
        <w:rPr>
          <w:rFonts w:cs="Arial"/>
        </w:rPr>
        <w:t xml:space="preserve">, and our pilot </w:t>
      </w:r>
      <w:r>
        <w:rPr>
          <w:rFonts w:cs="Arial"/>
        </w:rPr>
        <w:t>of ‘</w:t>
      </w:r>
      <w:r w:rsidR="00A11EF3">
        <w:rPr>
          <w:rFonts w:cs="Arial"/>
        </w:rPr>
        <w:t>n</w:t>
      </w:r>
      <w:r>
        <w:rPr>
          <w:rFonts w:cs="Arial"/>
        </w:rPr>
        <w:t xml:space="preserve">ot for </w:t>
      </w:r>
      <w:r w:rsidR="00A11EF3">
        <w:rPr>
          <w:rFonts w:cs="Arial"/>
        </w:rPr>
        <w:t>r</w:t>
      </w:r>
      <w:r>
        <w:rPr>
          <w:rFonts w:cs="Arial"/>
        </w:rPr>
        <w:t xml:space="preserve">evenue’ </w:t>
      </w:r>
      <w:r w:rsidR="00AB5B6F" w:rsidRPr="00A11EF3">
        <w:rPr>
          <w:rFonts w:cs="Arial"/>
          <w:caps/>
        </w:rPr>
        <w:t>smart</w:t>
      </w:r>
      <w:r w:rsidR="00AB5B6F">
        <w:rPr>
          <w:rFonts w:cs="Arial"/>
        </w:rPr>
        <w:t xml:space="preserve"> metering,</w:t>
      </w:r>
      <w:r w:rsidR="00AB5B6F" w:rsidRPr="00A92B85">
        <w:rPr>
          <w:rFonts w:cs="Arial"/>
        </w:rPr>
        <w:t xml:space="preserve"> will increase our understanding </w:t>
      </w:r>
      <w:r>
        <w:rPr>
          <w:rFonts w:cs="Arial"/>
        </w:rPr>
        <w:t xml:space="preserve">and identification </w:t>
      </w:r>
      <w:r w:rsidR="00AB5B6F" w:rsidRPr="00A92B85">
        <w:rPr>
          <w:rFonts w:cs="Arial"/>
        </w:rPr>
        <w:t xml:space="preserve">of any supply pipe losses. </w:t>
      </w:r>
      <w:r w:rsidR="00B00BC1">
        <w:rPr>
          <w:rFonts w:cs="Arial"/>
        </w:rPr>
        <w:t xml:space="preserve"> </w:t>
      </w:r>
      <w:r w:rsidR="000D0839">
        <w:rPr>
          <w:rFonts w:cs="Arial"/>
        </w:rPr>
        <w:t>We are also working collaboratively with UK Water Industry Research (UKWIR) to develop new methods of assessing supply pipe leakage on unmetered customers.</w:t>
      </w:r>
    </w:p>
    <w:p w:rsidR="00AB5B6F" w:rsidRDefault="00E312F3" w:rsidP="00AB5B6F">
      <w:pPr>
        <w:rPr>
          <w:rFonts w:cs="Arial"/>
        </w:rPr>
      </w:pPr>
      <w:r>
        <w:rPr>
          <w:rFonts w:cs="Arial"/>
        </w:rPr>
        <w:t>O</w:t>
      </w:r>
      <w:r w:rsidR="00AB5B6F" w:rsidRPr="00A92B85">
        <w:rPr>
          <w:rFonts w:cs="Arial"/>
        </w:rPr>
        <w:t xml:space="preserve">ur daily contacts highlight customer dissatisfaction </w:t>
      </w:r>
      <w:r w:rsidR="00067353">
        <w:rPr>
          <w:rFonts w:cs="Arial"/>
        </w:rPr>
        <w:t xml:space="preserve">when </w:t>
      </w:r>
      <w:r w:rsidR="00AB5B6F" w:rsidRPr="00A92B85">
        <w:rPr>
          <w:rFonts w:cs="Arial"/>
        </w:rPr>
        <w:t xml:space="preserve">we are not clear why a reported leak is not being repaired.  We </w:t>
      </w:r>
      <w:r>
        <w:rPr>
          <w:rFonts w:cs="Arial"/>
        </w:rPr>
        <w:t xml:space="preserve">have </w:t>
      </w:r>
      <w:r w:rsidR="00AB5B6F" w:rsidRPr="00A92B85">
        <w:rPr>
          <w:rFonts w:cs="Arial"/>
        </w:rPr>
        <w:t>enhance</w:t>
      </w:r>
      <w:r>
        <w:rPr>
          <w:rFonts w:cs="Arial"/>
        </w:rPr>
        <w:t>d</w:t>
      </w:r>
      <w:r w:rsidR="00AB5B6F" w:rsidRPr="00A92B85">
        <w:rPr>
          <w:rFonts w:cs="Arial"/>
        </w:rPr>
        <w:t xml:space="preserve"> our communications in this area, ensuring we provide feedback to the customer who initially informed us of the issue and more generally leave an appropriate communication at the location in question. </w:t>
      </w:r>
      <w:r>
        <w:rPr>
          <w:rFonts w:cs="Arial"/>
        </w:rPr>
        <w:t xml:space="preserve"> Dealing with visible leaks has been especially important in the summer of 2018, as we were using the opportunity of a long dry spell to promote water efficiency.</w:t>
      </w:r>
    </w:p>
    <w:p w:rsidR="0029130D" w:rsidRPr="00A92B85" w:rsidRDefault="0029130D" w:rsidP="00AB5B6F">
      <w:pPr>
        <w:rPr>
          <w:rFonts w:cs="Arial"/>
        </w:rPr>
      </w:pPr>
      <w:r>
        <w:rPr>
          <w:rFonts w:cs="Arial"/>
        </w:rPr>
        <w:t>A summary of</w:t>
      </w:r>
      <w:r w:rsidR="00067353">
        <w:rPr>
          <w:rFonts w:cs="Arial"/>
        </w:rPr>
        <w:t xml:space="preserve"> our</w:t>
      </w:r>
      <w:r>
        <w:rPr>
          <w:rFonts w:cs="Arial"/>
        </w:rPr>
        <w:t xml:space="preserve"> Customer Engagement and Triangulation can be found in Appendix 2.1.</w:t>
      </w:r>
    </w:p>
    <w:p w:rsidR="00802B2B" w:rsidRDefault="00802B2B" w:rsidP="00802B2B">
      <w:pPr>
        <w:pStyle w:val="Heading3"/>
      </w:pPr>
      <w:bookmarkStart w:id="65" w:name="_Toc522199983"/>
      <w:bookmarkStart w:id="66" w:name="_Toc522200080"/>
      <w:bookmarkStart w:id="67" w:name="_Toc523651260"/>
      <w:r>
        <w:t>Delivering the Outcome</w:t>
      </w:r>
      <w:bookmarkEnd w:id="65"/>
      <w:bookmarkEnd w:id="66"/>
      <w:bookmarkEnd w:id="67"/>
    </w:p>
    <w:p w:rsidR="00AB5B6F" w:rsidRDefault="00AB5B6F" w:rsidP="00AB5B6F">
      <w:pPr>
        <w:rPr>
          <w:b/>
        </w:rPr>
      </w:pPr>
      <w:r w:rsidRPr="00871389">
        <w:rPr>
          <w:b/>
        </w:rPr>
        <w:t>In</w:t>
      </w:r>
      <w:r>
        <w:rPr>
          <w:b/>
        </w:rPr>
        <w:t>t</w:t>
      </w:r>
      <w:r w:rsidRPr="00871389">
        <w:rPr>
          <w:b/>
        </w:rPr>
        <w:t>roduction</w:t>
      </w:r>
    </w:p>
    <w:p w:rsidR="00AB5B6F" w:rsidRPr="00A92B85" w:rsidRDefault="00AB5B6F" w:rsidP="00AB5B6F">
      <w:r w:rsidRPr="00A92B85">
        <w:t>Leakage is a key area of activity, and reducing leakage continues to remain a high priority for the Company. Leakage reduction has strong customer support, has a positive environmental impact and aligns with government strategy. It is also an essential part of the Company’s twin track approach to water resources management and will allow for further water trading through Water Resources in the South East (WRSE).</w:t>
      </w:r>
    </w:p>
    <w:p w:rsidR="00AB5B6F" w:rsidRDefault="00AB5B6F" w:rsidP="00AB5B6F">
      <w:r w:rsidRPr="00A92B85">
        <w:t xml:space="preserve">One Performance </w:t>
      </w:r>
      <w:r>
        <w:t xml:space="preserve">Commitment </w:t>
      </w:r>
      <w:r w:rsidR="00DC1C14">
        <w:t xml:space="preserve">underpins </w:t>
      </w:r>
      <w:r w:rsidR="00DC1C14" w:rsidRPr="00A92B85">
        <w:t>this</w:t>
      </w:r>
      <w:r w:rsidRPr="00A92B85">
        <w:t xml:space="preserve"> outcome:</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3D5AA1" w:rsidRPr="00724E1F" w:rsidTr="00772301">
        <w:tc>
          <w:tcPr>
            <w:tcW w:w="2405" w:type="dxa"/>
            <w:shd w:val="clear" w:color="auto" w:fill="2E74B5" w:themeFill="accent1" w:themeFillShade="BF"/>
          </w:tcPr>
          <w:p w:rsidR="003D5AA1" w:rsidRPr="00724E1F" w:rsidRDefault="003D5AA1" w:rsidP="00DE0E1B">
            <w:pPr>
              <w:spacing w:after="0"/>
              <w:ind w:left="0"/>
              <w:rPr>
                <w:sz w:val="16"/>
                <w:szCs w:val="16"/>
              </w:rPr>
            </w:pPr>
            <w:r w:rsidRPr="00724E1F">
              <w:rPr>
                <w:b/>
                <w:bCs/>
                <w:color w:val="FFFFFF" w:themeColor="background1"/>
                <w:sz w:val="16"/>
                <w:szCs w:val="16"/>
              </w:rPr>
              <w:t>Performance Commitment</w:t>
            </w:r>
          </w:p>
        </w:tc>
        <w:tc>
          <w:tcPr>
            <w:tcW w:w="708" w:type="dxa"/>
            <w:shd w:val="clear" w:color="auto" w:fill="2E74B5" w:themeFill="accent1" w:themeFillShade="BF"/>
          </w:tcPr>
          <w:p w:rsidR="003D5AA1" w:rsidRPr="00724E1F" w:rsidRDefault="003D5AA1" w:rsidP="00DE0E1B">
            <w:pPr>
              <w:spacing w:before="20" w:after="20"/>
              <w:ind w:left="0"/>
              <w:jc w:val="center"/>
              <w:rPr>
                <w:b/>
                <w:bCs/>
                <w:color w:val="FFFFFF" w:themeColor="background1"/>
                <w:sz w:val="16"/>
                <w:szCs w:val="16"/>
              </w:rPr>
            </w:pPr>
            <w:r w:rsidRPr="00724E1F">
              <w:rPr>
                <w:b/>
                <w:bCs/>
                <w:color w:val="FFFFFF" w:themeColor="background1"/>
                <w:sz w:val="16"/>
                <w:szCs w:val="16"/>
              </w:rPr>
              <w:t>Type</w:t>
            </w:r>
          </w:p>
        </w:tc>
        <w:tc>
          <w:tcPr>
            <w:tcW w:w="1512" w:type="dxa"/>
            <w:shd w:val="clear" w:color="auto" w:fill="2E74B5" w:themeFill="accent1" w:themeFillShade="BF"/>
          </w:tcPr>
          <w:p w:rsidR="003D5AA1" w:rsidRPr="00724E1F" w:rsidRDefault="003D5AA1" w:rsidP="00DE0E1B">
            <w:pPr>
              <w:spacing w:after="0"/>
              <w:ind w:left="0"/>
              <w:rPr>
                <w:b/>
                <w:color w:val="FFFFFF" w:themeColor="background1"/>
                <w:sz w:val="16"/>
                <w:szCs w:val="16"/>
              </w:rPr>
            </w:pPr>
            <w:r w:rsidRPr="00724E1F">
              <w:rPr>
                <w:b/>
                <w:color w:val="FFFFFF" w:themeColor="background1"/>
                <w:sz w:val="16"/>
                <w:szCs w:val="16"/>
              </w:rPr>
              <w:t>AMP6 Performance</w:t>
            </w:r>
          </w:p>
        </w:tc>
        <w:tc>
          <w:tcPr>
            <w:tcW w:w="1654" w:type="dxa"/>
            <w:shd w:val="clear" w:color="auto" w:fill="2E74B5" w:themeFill="accent1" w:themeFillShade="BF"/>
          </w:tcPr>
          <w:p w:rsidR="003D5AA1" w:rsidRPr="00724E1F" w:rsidRDefault="003D5AA1" w:rsidP="00DE0E1B">
            <w:pPr>
              <w:spacing w:after="0"/>
              <w:ind w:left="0"/>
              <w:rPr>
                <w:b/>
                <w:color w:val="FFFFFF" w:themeColor="background1"/>
                <w:sz w:val="16"/>
                <w:szCs w:val="16"/>
              </w:rPr>
            </w:pPr>
            <w:r w:rsidRPr="00724E1F">
              <w:rPr>
                <w:b/>
                <w:color w:val="FFFFFF" w:themeColor="background1"/>
                <w:sz w:val="16"/>
                <w:szCs w:val="16"/>
              </w:rPr>
              <w:t>2024/25 Target</w:t>
            </w:r>
          </w:p>
        </w:tc>
        <w:tc>
          <w:tcPr>
            <w:tcW w:w="1654" w:type="dxa"/>
            <w:shd w:val="clear" w:color="auto" w:fill="2E74B5" w:themeFill="accent1" w:themeFillShade="BF"/>
          </w:tcPr>
          <w:p w:rsidR="003D5AA1" w:rsidRPr="00724E1F" w:rsidRDefault="003D5AA1" w:rsidP="00DE0E1B">
            <w:pPr>
              <w:spacing w:after="0"/>
              <w:ind w:left="0"/>
              <w:rPr>
                <w:b/>
                <w:color w:val="FFFFFF" w:themeColor="background1"/>
                <w:sz w:val="16"/>
                <w:szCs w:val="16"/>
              </w:rPr>
            </w:pPr>
            <w:r w:rsidRPr="00724E1F">
              <w:rPr>
                <w:b/>
                <w:color w:val="FFFFFF" w:themeColor="background1"/>
                <w:sz w:val="16"/>
                <w:szCs w:val="16"/>
              </w:rPr>
              <w:t>2034/35 Target</w:t>
            </w:r>
          </w:p>
        </w:tc>
        <w:tc>
          <w:tcPr>
            <w:tcW w:w="850" w:type="dxa"/>
            <w:shd w:val="clear" w:color="auto" w:fill="2E74B5" w:themeFill="accent1" w:themeFillShade="BF"/>
          </w:tcPr>
          <w:p w:rsidR="003D5AA1" w:rsidRPr="00724E1F" w:rsidRDefault="003D5AA1" w:rsidP="00DE0E1B">
            <w:pPr>
              <w:spacing w:after="0"/>
              <w:ind w:left="0"/>
              <w:jc w:val="center"/>
              <w:rPr>
                <w:b/>
                <w:color w:val="FFFFFF" w:themeColor="background1"/>
                <w:sz w:val="16"/>
                <w:szCs w:val="16"/>
              </w:rPr>
            </w:pPr>
            <w:r w:rsidRPr="00724E1F">
              <w:rPr>
                <w:b/>
                <w:color w:val="FFFFFF" w:themeColor="background1"/>
                <w:sz w:val="16"/>
                <w:szCs w:val="16"/>
              </w:rPr>
              <w:t>Reward/Penalty</w:t>
            </w:r>
          </w:p>
        </w:tc>
      </w:tr>
      <w:tr w:rsidR="003D5AA1" w:rsidRPr="00724E1F" w:rsidTr="00772301">
        <w:tc>
          <w:tcPr>
            <w:tcW w:w="2405" w:type="dxa"/>
          </w:tcPr>
          <w:p w:rsidR="003D5AA1" w:rsidRPr="00724E1F" w:rsidRDefault="003D5AA1" w:rsidP="00DE0E1B">
            <w:pPr>
              <w:spacing w:before="20" w:after="20"/>
              <w:ind w:left="0"/>
              <w:rPr>
                <w:sz w:val="16"/>
                <w:szCs w:val="16"/>
              </w:rPr>
            </w:pPr>
            <w:r w:rsidRPr="00724E1F">
              <w:rPr>
                <w:sz w:val="16"/>
                <w:szCs w:val="16"/>
              </w:rPr>
              <w:t>Leakage</w:t>
            </w:r>
          </w:p>
        </w:tc>
        <w:tc>
          <w:tcPr>
            <w:tcW w:w="708" w:type="dxa"/>
          </w:tcPr>
          <w:p w:rsidR="003D5AA1" w:rsidRPr="00724E1F" w:rsidRDefault="003D5AA1" w:rsidP="00DE0E1B">
            <w:pPr>
              <w:spacing w:before="20" w:after="20"/>
              <w:ind w:left="0"/>
              <w:jc w:val="center"/>
              <w:rPr>
                <w:sz w:val="16"/>
                <w:szCs w:val="16"/>
              </w:rPr>
            </w:pPr>
            <w:r w:rsidRPr="00724E1F">
              <w:rPr>
                <w:sz w:val="16"/>
                <w:szCs w:val="16"/>
              </w:rPr>
              <w:t>C</w:t>
            </w:r>
          </w:p>
        </w:tc>
        <w:tc>
          <w:tcPr>
            <w:tcW w:w="1512" w:type="dxa"/>
          </w:tcPr>
          <w:p w:rsidR="003D5AA1" w:rsidRPr="00724E1F" w:rsidRDefault="003D5AA1" w:rsidP="00DE0E1B">
            <w:pPr>
              <w:spacing w:after="0"/>
              <w:ind w:left="0"/>
              <w:rPr>
                <w:sz w:val="16"/>
                <w:szCs w:val="16"/>
              </w:rPr>
            </w:pPr>
            <w:r w:rsidRPr="00724E1F">
              <w:rPr>
                <w:sz w:val="16"/>
                <w:szCs w:val="16"/>
              </w:rPr>
              <w:t>35 Ml/d</w:t>
            </w:r>
            <w:r w:rsidR="00772301">
              <w:rPr>
                <w:sz w:val="16"/>
                <w:szCs w:val="16"/>
              </w:rPr>
              <w:t xml:space="preserve"> – New methodology</w:t>
            </w:r>
          </w:p>
        </w:tc>
        <w:tc>
          <w:tcPr>
            <w:tcW w:w="1654" w:type="dxa"/>
          </w:tcPr>
          <w:p w:rsidR="003D5AA1" w:rsidRPr="00724E1F" w:rsidRDefault="003D5AA1" w:rsidP="00DE0E1B">
            <w:pPr>
              <w:spacing w:before="20" w:after="20"/>
              <w:ind w:left="0"/>
              <w:rPr>
                <w:sz w:val="16"/>
                <w:szCs w:val="16"/>
              </w:rPr>
            </w:pPr>
            <w:r w:rsidRPr="00724E1F">
              <w:rPr>
                <w:sz w:val="16"/>
                <w:szCs w:val="16"/>
              </w:rPr>
              <w:t>15% Reduction</w:t>
            </w:r>
          </w:p>
        </w:tc>
        <w:tc>
          <w:tcPr>
            <w:tcW w:w="1654" w:type="dxa"/>
          </w:tcPr>
          <w:p w:rsidR="003D5AA1" w:rsidRPr="00724E1F" w:rsidRDefault="003D5AA1" w:rsidP="005471C9">
            <w:pPr>
              <w:spacing w:after="0"/>
              <w:ind w:left="0"/>
              <w:rPr>
                <w:sz w:val="16"/>
                <w:szCs w:val="16"/>
              </w:rPr>
            </w:pPr>
            <w:r w:rsidRPr="00724E1F">
              <w:rPr>
                <w:sz w:val="16"/>
                <w:szCs w:val="16"/>
              </w:rPr>
              <w:t>25% reduction (from 2</w:t>
            </w:r>
            <w:r w:rsidR="005471C9">
              <w:rPr>
                <w:sz w:val="16"/>
                <w:szCs w:val="16"/>
              </w:rPr>
              <w:t>0</w:t>
            </w:r>
            <w:r w:rsidRPr="00724E1F">
              <w:rPr>
                <w:sz w:val="16"/>
                <w:szCs w:val="16"/>
              </w:rPr>
              <w:t>19/20)</w:t>
            </w:r>
          </w:p>
        </w:tc>
        <w:tc>
          <w:tcPr>
            <w:tcW w:w="850" w:type="dxa"/>
          </w:tcPr>
          <w:p w:rsidR="003D5AA1" w:rsidRPr="00724E1F" w:rsidRDefault="003D5AA1" w:rsidP="00DE0E1B">
            <w:pPr>
              <w:spacing w:after="0"/>
              <w:ind w:left="0"/>
              <w:jc w:val="center"/>
              <w:rPr>
                <w:sz w:val="16"/>
                <w:szCs w:val="16"/>
              </w:rPr>
            </w:pPr>
            <w:r w:rsidRPr="00724E1F">
              <w:rPr>
                <w:sz w:val="16"/>
                <w:szCs w:val="16"/>
              </w:rPr>
              <w:t>ER/EP</w:t>
            </w:r>
          </w:p>
        </w:tc>
      </w:tr>
    </w:tbl>
    <w:p w:rsidR="005471C9" w:rsidRDefault="005471C9" w:rsidP="005471C9">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AB5B6F" w:rsidRPr="00251E48" w:rsidRDefault="00AB5B6F" w:rsidP="00946D16">
      <w:pPr>
        <w:numPr>
          <w:ilvl w:val="0"/>
          <w:numId w:val="14"/>
        </w:numPr>
      </w:pPr>
      <w:r w:rsidRPr="00A92B85">
        <w:rPr>
          <w:b/>
        </w:rPr>
        <w:t>Leakage</w:t>
      </w:r>
      <w:r w:rsidRPr="00251E48">
        <w:t xml:space="preserve">. This is a common Performance Commitment.  We have set an ambitious reduction target of 15%, which will be delivered through innovative approaches.  We are proposing </w:t>
      </w:r>
      <w:r w:rsidR="00DC0EAC">
        <w:t xml:space="preserve">enhanced </w:t>
      </w:r>
      <w:r w:rsidR="005471C9">
        <w:t>R</w:t>
      </w:r>
      <w:r w:rsidRPr="00251E48">
        <w:t xml:space="preserve">eward and </w:t>
      </w:r>
      <w:r w:rsidR="005471C9">
        <w:t>P</w:t>
      </w:r>
      <w:r w:rsidRPr="00251E48">
        <w:t>enalty.</w:t>
      </w:r>
      <w:r w:rsidR="00DC0EAC">
        <w:t xml:space="preserve">  Rewards and Penalties will be based on a </w:t>
      </w:r>
      <w:r w:rsidR="00DC1C14">
        <w:t>3-year</w:t>
      </w:r>
      <w:r w:rsidR="00DC0EAC">
        <w:t xml:space="preserve"> average.</w:t>
      </w:r>
    </w:p>
    <w:p w:rsidR="00D70395" w:rsidRDefault="00D70395">
      <w:pPr>
        <w:tabs>
          <w:tab w:val="clear" w:pos="851"/>
        </w:tabs>
        <w:spacing w:after="0"/>
        <w:ind w:left="0"/>
        <w:jc w:val="left"/>
        <w:rPr>
          <w:b/>
        </w:rPr>
      </w:pPr>
      <w:r>
        <w:rPr>
          <w:b/>
        </w:rPr>
        <w:br w:type="page"/>
      </w:r>
    </w:p>
    <w:p w:rsidR="00AB5B6F" w:rsidRPr="00871389" w:rsidRDefault="00AB5B6F" w:rsidP="00AB5B6F">
      <w:pPr>
        <w:rPr>
          <w:b/>
        </w:rPr>
      </w:pPr>
      <w:r w:rsidRPr="00871389">
        <w:rPr>
          <w:b/>
        </w:rPr>
        <w:t>Sustainable Economic Level of Leakage</w:t>
      </w:r>
    </w:p>
    <w:p w:rsidR="00AB5B6F" w:rsidRDefault="00AB5B6F" w:rsidP="00AB5B6F">
      <w:r>
        <w:t xml:space="preserve">In the </w:t>
      </w:r>
      <w:r w:rsidR="00DC1C14">
        <w:t>past,</w:t>
      </w:r>
      <w:r>
        <w:t xml:space="preserve"> we have </w:t>
      </w:r>
      <w:r w:rsidR="00DC1C14">
        <w:t xml:space="preserve">sought </w:t>
      </w:r>
      <w:r w:rsidR="00DC1C14" w:rsidRPr="00A92B85">
        <w:t>to</w:t>
      </w:r>
      <w:r w:rsidRPr="00A92B85">
        <w:t xml:space="preserve"> balance the cost of leakage activities against the cost of the water lost through the leaks (Figure </w:t>
      </w:r>
      <w:r w:rsidR="00E93C7F">
        <w:t>2</w:t>
      </w:r>
      <w:r w:rsidRPr="00A92B85">
        <w:t xml:space="preserve">). To determine the balance we take account of the costs of managing leakage, </w:t>
      </w:r>
      <w:r>
        <w:t xml:space="preserve">including detection and repair, </w:t>
      </w:r>
      <w:r w:rsidRPr="00A92B85">
        <w:t>the costs of producing the water that is lost through leaks, the impact on the environment of abstracting the water and the impacts on society of reducing leakage. The point where the total cost of all these activities is at its lowest is known as the sustainable economic level of leakage (SELL).</w:t>
      </w:r>
    </w:p>
    <w:p w:rsidR="00FD1CE4" w:rsidRDefault="00FD1CE4" w:rsidP="00AB5B6F">
      <w:r>
        <w:rPr>
          <w:noProof/>
        </w:rPr>
        <w:drawing>
          <wp:inline distT="0" distB="0" distL="0" distR="0" wp14:anchorId="5D8B03D0">
            <wp:extent cx="4876800" cy="308542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9576" cy="3099833"/>
                    </a:xfrm>
                    <a:prstGeom prst="rect">
                      <a:avLst/>
                    </a:prstGeom>
                    <a:noFill/>
                  </pic:spPr>
                </pic:pic>
              </a:graphicData>
            </a:graphic>
          </wp:inline>
        </w:drawing>
      </w:r>
    </w:p>
    <w:p w:rsidR="007B6DFB" w:rsidRPr="007B6DFB" w:rsidRDefault="007B6DFB" w:rsidP="007B6DFB">
      <w:pPr>
        <w:jc w:val="center"/>
        <w:rPr>
          <w:b/>
          <w:sz w:val="16"/>
          <w:szCs w:val="16"/>
        </w:rPr>
      </w:pPr>
      <w:r w:rsidRPr="007B6DFB">
        <w:rPr>
          <w:b/>
          <w:sz w:val="16"/>
          <w:szCs w:val="16"/>
        </w:rPr>
        <w:t>Figure 1</w:t>
      </w:r>
      <w:r w:rsidR="000D0839">
        <w:rPr>
          <w:b/>
          <w:sz w:val="16"/>
          <w:szCs w:val="16"/>
        </w:rPr>
        <w:t>: Portsmouth Water SELL at end of AMP – New Methodology</w:t>
      </w:r>
    </w:p>
    <w:p w:rsidR="00AB5B6F" w:rsidRPr="00A92B85" w:rsidRDefault="00AB5B6F" w:rsidP="00AB5B6F">
      <w:r w:rsidRPr="00A92B85">
        <w:t xml:space="preserve">Our leakage should not rise above this point and, historically, leakage targets and performance commitment levels were informed by the SELL. This in theory delivers the most benefit to customers. </w:t>
      </w:r>
    </w:p>
    <w:p w:rsidR="00AB5B6F" w:rsidRPr="00A92B85" w:rsidRDefault="00FD1CE4" w:rsidP="00AB5B6F">
      <w:r>
        <w:t xml:space="preserve">Over the past 25 years Portsmouth Water </w:t>
      </w:r>
      <w:r w:rsidR="00930199">
        <w:t xml:space="preserve">has been delivering customers value for money through generating efficiencies in leakage reduction and dropping the SELL by over 2 Ml/d as promised in the PR14 Business Plan.  </w:t>
      </w:r>
      <w:r w:rsidR="00DC1C14">
        <w:t xml:space="preserve">However, </w:t>
      </w:r>
      <w:r w:rsidR="00DC1C14" w:rsidRPr="00A92B85">
        <w:t>the</w:t>
      </w:r>
      <w:r w:rsidR="00AB5B6F" w:rsidRPr="00A92B85">
        <w:t xml:space="preserve"> Water UK report, ‘Water resources long-term planning framework (2015-2065)’</w:t>
      </w:r>
      <w:r w:rsidR="00AB5B6F">
        <w:t xml:space="preserve"> (</w:t>
      </w:r>
      <w:r w:rsidR="00AB5B6F" w:rsidRPr="0029130D">
        <w:t xml:space="preserve">see </w:t>
      </w:r>
      <w:r w:rsidR="0029130D">
        <w:t>A</w:t>
      </w:r>
      <w:r w:rsidR="00AB5B6F" w:rsidRPr="0029130D">
        <w:t xml:space="preserve">ppendix </w:t>
      </w:r>
      <w:r w:rsidR="0029130D" w:rsidRPr="0029130D">
        <w:t>3.</w:t>
      </w:r>
      <w:r w:rsidR="0064283F">
        <w:t>5</w:t>
      </w:r>
      <w:r w:rsidR="00AB5B6F" w:rsidRPr="0029130D">
        <w:t>)</w:t>
      </w:r>
      <w:r w:rsidR="00AB5B6F" w:rsidRPr="00A92B85">
        <w:t>, identifies the need for more ambitious leakage reduction to respond to the increased risk of droughts. Reducing leakage is essential if we are to achieve a significant behavioural shift in customers’ attitudes towards reducing their own usage.</w:t>
      </w:r>
    </w:p>
    <w:p w:rsidR="00AB5B6F" w:rsidRPr="00871389" w:rsidRDefault="00AB5B6F" w:rsidP="00AB5B6F">
      <w:pPr>
        <w:rPr>
          <w:b/>
        </w:rPr>
      </w:pPr>
      <w:r w:rsidRPr="00871389">
        <w:rPr>
          <w:b/>
        </w:rPr>
        <w:t>Co</w:t>
      </w:r>
      <w:r>
        <w:rPr>
          <w:b/>
        </w:rPr>
        <w:t>nsistency</w:t>
      </w:r>
      <w:r w:rsidRPr="00871389">
        <w:rPr>
          <w:b/>
        </w:rPr>
        <w:t xml:space="preserve"> Methodology</w:t>
      </w:r>
    </w:p>
    <w:p w:rsidR="00AB5B6F" w:rsidRDefault="00AB5B6F" w:rsidP="00AB5B6F">
      <w:r w:rsidRPr="00A92B85">
        <w:t xml:space="preserve">A new ‘consistency’ methodology (Ofwat, 2018) to calculate leakage has been produced to ensure that there is consistent reporting between companies. This will be applied by all companies and will ensure the reported values of leakage are determined on a consistent basis. For Portsmouth Water the new methodology produces higher outturn leakage figures compared to PR14 that will increase the reported leakage by approximately 5.1 Ml/d. There is also the same increase in the SELL. This results in a restated leakage estimate of </w:t>
      </w:r>
      <w:r w:rsidRPr="004E3B74">
        <w:t>34.</w:t>
      </w:r>
      <w:r w:rsidRPr="00362775">
        <w:t>9</w:t>
      </w:r>
      <w:r w:rsidRPr="00A92B85">
        <w:t xml:space="preserve"> Ml/d, equating to almost 110 litres per property per day. </w:t>
      </w:r>
    </w:p>
    <w:p w:rsidR="00AB5B6F" w:rsidRPr="00A92B85" w:rsidRDefault="00AB5B6F" w:rsidP="00AB5B6F">
      <w:r w:rsidRPr="00A92B85">
        <w:t xml:space="preserve">The change in leakage figure does not represent a deterioration in terms of leakage control, only a rebasing of the leakage estimate. The new methodology uses a </w:t>
      </w:r>
      <w:r w:rsidR="00DC1C14" w:rsidRPr="00A92B85">
        <w:t>7-day</w:t>
      </w:r>
      <w:r w:rsidRPr="00A92B85">
        <w:t xml:space="preserve"> average of night flows rather than the </w:t>
      </w:r>
      <w:r w:rsidR="00DC1C14" w:rsidRPr="00A92B85">
        <w:t>7-day</w:t>
      </w:r>
      <w:r w:rsidRPr="00A92B85">
        <w:t xml:space="preserve"> minimum previously used. This change in the way leakage is calculated is the reason for the 5.1 Ml/d increase in our leakage figure.</w:t>
      </w:r>
    </w:p>
    <w:p w:rsidR="00AB5B6F" w:rsidRPr="00A92B85" w:rsidRDefault="00AB5B6F" w:rsidP="00AB5B6F">
      <w:r w:rsidRPr="00A92B85">
        <w:t xml:space="preserve">The WRMP is based on the new methodology and historic leakage performance has been re-based to be consistent with the new approach. </w:t>
      </w:r>
      <w:r w:rsidR="00FE5587">
        <w:t xml:space="preserve">We </w:t>
      </w:r>
      <w:r w:rsidRPr="00A92B85">
        <w:t>are confident in our Distribution Input figure. This means that the amount of water being abstracted, treated and put into the distribution network does not change. To compensate for a higher leakage estimate, historic unmeasured domestic usage</w:t>
      </w:r>
      <w:r w:rsidR="00FE5587">
        <w:t xml:space="preserve"> in particular</w:t>
      </w:r>
      <w:r w:rsidRPr="00A92B85">
        <w:t xml:space="preserve"> is reduced.</w:t>
      </w:r>
    </w:p>
    <w:p w:rsidR="00AB5B6F" w:rsidRPr="00871389" w:rsidRDefault="00AB5B6F" w:rsidP="00AB5B6F">
      <w:pPr>
        <w:rPr>
          <w:rFonts w:eastAsia="Times" w:cstheme="minorHAnsi"/>
          <w:b/>
          <w:color w:val="000000" w:themeColor="text1"/>
        </w:rPr>
      </w:pPr>
      <w:r w:rsidRPr="00871389">
        <w:rPr>
          <w:rFonts w:eastAsia="Times" w:cstheme="minorHAnsi"/>
          <w:b/>
          <w:color w:val="000000" w:themeColor="text1"/>
        </w:rPr>
        <w:t>Current Leakage Assessment</w:t>
      </w:r>
    </w:p>
    <w:p w:rsidR="00AB5B6F" w:rsidRDefault="00AB5B6F" w:rsidP="00AB5B6F">
      <w:r w:rsidRPr="00A92B85">
        <w:t>Tooms Moore Consulting (TMC) have been engaged by us to undertake a current leakage assessment, based on the new methodology</w:t>
      </w:r>
      <w:r w:rsidR="00BD4351">
        <w:t xml:space="preserve"> and taking into account the Water UK report</w:t>
      </w:r>
      <w:r w:rsidRPr="00A92B85">
        <w:t>.</w:t>
      </w:r>
      <w:r w:rsidR="00BD4351">
        <w:t xml:space="preserve"> </w:t>
      </w:r>
      <w:r w:rsidRPr="00A92B85">
        <w:t xml:space="preserve"> TMC undertook a full SELL appraisal </w:t>
      </w:r>
      <w:r>
        <w:t>(</w:t>
      </w:r>
      <w:r w:rsidR="0029130D">
        <w:t>See Appendix 3.</w:t>
      </w:r>
      <w:r w:rsidR="0064283F">
        <w:t>4</w:t>
      </w:r>
      <w:r w:rsidR="0029130D">
        <w:t xml:space="preserve"> </w:t>
      </w:r>
      <w:r>
        <w:t xml:space="preserve">Tooms Moore Consulting, Portsmouth Water SELL Assessment, 16/07/18), </w:t>
      </w:r>
      <w:r w:rsidRPr="00A92B85">
        <w:t xml:space="preserve">which included a review of the marginal cost of water. This reflects variable costs, such as power and chemicals, and the most expensive source. If water is saved through leakage </w:t>
      </w:r>
      <w:r w:rsidR="00DC1C14" w:rsidRPr="00A92B85">
        <w:t>control,</w:t>
      </w:r>
      <w:r w:rsidRPr="00A92B85">
        <w:t xml:space="preserve"> it is assumed that abstraction at the most expensive source is reduced. It also takes into account the environmental benefit of water.</w:t>
      </w:r>
    </w:p>
    <w:p w:rsidR="007F091B" w:rsidRDefault="00035624" w:rsidP="00035624">
      <w:pPr>
        <w:jc w:val="center"/>
      </w:pPr>
      <w:r w:rsidRPr="00035624">
        <w:rPr>
          <w:noProof/>
        </w:rPr>
        <w:drawing>
          <wp:inline distT="0" distB="0" distL="0" distR="0">
            <wp:extent cx="4794637" cy="2692787"/>
            <wp:effectExtent l="0" t="0" r="6350" b="0"/>
            <wp:docPr id="10" name="Picture 10" descr="C:\Users\kate.limb\AppData\Local\Microsoft\Windows\Temporary Internet Files\Content.Outlook\H218MZRM\20180829_PWC_SELL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limb\AppData\Local\Microsoft\Windows\Temporary Internet Files\Content.Outlook\H218MZRM\20180829_PWC_SELLGrap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1860" cy="2708076"/>
                    </a:xfrm>
                    <a:prstGeom prst="rect">
                      <a:avLst/>
                    </a:prstGeom>
                    <a:noFill/>
                    <a:ln>
                      <a:noFill/>
                    </a:ln>
                  </pic:spPr>
                </pic:pic>
              </a:graphicData>
            </a:graphic>
          </wp:inline>
        </w:drawing>
      </w:r>
    </w:p>
    <w:p w:rsidR="007F091B" w:rsidRPr="000D0839" w:rsidRDefault="007F091B" w:rsidP="007F091B">
      <w:pPr>
        <w:jc w:val="center"/>
        <w:rPr>
          <w:b/>
          <w:sz w:val="16"/>
          <w:szCs w:val="16"/>
        </w:rPr>
      </w:pPr>
      <w:r w:rsidRPr="000D0839">
        <w:rPr>
          <w:b/>
          <w:sz w:val="16"/>
          <w:szCs w:val="16"/>
        </w:rPr>
        <w:t>Figure 2: Portsmouth Water SELL Diagram</w:t>
      </w:r>
    </w:p>
    <w:p w:rsidR="00AB5B6F" w:rsidRPr="00A92B85" w:rsidRDefault="00BD4351" w:rsidP="00AB5B6F">
      <w:r>
        <w:t xml:space="preserve">The SELL appraisal identified that leakage could be economically reduced by 4.7 Ml/d, leading to a </w:t>
      </w:r>
      <w:r w:rsidR="000844DD">
        <w:t xml:space="preserve">central </w:t>
      </w:r>
      <w:r>
        <w:t xml:space="preserve">estimate of SELL of 29.5 Ml/d.  The estimated range of possible values, taking into account uncertainties in the central estimate is 27.6 to 33.7 Ml/d.  We will therefore set our 2024/25 target at 29.5 Ml/d.  </w:t>
      </w:r>
      <w:r w:rsidR="004D716C">
        <w:t xml:space="preserve">The SELL Appraisal is based on the new consistency methodology and similarities between the change in the rebased leakage figure and the proposed reduction are coincidental.  </w:t>
      </w:r>
      <w:r w:rsidR="00A50ABF">
        <w:t xml:space="preserve">Our target compares to an Unavoidable Real Losses (UARL) of approximately 17.7 Ml/d.  However, achieving this would require </w:t>
      </w:r>
      <w:r w:rsidR="00964B14">
        <w:t>Capex</w:t>
      </w:r>
      <w:r w:rsidR="00A50ABF">
        <w:t xml:space="preserve"> of £66million and have an annual </w:t>
      </w:r>
      <w:r>
        <w:t xml:space="preserve">increase in </w:t>
      </w:r>
      <w:r w:rsidR="00964B14">
        <w:t>Opex</w:t>
      </w:r>
      <w:r w:rsidR="00A50ABF">
        <w:t xml:space="preserve"> of £377k.</w:t>
      </w:r>
    </w:p>
    <w:p w:rsidR="00AB5B6F" w:rsidRPr="00544A95" w:rsidRDefault="00AB5B6F" w:rsidP="00AB5B6F">
      <w:pPr>
        <w:rPr>
          <w:b/>
        </w:rPr>
      </w:pPr>
      <w:r w:rsidRPr="00544A95">
        <w:rPr>
          <w:b/>
        </w:rPr>
        <w:t>Leakage Reduction Strategy</w:t>
      </w:r>
    </w:p>
    <w:p w:rsidR="00AB5B6F" w:rsidRPr="00A92B85" w:rsidRDefault="00AB5B6F" w:rsidP="00AB5B6F">
      <w:r>
        <w:t>We have</w:t>
      </w:r>
      <w:r w:rsidR="004D716C">
        <w:t xml:space="preserve"> currently</w:t>
      </w:r>
      <w:r>
        <w:t xml:space="preserve"> divided our</w:t>
      </w:r>
      <w:r w:rsidRPr="00A92B85">
        <w:t xml:space="preserve"> network into 88 Strategic Metered Area’s (SMA’s), each with an average of approximately 3,400 properties. This process is done to narrow down leakage and allow for more efficient active leakage control. All other companies have taken this process further in previous AMP’s, installing smaller District Metered Area’s (DMA’s) with around 500 properties in each. Our alternative approach to leakage reduction over the same period has been to place large portions of the network under pressure control and maintain a consistent level of mains renewal over successive AMPs. This approach has helped </w:t>
      </w:r>
      <w:r w:rsidR="00FE5587">
        <w:t xml:space="preserve">us </w:t>
      </w:r>
      <w:r w:rsidRPr="00A92B85">
        <w:t>maintain high levels of water quality an</w:t>
      </w:r>
      <w:r w:rsidR="004D716C">
        <w:t>d keep supply interruptions low, through limiting the number of ‘dead ends’ within the network.</w:t>
      </w:r>
    </w:p>
    <w:p w:rsidR="00AB5B6F" w:rsidRPr="00A92B85" w:rsidRDefault="00A50ABF" w:rsidP="00AB5B6F">
      <w:r>
        <w:t xml:space="preserve">The SELL Appraisal indicates that leakage could be economically reduced by 4.7Ml/d through further splitting down the distribution network.  </w:t>
      </w:r>
      <w:r w:rsidR="00AB5B6F" w:rsidRPr="00A92B85">
        <w:t xml:space="preserve">This could be achieved through the introduction of 59 smaller DMA’s, or through new innovative solutions such as fixed network noise logging </w:t>
      </w:r>
      <w:r w:rsidR="00AB5B6F">
        <w:t xml:space="preserve">and </w:t>
      </w:r>
      <w:r w:rsidR="00AB5B6F" w:rsidRPr="00A92B85">
        <w:t>intensive pressure logging. Table 1 shows the advantages and disadvantages of these methods.</w:t>
      </w:r>
    </w:p>
    <w:tbl>
      <w:tblPr>
        <w:tblStyle w:val="TableGrid"/>
        <w:tblW w:w="9185" w:type="dxa"/>
        <w:tblInd w:w="846" w:type="dxa"/>
        <w:tblLook w:val="04A0" w:firstRow="1" w:lastRow="0" w:firstColumn="1" w:lastColumn="0" w:noHBand="0" w:noVBand="1"/>
      </w:tblPr>
      <w:tblGrid>
        <w:gridCol w:w="1590"/>
        <w:gridCol w:w="1971"/>
        <w:gridCol w:w="2912"/>
        <w:gridCol w:w="2712"/>
      </w:tblGrid>
      <w:tr w:rsidR="00AB5B6F" w:rsidRPr="00772B39" w:rsidTr="002A60ED">
        <w:trPr>
          <w:trHeight w:val="221"/>
        </w:trPr>
        <w:tc>
          <w:tcPr>
            <w:tcW w:w="1590" w:type="dxa"/>
            <w:shd w:val="clear" w:color="auto" w:fill="2E74B5" w:themeFill="accent1" w:themeFillShade="BF"/>
          </w:tcPr>
          <w:p w:rsidR="00AB5B6F" w:rsidRPr="00772B39" w:rsidRDefault="00AB5B6F" w:rsidP="001D6930">
            <w:pPr>
              <w:tabs>
                <w:tab w:val="clear" w:pos="851"/>
              </w:tabs>
              <w:spacing w:before="20" w:after="20"/>
              <w:ind w:left="174"/>
              <w:jc w:val="left"/>
              <w:rPr>
                <w:rFonts w:cs="Arial"/>
                <w:b/>
                <w:color w:val="FFFFFF" w:themeColor="background1"/>
                <w:sz w:val="16"/>
                <w:szCs w:val="22"/>
              </w:rPr>
            </w:pPr>
          </w:p>
        </w:tc>
        <w:tc>
          <w:tcPr>
            <w:tcW w:w="1971" w:type="dxa"/>
            <w:shd w:val="clear" w:color="auto" w:fill="2E74B5" w:themeFill="accent1" w:themeFillShade="BF"/>
          </w:tcPr>
          <w:p w:rsidR="00AB5B6F" w:rsidRPr="00772B39" w:rsidRDefault="00AB5B6F" w:rsidP="001D6930">
            <w:pPr>
              <w:tabs>
                <w:tab w:val="clear" w:pos="851"/>
              </w:tabs>
              <w:spacing w:before="20" w:after="20"/>
              <w:ind w:left="0"/>
              <w:jc w:val="left"/>
              <w:rPr>
                <w:rFonts w:cs="Arial"/>
                <w:b/>
                <w:color w:val="FFFFFF" w:themeColor="background1"/>
                <w:sz w:val="16"/>
                <w:szCs w:val="22"/>
              </w:rPr>
            </w:pPr>
            <w:r w:rsidRPr="00772B39">
              <w:rPr>
                <w:rFonts w:cs="Arial"/>
                <w:b/>
                <w:color w:val="FFFFFF" w:themeColor="background1"/>
                <w:sz w:val="16"/>
                <w:szCs w:val="22"/>
              </w:rPr>
              <w:t>DMA</w:t>
            </w:r>
          </w:p>
        </w:tc>
        <w:tc>
          <w:tcPr>
            <w:tcW w:w="2912" w:type="dxa"/>
            <w:shd w:val="clear" w:color="auto" w:fill="2E74B5" w:themeFill="accent1" w:themeFillShade="BF"/>
          </w:tcPr>
          <w:p w:rsidR="00AB5B6F" w:rsidRPr="00772B39" w:rsidRDefault="00AB5B6F" w:rsidP="001D6930">
            <w:pPr>
              <w:tabs>
                <w:tab w:val="clear" w:pos="851"/>
              </w:tabs>
              <w:spacing w:before="20" w:after="20"/>
              <w:ind w:left="0"/>
              <w:jc w:val="left"/>
              <w:rPr>
                <w:rFonts w:cs="Arial"/>
                <w:b/>
                <w:color w:val="FFFFFF" w:themeColor="background1"/>
                <w:sz w:val="16"/>
                <w:szCs w:val="22"/>
              </w:rPr>
            </w:pPr>
            <w:r w:rsidRPr="00772B39">
              <w:rPr>
                <w:rFonts w:cs="Arial"/>
                <w:b/>
                <w:color w:val="FFFFFF" w:themeColor="background1"/>
                <w:sz w:val="16"/>
                <w:szCs w:val="22"/>
              </w:rPr>
              <w:t>Fixed Noise Logging Networks</w:t>
            </w:r>
          </w:p>
        </w:tc>
        <w:tc>
          <w:tcPr>
            <w:tcW w:w="2712" w:type="dxa"/>
            <w:shd w:val="clear" w:color="auto" w:fill="2E74B5" w:themeFill="accent1" w:themeFillShade="BF"/>
          </w:tcPr>
          <w:p w:rsidR="00AB5B6F" w:rsidRPr="00772B39" w:rsidRDefault="00AB5B6F" w:rsidP="001D6930">
            <w:pPr>
              <w:tabs>
                <w:tab w:val="clear" w:pos="851"/>
              </w:tabs>
              <w:spacing w:before="20" w:after="20"/>
              <w:ind w:left="-25"/>
              <w:jc w:val="left"/>
              <w:rPr>
                <w:rFonts w:cs="Arial"/>
                <w:b/>
                <w:color w:val="FFFFFF" w:themeColor="background1"/>
                <w:sz w:val="16"/>
                <w:szCs w:val="22"/>
              </w:rPr>
            </w:pPr>
            <w:r w:rsidRPr="00772B39">
              <w:rPr>
                <w:rFonts w:cs="Arial"/>
                <w:b/>
                <w:color w:val="FFFFFF" w:themeColor="background1"/>
                <w:sz w:val="16"/>
                <w:szCs w:val="22"/>
              </w:rPr>
              <w:t>Intensive Pressure Logging</w:t>
            </w:r>
          </w:p>
        </w:tc>
      </w:tr>
      <w:tr w:rsidR="00AB5B6F" w:rsidRPr="00772B39" w:rsidTr="002A60ED">
        <w:trPr>
          <w:trHeight w:val="1136"/>
        </w:trPr>
        <w:tc>
          <w:tcPr>
            <w:tcW w:w="1590" w:type="dxa"/>
          </w:tcPr>
          <w:p w:rsidR="00AB5B6F" w:rsidRPr="00772B39" w:rsidRDefault="00AB5B6F" w:rsidP="001D6930">
            <w:pPr>
              <w:tabs>
                <w:tab w:val="clear" w:pos="851"/>
              </w:tabs>
              <w:spacing w:before="20" w:after="20"/>
              <w:ind w:left="0"/>
              <w:rPr>
                <w:rFonts w:cs="Arial"/>
                <w:b/>
                <w:sz w:val="16"/>
                <w:szCs w:val="22"/>
              </w:rPr>
            </w:pPr>
            <w:r w:rsidRPr="00772B39">
              <w:rPr>
                <w:rFonts w:cs="Arial"/>
                <w:b/>
                <w:sz w:val="16"/>
                <w:szCs w:val="22"/>
              </w:rPr>
              <w:t>Advantages</w:t>
            </w:r>
          </w:p>
        </w:tc>
        <w:tc>
          <w:tcPr>
            <w:tcW w:w="1971" w:type="dxa"/>
          </w:tcPr>
          <w:p w:rsidR="00AB5B6F" w:rsidRPr="00772B39" w:rsidRDefault="00AB5B6F" w:rsidP="00AB5B6F">
            <w:pPr>
              <w:pStyle w:val="ListParagraph"/>
              <w:numPr>
                <w:ilvl w:val="0"/>
                <w:numId w:val="7"/>
              </w:numPr>
              <w:tabs>
                <w:tab w:val="clear" w:pos="851"/>
              </w:tabs>
              <w:spacing w:before="20" w:after="20" w:line="240" w:lineRule="auto"/>
              <w:rPr>
                <w:rFonts w:ascii="Arial" w:hAnsi="Arial" w:cs="Arial"/>
                <w:sz w:val="16"/>
              </w:rPr>
            </w:pPr>
            <w:r w:rsidRPr="00772B39">
              <w:rPr>
                <w:rFonts w:ascii="Arial" w:hAnsi="Arial" w:cs="Arial"/>
                <w:sz w:val="16"/>
              </w:rPr>
              <w:t>Tried and tested approach</w:t>
            </w:r>
          </w:p>
          <w:p w:rsidR="00AB5B6F" w:rsidRPr="00772B39" w:rsidRDefault="00AB5B6F" w:rsidP="00AB5B6F">
            <w:pPr>
              <w:pStyle w:val="ListParagraph"/>
              <w:numPr>
                <w:ilvl w:val="0"/>
                <w:numId w:val="7"/>
              </w:numPr>
              <w:tabs>
                <w:tab w:val="clear" w:pos="851"/>
              </w:tabs>
              <w:spacing w:before="20" w:after="20" w:line="240" w:lineRule="auto"/>
              <w:rPr>
                <w:rFonts w:ascii="Arial" w:hAnsi="Arial" w:cs="Arial"/>
                <w:sz w:val="16"/>
              </w:rPr>
            </w:pPr>
            <w:r w:rsidRPr="00772B39">
              <w:rPr>
                <w:rFonts w:ascii="Arial" w:hAnsi="Arial" w:cs="Arial"/>
                <w:sz w:val="16"/>
              </w:rPr>
              <w:t>Works equally well on all main types</w:t>
            </w:r>
          </w:p>
        </w:tc>
        <w:tc>
          <w:tcPr>
            <w:tcW w:w="2912" w:type="dxa"/>
          </w:tcPr>
          <w:p w:rsidR="00AB5B6F" w:rsidRPr="00772B39" w:rsidRDefault="00AB5B6F" w:rsidP="00AB5B6F">
            <w:pPr>
              <w:pStyle w:val="ListParagraph"/>
              <w:numPr>
                <w:ilvl w:val="0"/>
                <w:numId w:val="7"/>
              </w:numPr>
              <w:tabs>
                <w:tab w:val="clear" w:pos="851"/>
              </w:tabs>
              <w:spacing w:before="20" w:after="20" w:line="240" w:lineRule="auto"/>
              <w:rPr>
                <w:rFonts w:ascii="Arial" w:hAnsi="Arial" w:cs="Arial"/>
                <w:sz w:val="16"/>
              </w:rPr>
            </w:pPr>
            <w:r w:rsidRPr="00772B39">
              <w:rPr>
                <w:rFonts w:ascii="Arial" w:hAnsi="Arial" w:cs="Arial"/>
                <w:sz w:val="16"/>
              </w:rPr>
              <w:t>Proven to be successful by Affinity Water</w:t>
            </w:r>
          </w:p>
          <w:p w:rsidR="00AB5B6F" w:rsidRPr="00772B39" w:rsidRDefault="00AB5B6F" w:rsidP="00AB5B6F">
            <w:pPr>
              <w:pStyle w:val="ListParagraph"/>
              <w:numPr>
                <w:ilvl w:val="0"/>
                <w:numId w:val="7"/>
              </w:numPr>
              <w:tabs>
                <w:tab w:val="clear" w:pos="851"/>
              </w:tabs>
              <w:spacing w:before="20" w:after="20" w:line="240" w:lineRule="auto"/>
              <w:rPr>
                <w:rFonts w:ascii="Arial" w:hAnsi="Arial" w:cs="Arial"/>
                <w:sz w:val="16"/>
              </w:rPr>
            </w:pPr>
            <w:r w:rsidRPr="00772B39">
              <w:rPr>
                <w:rFonts w:ascii="Arial" w:hAnsi="Arial" w:cs="Arial"/>
                <w:sz w:val="16"/>
              </w:rPr>
              <w:t>Quick detection of leaks</w:t>
            </w:r>
          </w:p>
          <w:p w:rsidR="00AB5B6F" w:rsidRPr="00772B39" w:rsidRDefault="00AB5B6F" w:rsidP="00AB5B6F">
            <w:pPr>
              <w:pStyle w:val="ListParagraph"/>
              <w:numPr>
                <w:ilvl w:val="0"/>
                <w:numId w:val="7"/>
              </w:numPr>
              <w:tabs>
                <w:tab w:val="clear" w:pos="851"/>
              </w:tabs>
              <w:spacing w:before="20" w:after="20" w:line="240" w:lineRule="auto"/>
              <w:rPr>
                <w:rFonts w:ascii="Arial" w:hAnsi="Arial" w:cs="Arial"/>
                <w:sz w:val="16"/>
              </w:rPr>
            </w:pPr>
            <w:r w:rsidRPr="00772B39">
              <w:rPr>
                <w:rFonts w:ascii="Arial" w:hAnsi="Arial" w:cs="Arial"/>
                <w:sz w:val="16"/>
              </w:rPr>
              <w:t>Greater number of leaks detected</w:t>
            </w:r>
          </w:p>
        </w:tc>
        <w:tc>
          <w:tcPr>
            <w:tcW w:w="2712" w:type="dxa"/>
          </w:tcPr>
          <w:p w:rsidR="00AB5B6F" w:rsidRPr="00772B39" w:rsidRDefault="00AB5B6F" w:rsidP="00AB5B6F">
            <w:pPr>
              <w:pStyle w:val="ListParagraph"/>
              <w:numPr>
                <w:ilvl w:val="0"/>
                <w:numId w:val="7"/>
              </w:numPr>
              <w:tabs>
                <w:tab w:val="clear" w:pos="851"/>
              </w:tabs>
              <w:spacing w:before="20" w:after="20" w:line="240" w:lineRule="auto"/>
              <w:rPr>
                <w:rFonts w:ascii="Arial" w:hAnsi="Arial" w:cs="Arial"/>
                <w:sz w:val="16"/>
              </w:rPr>
            </w:pPr>
            <w:r w:rsidRPr="00772B39">
              <w:rPr>
                <w:rFonts w:ascii="Arial" w:hAnsi="Arial" w:cs="Arial"/>
                <w:sz w:val="16"/>
              </w:rPr>
              <w:t>Cheaper than fixed noise logging networks</w:t>
            </w:r>
          </w:p>
          <w:p w:rsidR="00AB5B6F" w:rsidRPr="00772B39" w:rsidRDefault="00AB5B6F" w:rsidP="00AB5B6F">
            <w:pPr>
              <w:pStyle w:val="ListParagraph"/>
              <w:numPr>
                <w:ilvl w:val="0"/>
                <w:numId w:val="7"/>
              </w:numPr>
              <w:tabs>
                <w:tab w:val="clear" w:pos="851"/>
              </w:tabs>
              <w:spacing w:before="20" w:after="20" w:line="240" w:lineRule="auto"/>
              <w:rPr>
                <w:rFonts w:ascii="Arial" w:hAnsi="Arial" w:cs="Arial"/>
                <w:sz w:val="16"/>
              </w:rPr>
            </w:pPr>
            <w:r w:rsidRPr="00772B39">
              <w:rPr>
                <w:rFonts w:ascii="Arial" w:hAnsi="Arial" w:cs="Arial"/>
                <w:sz w:val="16"/>
              </w:rPr>
              <w:t>Works well on plastic mains</w:t>
            </w:r>
          </w:p>
          <w:p w:rsidR="00AB5B6F" w:rsidRPr="00772B39" w:rsidRDefault="00AB5B6F" w:rsidP="00AB5B6F">
            <w:pPr>
              <w:pStyle w:val="ListParagraph"/>
              <w:numPr>
                <w:ilvl w:val="0"/>
                <w:numId w:val="7"/>
              </w:numPr>
              <w:tabs>
                <w:tab w:val="clear" w:pos="851"/>
              </w:tabs>
              <w:spacing w:before="20" w:after="20" w:line="240" w:lineRule="auto"/>
              <w:rPr>
                <w:rFonts w:ascii="Arial" w:hAnsi="Arial" w:cs="Arial"/>
                <w:sz w:val="16"/>
              </w:rPr>
            </w:pPr>
            <w:r w:rsidRPr="00772B39">
              <w:rPr>
                <w:rFonts w:ascii="Arial" w:hAnsi="Arial" w:cs="Arial"/>
                <w:sz w:val="16"/>
              </w:rPr>
              <w:t>Quick detection of leaks</w:t>
            </w:r>
          </w:p>
          <w:p w:rsidR="00AB5B6F" w:rsidRPr="00772B39" w:rsidRDefault="00AB5B6F" w:rsidP="00AB5B6F">
            <w:pPr>
              <w:pStyle w:val="ListParagraph"/>
              <w:numPr>
                <w:ilvl w:val="0"/>
                <w:numId w:val="7"/>
              </w:numPr>
              <w:tabs>
                <w:tab w:val="clear" w:pos="851"/>
              </w:tabs>
              <w:spacing w:before="20" w:after="20" w:line="240" w:lineRule="auto"/>
              <w:rPr>
                <w:rFonts w:ascii="Arial" w:hAnsi="Arial" w:cs="Arial"/>
                <w:sz w:val="16"/>
              </w:rPr>
            </w:pPr>
            <w:r w:rsidRPr="00772B39">
              <w:rPr>
                <w:rFonts w:ascii="Arial" w:hAnsi="Arial" w:cs="Arial"/>
                <w:sz w:val="16"/>
              </w:rPr>
              <w:t>Greater number of leaks detected</w:t>
            </w:r>
          </w:p>
        </w:tc>
      </w:tr>
      <w:tr w:rsidR="00AB5B6F" w:rsidRPr="00772B39" w:rsidTr="002A60ED">
        <w:trPr>
          <w:trHeight w:val="68"/>
        </w:trPr>
        <w:tc>
          <w:tcPr>
            <w:tcW w:w="1590" w:type="dxa"/>
          </w:tcPr>
          <w:p w:rsidR="00AB5B6F" w:rsidRPr="00772B39" w:rsidRDefault="00AB5B6F" w:rsidP="001D6930">
            <w:pPr>
              <w:tabs>
                <w:tab w:val="clear" w:pos="851"/>
              </w:tabs>
              <w:spacing w:before="20" w:after="20"/>
              <w:ind w:left="0"/>
              <w:rPr>
                <w:rFonts w:cs="Arial"/>
                <w:b/>
                <w:sz w:val="16"/>
                <w:szCs w:val="22"/>
              </w:rPr>
            </w:pPr>
            <w:r w:rsidRPr="00772B39">
              <w:rPr>
                <w:rFonts w:cs="Arial"/>
                <w:b/>
                <w:sz w:val="16"/>
                <w:szCs w:val="22"/>
              </w:rPr>
              <w:t>Disadvantages</w:t>
            </w:r>
          </w:p>
        </w:tc>
        <w:tc>
          <w:tcPr>
            <w:tcW w:w="1971" w:type="dxa"/>
          </w:tcPr>
          <w:p w:rsidR="00AB5B6F" w:rsidRPr="00772B39" w:rsidRDefault="00AB5B6F" w:rsidP="00AB5B6F">
            <w:pPr>
              <w:pStyle w:val="ListParagraph"/>
              <w:numPr>
                <w:ilvl w:val="0"/>
                <w:numId w:val="8"/>
              </w:numPr>
              <w:tabs>
                <w:tab w:val="clear" w:pos="851"/>
              </w:tabs>
              <w:spacing w:before="20" w:after="20" w:line="240" w:lineRule="auto"/>
              <w:rPr>
                <w:rFonts w:ascii="Arial" w:hAnsi="Arial" w:cs="Arial"/>
                <w:sz w:val="16"/>
              </w:rPr>
            </w:pPr>
            <w:r w:rsidRPr="00772B39">
              <w:rPr>
                <w:rFonts w:ascii="Arial" w:hAnsi="Arial" w:cs="Arial"/>
                <w:sz w:val="16"/>
              </w:rPr>
              <w:t>Water quality issues</w:t>
            </w:r>
          </w:p>
          <w:p w:rsidR="00AB5B6F" w:rsidRPr="00772B39" w:rsidRDefault="00AB5B6F" w:rsidP="00AB5B6F">
            <w:pPr>
              <w:pStyle w:val="ListParagraph"/>
              <w:numPr>
                <w:ilvl w:val="0"/>
                <w:numId w:val="8"/>
              </w:numPr>
              <w:tabs>
                <w:tab w:val="clear" w:pos="851"/>
              </w:tabs>
              <w:spacing w:before="20" w:after="20" w:line="240" w:lineRule="auto"/>
              <w:rPr>
                <w:rFonts w:ascii="Arial" w:hAnsi="Arial" w:cs="Arial"/>
                <w:sz w:val="16"/>
              </w:rPr>
            </w:pPr>
            <w:r w:rsidRPr="00772B39">
              <w:rPr>
                <w:rFonts w:ascii="Arial" w:hAnsi="Arial" w:cs="Arial"/>
                <w:sz w:val="16"/>
              </w:rPr>
              <w:t>Increased interruptions to supply for customers</w:t>
            </w:r>
          </w:p>
        </w:tc>
        <w:tc>
          <w:tcPr>
            <w:tcW w:w="2912" w:type="dxa"/>
          </w:tcPr>
          <w:p w:rsidR="00AB5B6F" w:rsidRPr="00772B39" w:rsidRDefault="00AB5B6F" w:rsidP="00AB5B6F">
            <w:pPr>
              <w:pStyle w:val="ListParagraph"/>
              <w:numPr>
                <w:ilvl w:val="0"/>
                <w:numId w:val="8"/>
              </w:numPr>
              <w:tabs>
                <w:tab w:val="clear" w:pos="851"/>
              </w:tabs>
              <w:spacing w:before="20" w:after="20" w:line="240" w:lineRule="auto"/>
              <w:rPr>
                <w:rFonts w:ascii="Arial" w:hAnsi="Arial" w:cs="Arial"/>
                <w:sz w:val="16"/>
              </w:rPr>
            </w:pPr>
            <w:r w:rsidRPr="00772B39">
              <w:rPr>
                <w:rFonts w:ascii="Arial" w:hAnsi="Arial" w:cs="Arial"/>
                <w:sz w:val="16"/>
              </w:rPr>
              <w:t xml:space="preserve">Costly </w:t>
            </w:r>
            <w:r w:rsidR="00964B14">
              <w:rPr>
                <w:rFonts w:ascii="Arial" w:hAnsi="Arial" w:cs="Arial"/>
                <w:sz w:val="16"/>
              </w:rPr>
              <w:t>Opex</w:t>
            </w:r>
            <w:r w:rsidRPr="00772B39">
              <w:rPr>
                <w:rFonts w:ascii="Arial" w:hAnsi="Arial" w:cs="Arial"/>
                <w:sz w:val="16"/>
              </w:rPr>
              <w:t xml:space="preserve"> (maintenance costs)</w:t>
            </w:r>
          </w:p>
          <w:p w:rsidR="00AB5B6F" w:rsidRPr="00772B39" w:rsidRDefault="00AB5B6F" w:rsidP="00AB5B6F">
            <w:pPr>
              <w:pStyle w:val="ListParagraph"/>
              <w:numPr>
                <w:ilvl w:val="0"/>
                <w:numId w:val="8"/>
              </w:numPr>
              <w:tabs>
                <w:tab w:val="clear" w:pos="851"/>
              </w:tabs>
              <w:spacing w:before="20" w:after="20" w:line="240" w:lineRule="auto"/>
              <w:rPr>
                <w:rFonts w:ascii="Arial" w:hAnsi="Arial" w:cs="Arial"/>
                <w:sz w:val="16"/>
              </w:rPr>
            </w:pPr>
            <w:r w:rsidRPr="00772B39">
              <w:rPr>
                <w:rFonts w:ascii="Arial" w:hAnsi="Arial" w:cs="Arial"/>
                <w:sz w:val="16"/>
              </w:rPr>
              <w:t>Unproven longevity of equipment.</w:t>
            </w:r>
          </w:p>
          <w:p w:rsidR="00AB5B6F" w:rsidRPr="00772B39" w:rsidRDefault="00AB5B6F" w:rsidP="00AB5B6F">
            <w:pPr>
              <w:pStyle w:val="ListParagraph"/>
              <w:numPr>
                <w:ilvl w:val="0"/>
                <w:numId w:val="8"/>
              </w:numPr>
              <w:tabs>
                <w:tab w:val="clear" w:pos="851"/>
              </w:tabs>
              <w:spacing w:before="20" w:after="20" w:line="240" w:lineRule="auto"/>
              <w:rPr>
                <w:rFonts w:ascii="Arial" w:hAnsi="Arial" w:cs="Arial"/>
                <w:sz w:val="16"/>
              </w:rPr>
            </w:pPr>
            <w:r w:rsidRPr="00772B39">
              <w:rPr>
                <w:rFonts w:ascii="Arial" w:hAnsi="Arial" w:cs="Arial"/>
                <w:sz w:val="16"/>
              </w:rPr>
              <w:t>Limited results on plastic mains</w:t>
            </w:r>
          </w:p>
          <w:p w:rsidR="00AB5B6F" w:rsidRPr="00772B39" w:rsidRDefault="00AB5B6F" w:rsidP="00AB5B6F">
            <w:pPr>
              <w:pStyle w:val="ListParagraph"/>
              <w:numPr>
                <w:ilvl w:val="0"/>
                <w:numId w:val="8"/>
              </w:numPr>
              <w:tabs>
                <w:tab w:val="clear" w:pos="851"/>
              </w:tabs>
              <w:spacing w:before="20" w:after="20" w:line="240" w:lineRule="auto"/>
              <w:rPr>
                <w:rFonts w:ascii="Arial" w:hAnsi="Arial" w:cs="Arial"/>
                <w:sz w:val="16"/>
              </w:rPr>
            </w:pPr>
            <w:r w:rsidRPr="00772B39">
              <w:rPr>
                <w:rFonts w:ascii="Arial" w:hAnsi="Arial" w:cs="Arial"/>
                <w:sz w:val="16"/>
              </w:rPr>
              <w:t>Signal issue in rural areas</w:t>
            </w:r>
          </w:p>
        </w:tc>
        <w:tc>
          <w:tcPr>
            <w:tcW w:w="2712" w:type="dxa"/>
          </w:tcPr>
          <w:p w:rsidR="00AB5B6F" w:rsidRPr="00772B39" w:rsidRDefault="00AB5B6F" w:rsidP="00AB5B6F">
            <w:pPr>
              <w:pStyle w:val="ListParagraph"/>
              <w:numPr>
                <w:ilvl w:val="0"/>
                <w:numId w:val="8"/>
              </w:numPr>
              <w:tabs>
                <w:tab w:val="clear" w:pos="851"/>
              </w:tabs>
              <w:spacing w:before="20" w:after="20" w:line="240" w:lineRule="auto"/>
              <w:rPr>
                <w:rFonts w:ascii="Arial" w:hAnsi="Arial" w:cs="Arial"/>
                <w:sz w:val="16"/>
              </w:rPr>
            </w:pPr>
            <w:r w:rsidRPr="00772B39">
              <w:rPr>
                <w:rFonts w:ascii="Arial" w:hAnsi="Arial" w:cs="Arial"/>
                <w:sz w:val="16"/>
              </w:rPr>
              <w:t>Unproven method</w:t>
            </w:r>
          </w:p>
          <w:p w:rsidR="00AB5B6F" w:rsidRPr="00772B39" w:rsidRDefault="00AB5B6F" w:rsidP="00AB5B6F">
            <w:pPr>
              <w:pStyle w:val="ListParagraph"/>
              <w:numPr>
                <w:ilvl w:val="0"/>
                <w:numId w:val="8"/>
              </w:numPr>
              <w:tabs>
                <w:tab w:val="clear" w:pos="851"/>
              </w:tabs>
              <w:spacing w:before="20" w:after="20" w:line="240" w:lineRule="auto"/>
              <w:rPr>
                <w:rFonts w:ascii="Arial" w:hAnsi="Arial" w:cs="Arial"/>
                <w:sz w:val="16"/>
              </w:rPr>
            </w:pPr>
            <w:r w:rsidRPr="00772B39">
              <w:rPr>
                <w:rFonts w:ascii="Arial" w:hAnsi="Arial" w:cs="Arial"/>
                <w:sz w:val="16"/>
              </w:rPr>
              <w:t>Will have limited results on oversized networks</w:t>
            </w:r>
          </w:p>
          <w:p w:rsidR="00AB5B6F" w:rsidRPr="00772B39" w:rsidRDefault="00AB5B6F" w:rsidP="00AB5B6F">
            <w:pPr>
              <w:pStyle w:val="ListParagraph"/>
              <w:numPr>
                <w:ilvl w:val="0"/>
                <w:numId w:val="8"/>
              </w:numPr>
              <w:tabs>
                <w:tab w:val="clear" w:pos="851"/>
              </w:tabs>
              <w:spacing w:before="20" w:after="20" w:line="240" w:lineRule="auto"/>
              <w:rPr>
                <w:rFonts w:ascii="Arial" w:hAnsi="Arial" w:cs="Arial"/>
                <w:sz w:val="16"/>
              </w:rPr>
            </w:pPr>
            <w:r w:rsidRPr="00772B39">
              <w:rPr>
                <w:rFonts w:ascii="Arial" w:hAnsi="Arial" w:cs="Arial"/>
                <w:sz w:val="16"/>
              </w:rPr>
              <w:t>Expensive cost of data</w:t>
            </w:r>
          </w:p>
        </w:tc>
      </w:tr>
    </w:tbl>
    <w:p w:rsidR="00AB5B6F" w:rsidRPr="00772B39" w:rsidRDefault="00AB5B6F" w:rsidP="00AB5B6F">
      <w:pPr>
        <w:jc w:val="center"/>
        <w:rPr>
          <w:i/>
          <w:sz w:val="16"/>
          <w:szCs w:val="16"/>
        </w:rPr>
      </w:pPr>
      <w:r w:rsidRPr="00772B39">
        <w:rPr>
          <w:i/>
          <w:sz w:val="16"/>
          <w:szCs w:val="16"/>
        </w:rPr>
        <w:t>Table 1: Advantages and Disadvantages of Leakage Reduction Methods</w:t>
      </w:r>
    </w:p>
    <w:p w:rsidR="00AB5B6F" w:rsidRPr="00A92B85" w:rsidRDefault="00AB5B6F" w:rsidP="00AB5B6F">
      <w:r w:rsidRPr="00A92B85">
        <w:t xml:space="preserve">Whilst we are determined to reduce leakage, we are not willing to compromise on water quality and customer interruptions. It is expected that, depending on the area, both Fixed Noise Logging Networks and Intensive Pressure Logging will be innovative solutions that will increase the number of leaks detected and reduce the run times of these leaks. </w:t>
      </w:r>
      <w:r w:rsidR="00A50ABF">
        <w:t>Currently</w:t>
      </w:r>
      <w:r w:rsidR="00FE5587">
        <w:t>,</w:t>
      </w:r>
      <w:r w:rsidR="00A50ABF">
        <w:t xml:space="preserve"> Fixed Noise Logging Networks is preferred over Intensive Pressure </w:t>
      </w:r>
      <w:r w:rsidR="00DC1C14">
        <w:t>Logging,</w:t>
      </w:r>
      <w:r w:rsidR="00A50ABF">
        <w:t xml:space="preserve"> as it has been extensively proven by us and others to reduce leakage by at least 20% in areas of the network where it has been deployed.  In comparison, Intensive Pressure Logging is still unproven. </w:t>
      </w:r>
    </w:p>
    <w:p w:rsidR="00AB5B6F" w:rsidRPr="00A92B85" w:rsidRDefault="00AB5B6F" w:rsidP="00AB5B6F">
      <w:r w:rsidRPr="00A92B85">
        <w:t xml:space="preserve">The Company’s strategy for 2020-25 is to implement new technology in the form of Fixed Noise Logging Networks rather than introduce DMA’s wherever possible. </w:t>
      </w:r>
      <w:r w:rsidR="00FE5587">
        <w:t xml:space="preserve">We </w:t>
      </w:r>
      <w:r w:rsidRPr="00A92B85">
        <w:t>will also look to</w:t>
      </w:r>
      <w:r w:rsidR="00151118">
        <w:t xml:space="preserve"> prove</w:t>
      </w:r>
      <w:r w:rsidRPr="00A92B85">
        <w:t xml:space="preserve"> the potential of intensive pressure logging throughout this period</w:t>
      </w:r>
      <w:r>
        <w:t xml:space="preserve"> to supplement fixed logging</w:t>
      </w:r>
      <w:r w:rsidR="001D08E4">
        <w:t xml:space="preserve"> and ensure that customers are getting the best value for money</w:t>
      </w:r>
      <w:r>
        <w:t>.  Artificial intelligence technologies such as smart water software will also be explored to provide real time monitoring to maximise logging effectiveness</w:t>
      </w:r>
      <w:r w:rsidRPr="00A92B85">
        <w:t>. Progress in reducing the risks associated with these ambitious goals has already started, with:</w:t>
      </w:r>
    </w:p>
    <w:p w:rsidR="00AB5B6F" w:rsidRPr="00A92B85" w:rsidRDefault="001D08E4" w:rsidP="00AB5B6F">
      <w:pPr>
        <w:pStyle w:val="Bullets"/>
      </w:pPr>
      <w:r>
        <w:t xml:space="preserve">Trials to improve the performance and validate the long-term effectiveness of fixed </w:t>
      </w:r>
      <w:r w:rsidR="00DC1C14">
        <w:t>noise-logging</w:t>
      </w:r>
      <w:r>
        <w:t xml:space="preserve"> networks.</w:t>
      </w:r>
    </w:p>
    <w:p w:rsidR="00AB5B6F" w:rsidRDefault="00AB5B6F" w:rsidP="00AB5B6F">
      <w:pPr>
        <w:pStyle w:val="Bullets"/>
      </w:pPr>
      <w:r w:rsidRPr="00A92B85">
        <w:t>Installation of Sigfox, an Internet of Things network, to reduce cost of data transfer and improve signal coverage.</w:t>
      </w:r>
      <w:r w:rsidR="001D08E4">
        <w:t xml:space="preserve"> We are the first UK water company to use ‘internet of things’ (IoT) technology to detect network leaks.  This technology is also being used for smart metering.</w:t>
      </w:r>
    </w:p>
    <w:p w:rsidR="00AB5B6F" w:rsidRDefault="00AB5B6F" w:rsidP="00AB5B6F">
      <w:pPr>
        <w:pStyle w:val="Bullets"/>
      </w:pPr>
      <w:r>
        <w:t>Exploration of current advanced analytics technologies</w:t>
      </w:r>
    </w:p>
    <w:p w:rsidR="00011015" w:rsidRDefault="00011015" w:rsidP="00011015">
      <w:pPr>
        <w:pStyle w:val="Bullets"/>
        <w:numPr>
          <w:ilvl w:val="0"/>
          <w:numId w:val="0"/>
        </w:numPr>
        <w:ind w:left="1494"/>
      </w:pPr>
    </w:p>
    <w:p w:rsidR="004D716C" w:rsidRPr="00A92B85" w:rsidRDefault="00AB5B6F" w:rsidP="00AB5B6F">
      <w:r w:rsidRPr="00A92B85">
        <w:t xml:space="preserve">It is expected that through these innovations, </w:t>
      </w:r>
      <w:r w:rsidR="00FE5587">
        <w:t xml:space="preserve">we </w:t>
      </w:r>
      <w:r w:rsidRPr="00A92B85">
        <w:t>will be able to match the estimated leakage reduction of almost 5 Ml/d (15%) that the introduction of DMA’s would bring, at a lower cost to customers.</w:t>
      </w:r>
      <w:r w:rsidR="0074163F">
        <w:t xml:space="preserve">  </w:t>
      </w:r>
      <w:r w:rsidR="004D716C">
        <w:t>For more on innovation, please see Section 7.3.</w:t>
      </w:r>
    </w:p>
    <w:p w:rsidR="00AB5B6F" w:rsidRPr="00162138" w:rsidRDefault="00AB5B6F" w:rsidP="00AB5B6F">
      <w:pPr>
        <w:rPr>
          <w:b/>
        </w:rPr>
      </w:pPr>
      <w:r w:rsidRPr="00162138">
        <w:rPr>
          <w:b/>
        </w:rPr>
        <w:t>Reporting</w:t>
      </w:r>
    </w:p>
    <w:p w:rsidR="00AB5B6F" w:rsidRDefault="00AB5B6F" w:rsidP="00AB5B6F">
      <w:pPr>
        <w:rPr>
          <w:rFonts w:eastAsia="Times" w:cstheme="minorHAnsi"/>
          <w:color w:val="000000" w:themeColor="text1"/>
        </w:rPr>
      </w:pPr>
      <w:r>
        <w:t>Leakage can be dependent on the weather and an exceptionally cold winter can adversely impact the leakage for that year. We believe it is appropriate to report leakage levels on a consistent basis using a three-year average and using financial years. This is also a requirement of the new ‘consistency’ methodology.</w:t>
      </w:r>
    </w:p>
    <w:p w:rsidR="00AB5B6F" w:rsidRPr="00544A95" w:rsidRDefault="00AB5B6F" w:rsidP="00AB5B6F">
      <w:pPr>
        <w:rPr>
          <w:b/>
        </w:rPr>
      </w:pPr>
      <w:r w:rsidRPr="00544A95">
        <w:rPr>
          <w:b/>
        </w:rPr>
        <w:t>Cost of Delivering Strategy</w:t>
      </w:r>
    </w:p>
    <w:tbl>
      <w:tblPr>
        <w:tblStyle w:val="TableGrid"/>
        <w:tblW w:w="0" w:type="auto"/>
        <w:tblInd w:w="851" w:type="dxa"/>
        <w:tblLook w:val="04A0" w:firstRow="1" w:lastRow="0" w:firstColumn="1" w:lastColumn="0" w:noHBand="0" w:noVBand="1"/>
      </w:tblPr>
      <w:tblGrid>
        <w:gridCol w:w="5381"/>
        <w:gridCol w:w="2410"/>
        <w:gridCol w:w="986"/>
      </w:tblGrid>
      <w:tr w:rsidR="00AB5B6F" w:rsidRPr="00A92B85" w:rsidTr="001D6930">
        <w:tc>
          <w:tcPr>
            <w:tcW w:w="5381"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AB5B6F" w:rsidRPr="00B73C0A" w:rsidRDefault="00AB5B6F" w:rsidP="001D6930">
            <w:pPr>
              <w:ind w:left="0"/>
              <w:rPr>
                <w:rFonts w:eastAsia="Times" w:cstheme="minorHAnsi"/>
                <w:b/>
                <w:color w:val="FFFFFF" w:themeColor="background1"/>
                <w:sz w:val="16"/>
                <w:szCs w:val="16"/>
              </w:rPr>
            </w:pPr>
            <w:r w:rsidRPr="00B73C0A">
              <w:rPr>
                <w:rFonts w:eastAsia="Times" w:cstheme="minorHAnsi"/>
                <w:b/>
                <w:color w:val="FFFFFF" w:themeColor="background1"/>
                <w:sz w:val="16"/>
                <w:szCs w:val="16"/>
              </w:rPr>
              <w:t>Proposed Intervention</w:t>
            </w:r>
          </w:p>
        </w:tc>
        <w:tc>
          <w:tcPr>
            <w:tcW w:w="2410"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AB5B6F" w:rsidRPr="00B73C0A" w:rsidRDefault="00AB5B6F" w:rsidP="001D6930">
            <w:pPr>
              <w:ind w:left="0"/>
              <w:rPr>
                <w:rFonts w:eastAsia="Times" w:cstheme="minorHAnsi"/>
                <w:b/>
                <w:color w:val="FFFFFF" w:themeColor="background1"/>
                <w:sz w:val="16"/>
                <w:szCs w:val="16"/>
              </w:rPr>
            </w:pPr>
            <w:r w:rsidRPr="00B73C0A">
              <w:rPr>
                <w:rFonts w:eastAsia="Times" w:cstheme="minorHAnsi"/>
                <w:b/>
                <w:color w:val="FFFFFF" w:themeColor="background1"/>
                <w:sz w:val="16"/>
                <w:szCs w:val="16"/>
              </w:rPr>
              <w:t>Support</w:t>
            </w:r>
          </w:p>
        </w:tc>
        <w:tc>
          <w:tcPr>
            <w:tcW w:w="986"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AB5B6F" w:rsidRPr="00B73C0A" w:rsidRDefault="00AB5B6F" w:rsidP="001D6930">
            <w:pPr>
              <w:ind w:left="0"/>
              <w:rPr>
                <w:rFonts w:eastAsia="Times" w:cstheme="minorHAnsi"/>
                <w:b/>
                <w:color w:val="FFFFFF" w:themeColor="background1"/>
                <w:sz w:val="16"/>
                <w:szCs w:val="16"/>
              </w:rPr>
            </w:pPr>
            <w:r w:rsidRPr="00B73C0A">
              <w:rPr>
                <w:rFonts w:eastAsia="Times" w:cstheme="minorHAnsi"/>
                <w:b/>
                <w:color w:val="FFFFFF" w:themeColor="background1"/>
                <w:sz w:val="16"/>
                <w:szCs w:val="16"/>
              </w:rPr>
              <w:t>Cost</w:t>
            </w:r>
          </w:p>
        </w:tc>
      </w:tr>
      <w:tr w:rsidR="00AB5B6F" w:rsidRPr="00A92B85" w:rsidTr="001D6930">
        <w:tc>
          <w:tcPr>
            <w:tcW w:w="5381" w:type="dxa"/>
            <w:tcBorders>
              <w:top w:val="single" w:sz="4" w:space="0" w:color="auto"/>
              <w:left w:val="single" w:sz="4" w:space="0" w:color="auto"/>
              <w:bottom w:val="single" w:sz="4" w:space="0" w:color="auto"/>
              <w:right w:val="single" w:sz="4" w:space="0" w:color="auto"/>
            </w:tcBorders>
            <w:hideMark/>
          </w:tcPr>
          <w:p w:rsidR="00AB5B6F" w:rsidRPr="00A92B85" w:rsidRDefault="00AB5B6F" w:rsidP="001D6930">
            <w:pPr>
              <w:spacing w:after="0"/>
              <w:ind w:left="0"/>
              <w:rPr>
                <w:rFonts w:eastAsia="Times" w:cstheme="minorHAnsi"/>
                <w:color w:val="000000" w:themeColor="text1"/>
                <w:sz w:val="16"/>
                <w:szCs w:val="16"/>
              </w:rPr>
            </w:pPr>
            <w:r w:rsidRPr="00A92B85">
              <w:rPr>
                <w:rFonts w:eastAsia="Times" w:cstheme="minorHAnsi"/>
                <w:color w:val="000000" w:themeColor="text1"/>
                <w:sz w:val="16"/>
                <w:szCs w:val="16"/>
              </w:rPr>
              <w:t>Deploy fixed network monitoring across the distribution network.</w:t>
            </w:r>
          </w:p>
        </w:tc>
        <w:tc>
          <w:tcPr>
            <w:tcW w:w="2410" w:type="dxa"/>
            <w:tcBorders>
              <w:top w:val="single" w:sz="4" w:space="0" w:color="auto"/>
              <w:left w:val="single" w:sz="4" w:space="0" w:color="auto"/>
              <w:bottom w:val="single" w:sz="4" w:space="0" w:color="auto"/>
              <w:right w:val="single" w:sz="4" w:space="0" w:color="auto"/>
            </w:tcBorders>
            <w:hideMark/>
          </w:tcPr>
          <w:p w:rsidR="00AB5B6F" w:rsidRPr="00A92B85" w:rsidRDefault="00AB5B6F" w:rsidP="001D6930">
            <w:pPr>
              <w:spacing w:after="0"/>
              <w:ind w:left="0"/>
              <w:rPr>
                <w:rFonts w:eastAsia="Times" w:cstheme="minorHAnsi"/>
                <w:color w:val="000000" w:themeColor="text1"/>
                <w:sz w:val="16"/>
                <w:szCs w:val="16"/>
              </w:rPr>
            </w:pPr>
            <w:r w:rsidRPr="00A92B85">
              <w:rPr>
                <w:rFonts w:eastAsia="Times" w:cstheme="minorHAnsi"/>
                <w:color w:val="000000" w:themeColor="text1"/>
                <w:sz w:val="16"/>
                <w:szCs w:val="16"/>
              </w:rPr>
              <w:t xml:space="preserve">Customers, </w:t>
            </w:r>
            <w:r w:rsidR="00E76864">
              <w:rPr>
                <w:rFonts w:eastAsia="Times" w:cstheme="minorHAnsi"/>
                <w:color w:val="000000" w:themeColor="text1"/>
                <w:sz w:val="16"/>
                <w:szCs w:val="16"/>
              </w:rPr>
              <w:t>DEFRA</w:t>
            </w:r>
            <w:r w:rsidRPr="00A92B85">
              <w:rPr>
                <w:rFonts w:eastAsia="Times" w:cstheme="minorHAnsi"/>
                <w:color w:val="000000" w:themeColor="text1"/>
                <w:sz w:val="16"/>
                <w:szCs w:val="16"/>
              </w:rPr>
              <w:t>, EA.</w:t>
            </w:r>
          </w:p>
        </w:tc>
        <w:tc>
          <w:tcPr>
            <w:tcW w:w="986" w:type="dxa"/>
            <w:tcBorders>
              <w:top w:val="single" w:sz="4" w:space="0" w:color="auto"/>
              <w:left w:val="single" w:sz="4" w:space="0" w:color="auto"/>
              <w:bottom w:val="single" w:sz="4" w:space="0" w:color="auto"/>
              <w:right w:val="single" w:sz="4" w:space="0" w:color="auto"/>
            </w:tcBorders>
            <w:hideMark/>
          </w:tcPr>
          <w:p w:rsidR="00AB5B6F" w:rsidRPr="00A92B85" w:rsidRDefault="00AB5B6F" w:rsidP="001D6930">
            <w:pPr>
              <w:spacing w:after="0"/>
              <w:ind w:left="0"/>
              <w:rPr>
                <w:rFonts w:eastAsia="Times" w:cstheme="minorHAnsi"/>
                <w:color w:val="000000" w:themeColor="text1"/>
                <w:sz w:val="16"/>
                <w:szCs w:val="16"/>
              </w:rPr>
            </w:pPr>
            <w:r w:rsidRPr="00A92B85">
              <w:rPr>
                <w:rFonts w:eastAsia="Times" w:cstheme="minorHAnsi"/>
                <w:color w:val="000000" w:themeColor="text1"/>
                <w:sz w:val="16"/>
                <w:szCs w:val="16"/>
              </w:rPr>
              <w:t>£1.547m</w:t>
            </w:r>
          </w:p>
        </w:tc>
      </w:tr>
    </w:tbl>
    <w:p w:rsidR="00772B39" w:rsidRDefault="00772B39" w:rsidP="00BE1AC5">
      <w:pPr>
        <w:spacing w:after="0"/>
        <w:rPr>
          <w:rFonts w:eastAsia="Times" w:cstheme="minorHAnsi"/>
          <w:color w:val="000000" w:themeColor="text1"/>
        </w:rPr>
      </w:pPr>
    </w:p>
    <w:p w:rsidR="0069261D" w:rsidRDefault="004E163C" w:rsidP="004E163C">
      <w:pPr>
        <w:pStyle w:val="Heading3"/>
        <w:rPr>
          <w:rFonts w:eastAsia="Times"/>
        </w:rPr>
      </w:pPr>
      <w:bookmarkStart w:id="68" w:name="_Toc522199984"/>
      <w:bookmarkStart w:id="69" w:name="_Toc522200081"/>
      <w:bookmarkStart w:id="70" w:name="_Toc523651261"/>
      <w:r>
        <w:rPr>
          <w:rFonts w:eastAsia="Times"/>
        </w:rPr>
        <w:t>Securing Long Term Resilience</w:t>
      </w:r>
      <w:bookmarkEnd w:id="68"/>
      <w:bookmarkEnd w:id="69"/>
      <w:bookmarkEnd w:id="70"/>
    </w:p>
    <w:p w:rsidR="00AB5B6F" w:rsidRDefault="00FE5587" w:rsidP="00AB5B6F">
      <w:r>
        <w:t xml:space="preserve">We </w:t>
      </w:r>
      <w:r w:rsidR="00AB5B6F">
        <w:t xml:space="preserve">understand the importance of resilience in maintaining services to customers and protecting the environment. Climate change and extreme weather mean that the Company must constantly review and invest in resilience to ensure that we continue to meet customer expectations and regulatory targets. </w:t>
      </w:r>
    </w:p>
    <w:p w:rsidR="00AB5B6F" w:rsidRDefault="00AB5B6F" w:rsidP="00AB5B6F">
      <w:r>
        <w:t xml:space="preserve">Leakage can play a big part in improving resilience, through helping to improve the supply demand balance, allowing increased water trading, lowering bursts, </w:t>
      </w:r>
      <w:r w:rsidR="00FE5587">
        <w:t xml:space="preserve">reducing </w:t>
      </w:r>
      <w:r>
        <w:t xml:space="preserve">costs, improving incident management, and encouraging customer water efficiency. </w:t>
      </w:r>
    </w:p>
    <w:p w:rsidR="00DC0EAC" w:rsidRDefault="00AB5B6F" w:rsidP="00AB5B6F">
      <w:r>
        <w:t>Our ambition</w:t>
      </w:r>
      <w:r w:rsidR="00067353">
        <w:t xml:space="preserve"> is</w:t>
      </w:r>
      <w:r>
        <w:t xml:space="preserve"> to be a low leakage, low </w:t>
      </w:r>
      <w:r w:rsidR="009258ED">
        <w:t>PCC</w:t>
      </w:r>
      <w:r>
        <w:t xml:space="preserve"> company.  By delivering a 15% reduction in leakage in AMP 7 and 5% in subsequent AMP’s we will have a strong basis on which to encourage customer behavioural change.</w:t>
      </w:r>
      <w:r w:rsidR="004D716C">
        <w:t xml:space="preserve">  This will be delivered through further innovation.</w:t>
      </w:r>
    </w:p>
    <w:p w:rsidR="00D70395" w:rsidRDefault="00D70395" w:rsidP="00D70395">
      <w:pPr>
        <w:spacing w:after="0"/>
        <w:rPr>
          <w:color w:val="2E74B5" w:themeColor="accent1" w:themeShade="BF"/>
        </w:rPr>
      </w:pPr>
      <w:r w:rsidRPr="005471C9">
        <w:rPr>
          <w:color w:val="2E74B5" w:themeColor="accent1" w:themeShade="BF"/>
        </w:rPr>
        <w:t>Appendices relevant to this section</w:t>
      </w:r>
    </w:p>
    <w:tbl>
      <w:tblPr>
        <w:tblStyle w:val="TableGrid22"/>
        <w:tblpPr w:leftFromText="180" w:rightFromText="180" w:vertAnchor="text" w:horzAnchor="page" w:tblpX="1842" w:tblpY="183"/>
        <w:tblW w:w="0" w:type="auto"/>
        <w:tblLook w:val="04A0" w:firstRow="1" w:lastRow="0" w:firstColumn="1" w:lastColumn="0" w:noHBand="0" w:noVBand="1"/>
      </w:tblPr>
      <w:tblGrid>
        <w:gridCol w:w="1838"/>
        <w:gridCol w:w="5670"/>
        <w:gridCol w:w="1843"/>
      </w:tblGrid>
      <w:tr w:rsidR="00D70395" w:rsidRPr="001E0DCD" w:rsidTr="009F4044">
        <w:tc>
          <w:tcPr>
            <w:tcW w:w="1838" w:type="dxa"/>
            <w:shd w:val="clear" w:color="auto" w:fill="2E74B5" w:themeFill="accent1" w:themeFillShade="BF"/>
          </w:tcPr>
          <w:p w:rsidR="00D70395" w:rsidRPr="001E0DCD" w:rsidRDefault="00D70395" w:rsidP="009F4044">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5670" w:type="dxa"/>
            <w:shd w:val="clear" w:color="auto" w:fill="2E74B5" w:themeFill="accent1" w:themeFillShade="BF"/>
          </w:tcPr>
          <w:p w:rsidR="00D70395" w:rsidRPr="001E0DCD" w:rsidRDefault="00D70395" w:rsidP="009F4044">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843" w:type="dxa"/>
            <w:shd w:val="clear" w:color="auto" w:fill="2E74B5" w:themeFill="accent1" w:themeFillShade="BF"/>
          </w:tcPr>
          <w:p w:rsidR="00D70395" w:rsidRPr="001E0DCD" w:rsidRDefault="00D70395" w:rsidP="009F4044">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D70395" w:rsidRPr="001E0DCD" w:rsidTr="009F4044">
        <w:tc>
          <w:tcPr>
            <w:tcW w:w="1838" w:type="dxa"/>
          </w:tcPr>
          <w:p w:rsidR="00D70395" w:rsidRPr="001E0DCD" w:rsidRDefault="00D70395" w:rsidP="009F4044">
            <w:pPr>
              <w:tabs>
                <w:tab w:val="clear" w:pos="851"/>
              </w:tabs>
              <w:spacing w:after="0"/>
              <w:ind w:left="0"/>
              <w:jc w:val="left"/>
              <w:rPr>
                <w:rFonts w:cs="Arial"/>
                <w:sz w:val="16"/>
                <w:szCs w:val="16"/>
              </w:rPr>
            </w:pPr>
            <w:r>
              <w:rPr>
                <w:rFonts w:cs="Arial"/>
                <w:sz w:val="16"/>
                <w:szCs w:val="16"/>
              </w:rPr>
              <w:t>2.4</w:t>
            </w:r>
          </w:p>
        </w:tc>
        <w:tc>
          <w:tcPr>
            <w:tcW w:w="5670" w:type="dxa"/>
          </w:tcPr>
          <w:p w:rsidR="00D70395" w:rsidRPr="001E0DCD" w:rsidRDefault="00D70395" w:rsidP="009F4044">
            <w:pPr>
              <w:tabs>
                <w:tab w:val="clear" w:pos="851"/>
              </w:tabs>
              <w:spacing w:after="0"/>
              <w:ind w:left="0"/>
              <w:jc w:val="left"/>
              <w:rPr>
                <w:rFonts w:cs="Arial"/>
                <w:sz w:val="16"/>
                <w:szCs w:val="16"/>
              </w:rPr>
            </w:pPr>
            <w:r>
              <w:rPr>
                <w:rFonts w:cs="Arial"/>
                <w:sz w:val="16"/>
                <w:szCs w:val="16"/>
              </w:rPr>
              <w:t>Customer Advisory Panel 1</w:t>
            </w:r>
          </w:p>
        </w:tc>
        <w:tc>
          <w:tcPr>
            <w:tcW w:w="1843" w:type="dxa"/>
          </w:tcPr>
          <w:p w:rsidR="00D70395" w:rsidRPr="001E0DCD" w:rsidRDefault="00D70395" w:rsidP="009F4044">
            <w:pPr>
              <w:tabs>
                <w:tab w:val="clear" w:pos="851"/>
              </w:tabs>
              <w:spacing w:after="0"/>
              <w:ind w:left="0"/>
              <w:jc w:val="left"/>
              <w:rPr>
                <w:rFonts w:cs="Arial"/>
                <w:sz w:val="16"/>
                <w:szCs w:val="16"/>
              </w:rPr>
            </w:pPr>
            <w:r>
              <w:rPr>
                <w:rFonts w:cs="Arial"/>
                <w:sz w:val="16"/>
                <w:szCs w:val="16"/>
              </w:rPr>
              <w:t>February 2017</w:t>
            </w:r>
          </w:p>
        </w:tc>
      </w:tr>
      <w:tr w:rsidR="00D70395" w:rsidRPr="001E0DCD" w:rsidTr="009F4044">
        <w:tc>
          <w:tcPr>
            <w:tcW w:w="1838" w:type="dxa"/>
          </w:tcPr>
          <w:p w:rsidR="00D70395" w:rsidRPr="001E0DCD" w:rsidRDefault="00D70395" w:rsidP="009F4044">
            <w:pPr>
              <w:tabs>
                <w:tab w:val="clear" w:pos="851"/>
              </w:tabs>
              <w:spacing w:after="0"/>
              <w:ind w:left="0"/>
              <w:jc w:val="left"/>
              <w:rPr>
                <w:rFonts w:cs="Arial"/>
                <w:sz w:val="16"/>
                <w:szCs w:val="16"/>
              </w:rPr>
            </w:pPr>
            <w:r>
              <w:rPr>
                <w:rFonts w:cs="Arial"/>
                <w:sz w:val="16"/>
                <w:szCs w:val="16"/>
              </w:rPr>
              <w:t>2.16</w:t>
            </w:r>
          </w:p>
        </w:tc>
        <w:tc>
          <w:tcPr>
            <w:tcW w:w="5670" w:type="dxa"/>
          </w:tcPr>
          <w:p w:rsidR="00D70395" w:rsidRPr="001E0DCD" w:rsidRDefault="00D70395" w:rsidP="009F4044">
            <w:pPr>
              <w:tabs>
                <w:tab w:val="clear" w:pos="851"/>
              </w:tabs>
              <w:spacing w:after="0"/>
              <w:ind w:left="0"/>
              <w:jc w:val="left"/>
              <w:rPr>
                <w:rFonts w:cs="Arial"/>
                <w:sz w:val="16"/>
                <w:szCs w:val="16"/>
              </w:rPr>
            </w:pPr>
            <w:r>
              <w:rPr>
                <w:rFonts w:cs="Arial"/>
                <w:sz w:val="16"/>
                <w:szCs w:val="16"/>
              </w:rPr>
              <w:t>Customer Advisory Panel 4</w:t>
            </w:r>
          </w:p>
        </w:tc>
        <w:tc>
          <w:tcPr>
            <w:tcW w:w="1843" w:type="dxa"/>
          </w:tcPr>
          <w:p w:rsidR="00D70395" w:rsidRPr="001E0DCD" w:rsidRDefault="00D70395" w:rsidP="009F4044">
            <w:pPr>
              <w:tabs>
                <w:tab w:val="clear" w:pos="851"/>
              </w:tabs>
              <w:spacing w:after="0"/>
              <w:ind w:left="0"/>
              <w:jc w:val="left"/>
              <w:rPr>
                <w:rFonts w:cs="Arial"/>
                <w:sz w:val="16"/>
                <w:szCs w:val="16"/>
              </w:rPr>
            </w:pPr>
            <w:r>
              <w:rPr>
                <w:rFonts w:cs="Arial"/>
                <w:sz w:val="16"/>
                <w:szCs w:val="16"/>
              </w:rPr>
              <w:t>March 2018</w:t>
            </w:r>
          </w:p>
        </w:tc>
      </w:tr>
      <w:tr w:rsidR="00D70395" w:rsidRPr="001E0DCD" w:rsidTr="009F4044">
        <w:tc>
          <w:tcPr>
            <w:tcW w:w="1838" w:type="dxa"/>
          </w:tcPr>
          <w:p w:rsidR="00D70395" w:rsidRDefault="00D70395" w:rsidP="009F4044">
            <w:pPr>
              <w:tabs>
                <w:tab w:val="clear" w:pos="851"/>
              </w:tabs>
              <w:spacing w:after="0"/>
              <w:ind w:left="0"/>
              <w:jc w:val="left"/>
              <w:rPr>
                <w:rFonts w:cs="Arial"/>
                <w:sz w:val="16"/>
                <w:szCs w:val="16"/>
              </w:rPr>
            </w:pPr>
            <w:r>
              <w:rPr>
                <w:rFonts w:cs="Arial"/>
                <w:sz w:val="16"/>
                <w:szCs w:val="16"/>
              </w:rPr>
              <w:t>2.17</w:t>
            </w:r>
          </w:p>
        </w:tc>
        <w:tc>
          <w:tcPr>
            <w:tcW w:w="5670" w:type="dxa"/>
          </w:tcPr>
          <w:p w:rsidR="00D70395" w:rsidRDefault="00D70395" w:rsidP="009F4044">
            <w:pPr>
              <w:tabs>
                <w:tab w:val="clear" w:pos="851"/>
              </w:tabs>
              <w:spacing w:after="0"/>
              <w:ind w:left="0"/>
              <w:jc w:val="left"/>
              <w:rPr>
                <w:rFonts w:cs="Arial"/>
                <w:sz w:val="16"/>
                <w:szCs w:val="16"/>
              </w:rPr>
            </w:pPr>
            <w:r>
              <w:rPr>
                <w:rFonts w:cs="Arial"/>
                <w:sz w:val="16"/>
                <w:szCs w:val="16"/>
              </w:rPr>
              <w:t>ICS – PC + ODI Customer Survey Results</w:t>
            </w:r>
          </w:p>
        </w:tc>
        <w:tc>
          <w:tcPr>
            <w:tcW w:w="1843" w:type="dxa"/>
          </w:tcPr>
          <w:p w:rsidR="00D70395" w:rsidRDefault="00D70395" w:rsidP="009F4044">
            <w:pPr>
              <w:tabs>
                <w:tab w:val="clear" w:pos="851"/>
              </w:tabs>
              <w:spacing w:after="0"/>
              <w:ind w:left="0"/>
              <w:jc w:val="left"/>
              <w:rPr>
                <w:rFonts w:cs="Arial"/>
                <w:sz w:val="16"/>
                <w:szCs w:val="16"/>
              </w:rPr>
            </w:pPr>
            <w:r>
              <w:rPr>
                <w:rFonts w:cs="Arial"/>
                <w:sz w:val="16"/>
                <w:szCs w:val="16"/>
              </w:rPr>
              <w:t>April 2018</w:t>
            </w:r>
          </w:p>
        </w:tc>
      </w:tr>
      <w:tr w:rsidR="00D70395" w:rsidRPr="001E0DCD" w:rsidTr="009F4044">
        <w:tc>
          <w:tcPr>
            <w:tcW w:w="1838" w:type="dxa"/>
          </w:tcPr>
          <w:p w:rsidR="00D70395" w:rsidRDefault="00D70395" w:rsidP="009F4044">
            <w:pPr>
              <w:tabs>
                <w:tab w:val="clear" w:pos="851"/>
              </w:tabs>
              <w:spacing w:after="0"/>
              <w:ind w:left="0"/>
              <w:jc w:val="left"/>
              <w:rPr>
                <w:rFonts w:cs="Arial"/>
                <w:sz w:val="16"/>
                <w:szCs w:val="16"/>
              </w:rPr>
            </w:pPr>
            <w:r>
              <w:rPr>
                <w:rFonts w:cs="Arial"/>
                <w:sz w:val="16"/>
                <w:szCs w:val="16"/>
              </w:rPr>
              <w:t>2.11</w:t>
            </w:r>
          </w:p>
        </w:tc>
        <w:tc>
          <w:tcPr>
            <w:tcW w:w="5670" w:type="dxa"/>
          </w:tcPr>
          <w:p w:rsidR="00D70395" w:rsidRDefault="00D70395" w:rsidP="009F4044">
            <w:pPr>
              <w:tabs>
                <w:tab w:val="clear" w:pos="851"/>
              </w:tabs>
              <w:spacing w:after="0"/>
              <w:ind w:left="0"/>
              <w:jc w:val="left"/>
              <w:rPr>
                <w:rFonts w:cs="Arial"/>
                <w:sz w:val="16"/>
                <w:szCs w:val="16"/>
              </w:rPr>
            </w:pPr>
            <w:r>
              <w:rPr>
                <w:rFonts w:cs="Arial"/>
                <w:sz w:val="16"/>
                <w:szCs w:val="16"/>
              </w:rPr>
              <w:t>Student Customer Survey Report</w:t>
            </w:r>
          </w:p>
        </w:tc>
        <w:tc>
          <w:tcPr>
            <w:tcW w:w="1843" w:type="dxa"/>
          </w:tcPr>
          <w:p w:rsidR="00D70395" w:rsidRDefault="00D70395" w:rsidP="009F4044">
            <w:pPr>
              <w:tabs>
                <w:tab w:val="clear" w:pos="851"/>
              </w:tabs>
              <w:spacing w:after="0"/>
              <w:ind w:left="0"/>
              <w:jc w:val="left"/>
              <w:rPr>
                <w:rFonts w:cs="Arial"/>
                <w:sz w:val="16"/>
                <w:szCs w:val="16"/>
              </w:rPr>
            </w:pPr>
            <w:r>
              <w:rPr>
                <w:rFonts w:cs="Arial"/>
                <w:sz w:val="16"/>
                <w:szCs w:val="16"/>
              </w:rPr>
              <w:t>October 2017</w:t>
            </w:r>
          </w:p>
        </w:tc>
      </w:tr>
      <w:tr w:rsidR="00D70395" w:rsidRPr="001E0DCD" w:rsidTr="009F4044">
        <w:tc>
          <w:tcPr>
            <w:tcW w:w="1838" w:type="dxa"/>
          </w:tcPr>
          <w:p w:rsidR="00D70395" w:rsidRDefault="00D70395" w:rsidP="009F4044">
            <w:pPr>
              <w:tabs>
                <w:tab w:val="clear" w:pos="851"/>
              </w:tabs>
              <w:spacing w:after="0"/>
              <w:ind w:left="0"/>
              <w:jc w:val="left"/>
              <w:rPr>
                <w:rFonts w:cs="Arial"/>
                <w:sz w:val="16"/>
                <w:szCs w:val="16"/>
              </w:rPr>
            </w:pPr>
            <w:r>
              <w:rPr>
                <w:rFonts w:cs="Arial"/>
                <w:sz w:val="16"/>
                <w:szCs w:val="16"/>
              </w:rPr>
              <w:t>2.1</w:t>
            </w:r>
          </w:p>
        </w:tc>
        <w:tc>
          <w:tcPr>
            <w:tcW w:w="5670" w:type="dxa"/>
          </w:tcPr>
          <w:p w:rsidR="00D70395" w:rsidRDefault="00D70395" w:rsidP="009F4044">
            <w:pPr>
              <w:tabs>
                <w:tab w:val="clear" w:pos="851"/>
              </w:tabs>
              <w:spacing w:after="0"/>
              <w:ind w:left="0"/>
              <w:jc w:val="left"/>
              <w:rPr>
                <w:rFonts w:cs="Arial"/>
                <w:sz w:val="16"/>
                <w:szCs w:val="16"/>
              </w:rPr>
            </w:pPr>
            <w:r>
              <w:rPr>
                <w:rFonts w:cs="Arial"/>
                <w:sz w:val="16"/>
                <w:szCs w:val="16"/>
              </w:rPr>
              <w:t>Customer Engagement and Triangulation</w:t>
            </w:r>
          </w:p>
        </w:tc>
        <w:tc>
          <w:tcPr>
            <w:tcW w:w="1843" w:type="dxa"/>
          </w:tcPr>
          <w:p w:rsidR="00D70395" w:rsidRDefault="00D70395" w:rsidP="009F4044">
            <w:pPr>
              <w:tabs>
                <w:tab w:val="clear" w:pos="851"/>
              </w:tabs>
              <w:spacing w:after="0"/>
              <w:ind w:left="0"/>
              <w:jc w:val="left"/>
              <w:rPr>
                <w:rFonts w:cs="Arial"/>
                <w:sz w:val="16"/>
                <w:szCs w:val="16"/>
              </w:rPr>
            </w:pPr>
            <w:r>
              <w:rPr>
                <w:rFonts w:cs="Arial"/>
                <w:sz w:val="16"/>
                <w:szCs w:val="16"/>
              </w:rPr>
              <w:t>August 2018</w:t>
            </w:r>
          </w:p>
        </w:tc>
      </w:tr>
      <w:tr w:rsidR="00D70395" w:rsidRPr="001E0DCD" w:rsidTr="009F4044">
        <w:tc>
          <w:tcPr>
            <w:tcW w:w="1838" w:type="dxa"/>
          </w:tcPr>
          <w:p w:rsidR="00D70395" w:rsidRDefault="00D70395" w:rsidP="009F4044">
            <w:pPr>
              <w:tabs>
                <w:tab w:val="clear" w:pos="851"/>
              </w:tabs>
              <w:spacing w:after="0"/>
              <w:ind w:left="0"/>
              <w:jc w:val="left"/>
              <w:rPr>
                <w:rFonts w:cs="Arial"/>
                <w:sz w:val="16"/>
                <w:szCs w:val="16"/>
              </w:rPr>
            </w:pPr>
            <w:r>
              <w:rPr>
                <w:rFonts w:cs="Arial"/>
                <w:sz w:val="16"/>
                <w:szCs w:val="16"/>
              </w:rPr>
              <w:t>2.9</w:t>
            </w:r>
          </w:p>
        </w:tc>
        <w:tc>
          <w:tcPr>
            <w:tcW w:w="5670" w:type="dxa"/>
          </w:tcPr>
          <w:p w:rsidR="00D70395" w:rsidRDefault="00D70395" w:rsidP="009F4044">
            <w:pPr>
              <w:tabs>
                <w:tab w:val="clear" w:pos="851"/>
              </w:tabs>
              <w:spacing w:after="0"/>
              <w:ind w:left="0"/>
              <w:jc w:val="left"/>
              <w:rPr>
                <w:rFonts w:cs="Arial"/>
                <w:sz w:val="16"/>
                <w:szCs w:val="16"/>
              </w:rPr>
            </w:pPr>
            <w:r>
              <w:rPr>
                <w:rFonts w:cs="Arial"/>
                <w:sz w:val="16"/>
                <w:szCs w:val="16"/>
              </w:rPr>
              <w:t xml:space="preserve">Workplace Key Points </w:t>
            </w:r>
          </w:p>
        </w:tc>
        <w:tc>
          <w:tcPr>
            <w:tcW w:w="1843" w:type="dxa"/>
          </w:tcPr>
          <w:p w:rsidR="00D70395" w:rsidRDefault="00D70395" w:rsidP="009F4044">
            <w:pPr>
              <w:tabs>
                <w:tab w:val="clear" w:pos="851"/>
              </w:tabs>
              <w:spacing w:after="0"/>
              <w:ind w:left="0"/>
              <w:jc w:val="left"/>
              <w:rPr>
                <w:rFonts w:cs="Arial"/>
                <w:sz w:val="16"/>
                <w:szCs w:val="16"/>
              </w:rPr>
            </w:pPr>
            <w:r>
              <w:rPr>
                <w:rFonts w:cs="Arial"/>
                <w:sz w:val="16"/>
                <w:szCs w:val="16"/>
              </w:rPr>
              <w:t>August 2017</w:t>
            </w:r>
          </w:p>
        </w:tc>
      </w:tr>
      <w:tr w:rsidR="00D70395" w:rsidRPr="001E0DCD" w:rsidTr="009F4044">
        <w:tc>
          <w:tcPr>
            <w:tcW w:w="1838" w:type="dxa"/>
          </w:tcPr>
          <w:p w:rsidR="00D70395" w:rsidRDefault="00D70395" w:rsidP="009F4044">
            <w:pPr>
              <w:tabs>
                <w:tab w:val="clear" w:pos="851"/>
              </w:tabs>
              <w:spacing w:after="0"/>
              <w:ind w:left="0"/>
              <w:jc w:val="left"/>
              <w:rPr>
                <w:rFonts w:cs="Arial"/>
                <w:sz w:val="16"/>
                <w:szCs w:val="16"/>
              </w:rPr>
            </w:pPr>
            <w:r>
              <w:rPr>
                <w:rFonts w:cs="Arial"/>
                <w:sz w:val="16"/>
                <w:szCs w:val="16"/>
              </w:rPr>
              <w:t>2.12 &amp; 2.13</w:t>
            </w:r>
          </w:p>
        </w:tc>
        <w:tc>
          <w:tcPr>
            <w:tcW w:w="5670" w:type="dxa"/>
          </w:tcPr>
          <w:p w:rsidR="00D70395" w:rsidRDefault="00D70395" w:rsidP="00D70395">
            <w:pPr>
              <w:tabs>
                <w:tab w:val="clear" w:pos="851"/>
              </w:tabs>
              <w:spacing w:after="0"/>
              <w:ind w:left="0"/>
              <w:jc w:val="left"/>
              <w:rPr>
                <w:rFonts w:cs="Arial"/>
                <w:sz w:val="16"/>
                <w:szCs w:val="16"/>
              </w:rPr>
            </w:pPr>
            <w:r>
              <w:rPr>
                <w:rFonts w:cs="Arial"/>
                <w:sz w:val="16"/>
                <w:szCs w:val="16"/>
              </w:rPr>
              <w:t>Results from Cowplain School and Ark Charter Acadamy School</w:t>
            </w:r>
          </w:p>
        </w:tc>
        <w:tc>
          <w:tcPr>
            <w:tcW w:w="1843" w:type="dxa"/>
          </w:tcPr>
          <w:p w:rsidR="00D70395" w:rsidRDefault="00D70395" w:rsidP="009F4044">
            <w:pPr>
              <w:tabs>
                <w:tab w:val="clear" w:pos="851"/>
              </w:tabs>
              <w:spacing w:after="0"/>
              <w:ind w:left="0"/>
              <w:jc w:val="left"/>
              <w:rPr>
                <w:rFonts w:cs="Arial"/>
                <w:sz w:val="16"/>
                <w:szCs w:val="16"/>
              </w:rPr>
            </w:pPr>
            <w:r>
              <w:rPr>
                <w:rFonts w:cs="Arial"/>
                <w:sz w:val="16"/>
                <w:szCs w:val="16"/>
              </w:rPr>
              <w:t>November 2017</w:t>
            </w:r>
          </w:p>
        </w:tc>
      </w:tr>
      <w:tr w:rsidR="00D70395" w:rsidRPr="001E0DCD" w:rsidTr="009F4044">
        <w:tc>
          <w:tcPr>
            <w:tcW w:w="1838" w:type="dxa"/>
          </w:tcPr>
          <w:p w:rsidR="00D70395" w:rsidRDefault="00D70395" w:rsidP="009F4044">
            <w:pPr>
              <w:tabs>
                <w:tab w:val="clear" w:pos="851"/>
              </w:tabs>
              <w:spacing w:after="0"/>
              <w:ind w:left="0"/>
              <w:jc w:val="left"/>
              <w:rPr>
                <w:rFonts w:cs="Arial"/>
                <w:sz w:val="16"/>
                <w:szCs w:val="16"/>
              </w:rPr>
            </w:pPr>
            <w:r>
              <w:rPr>
                <w:rFonts w:cs="Arial"/>
                <w:sz w:val="16"/>
                <w:szCs w:val="16"/>
              </w:rPr>
              <w:t>2.21</w:t>
            </w:r>
          </w:p>
        </w:tc>
        <w:tc>
          <w:tcPr>
            <w:tcW w:w="5670" w:type="dxa"/>
          </w:tcPr>
          <w:p w:rsidR="00D70395" w:rsidRDefault="00D70395" w:rsidP="009F4044">
            <w:pPr>
              <w:tabs>
                <w:tab w:val="clear" w:pos="851"/>
              </w:tabs>
              <w:spacing w:after="0"/>
              <w:ind w:left="0"/>
              <w:jc w:val="left"/>
              <w:rPr>
                <w:rFonts w:cs="Arial"/>
                <w:sz w:val="16"/>
                <w:szCs w:val="16"/>
              </w:rPr>
            </w:pPr>
            <w:r>
              <w:rPr>
                <w:rFonts w:cs="Arial"/>
                <w:sz w:val="16"/>
                <w:szCs w:val="16"/>
              </w:rPr>
              <w:t>Customer Research – Qualitative Research NHH Customers</w:t>
            </w:r>
          </w:p>
        </w:tc>
        <w:tc>
          <w:tcPr>
            <w:tcW w:w="1843" w:type="dxa"/>
          </w:tcPr>
          <w:p w:rsidR="00D70395" w:rsidRDefault="00D70395" w:rsidP="009F4044">
            <w:pPr>
              <w:tabs>
                <w:tab w:val="clear" w:pos="851"/>
              </w:tabs>
              <w:spacing w:after="0"/>
              <w:ind w:left="0"/>
              <w:jc w:val="left"/>
              <w:rPr>
                <w:rFonts w:cs="Arial"/>
                <w:sz w:val="16"/>
                <w:szCs w:val="16"/>
              </w:rPr>
            </w:pPr>
            <w:r>
              <w:rPr>
                <w:rFonts w:cs="Arial"/>
                <w:sz w:val="16"/>
                <w:szCs w:val="16"/>
              </w:rPr>
              <w:t>May 2018</w:t>
            </w:r>
          </w:p>
        </w:tc>
      </w:tr>
      <w:tr w:rsidR="00D70395" w:rsidRPr="001E0DCD" w:rsidTr="009F4044">
        <w:tc>
          <w:tcPr>
            <w:tcW w:w="1838" w:type="dxa"/>
          </w:tcPr>
          <w:p w:rsidR="00D70395" w:rsidRDefault="00D70395" w:rsidP="009F4044">
            <w:pPr>
              <w:tabs>
                <w:tab w:val="clear" w:pos="851"/>
              </w:tabs>
              <w:spacing w:after="0"/>
              <w:ind w:left="0"/>
              <w:jc w:val="left"/>
              <w:rPr>
                <w:rFonts w:cs="Arial"/>
                <w:sz w:val="16"/>
                <w:szCs w:val="16"/>
              </w:rPr>
            </w:pPr>
            <w:r>
              <w:rPr>
                <w:rFonts w:cs="Arial"/>
                <w:sz w:val="16"/>
                <w:szCs w:val="16"/>
              </w:rPr>
              <w:t>2.20</w:t>
            </w:r>
          </w:p>
        </w:tc>
        <w:tc>
          <w:tcPr>
            <w:tcW w:w="5670" w:type="dxa"/>
          </w:tcPr>
          <w:p w:rsidR="00D70395" w:rsidRDefault="00D70395" w:rsidP="009F4044">
            <w:pPr>
              <w:tabs>
                <w:tab w:val="clear" w:pos="851"/>
              </w:tabs>
              <w:spacing w:after="0"/>
              <w:ind w:left="0"/>
              <w:jc w:val="left"/>
              <w:rPr>
                <w:rFonts w:cs="Arial"/>
                <w:sz w:val="16"/>
                <w:szCs w:val="16"/>
              </w:rPr>
            </w:pPr>
            <w:r>
              <w:rPr>
                <w:rFonts w:cs="Arial"/>
                <w:sz w:val="16"/>
                <w:szCs w:val="16"/>
              </w:rPr>
              <w:t>WRMP Survey Summary</w:t>
            </w:r>
          </w:p>
        </w:tc>
        <w:tc>
          <w:tcPr>
            <w:tcW w:w="1843" w:type="dxa"/>
          </w:tcPr>
          <w:p w:rsidR="00D70395" w:rsidRDefault="00D70395" w:rsidP="009F4044">
            <w:pPr>
              <w:tabs>
                <w:tab w:val="clear" w:pos="851"/>
              </w:tabs>
              <w:spacing w:after="0"/>
              <w:ind w:left="0"/>
              <w:jc w:val="left"/>
              <w:rPr>
                <w:rFonts w:cs="Arial"/>
                <w:sz w:val="16"/>
                <w:szCs w:val="16"/>
              </w:rPr>
            </w:pPr>
            <w:r>
              <w:rPr>
                <w:rFonts w:cs="Arial"/>
                <w:sz w:val="16"/>
                <w:szCs w:val="16"/>
              </w:rPr>
              <w:t>May 2018</w:t>
            </w:r>
          </w:p>
        </w:tc>
      </w:tr>
      <w:tr w:rsidR="00D70395" w:rsidRPr="001E0DCD" w:rsidTr="009F4044">
        <w:tc>
          <w:tcPr>
            <w:tcW w:w="1838" w:type="dxa"/>
          </w:tcPr>
          <w:p w:rsidR="00D70395" w:rsidRDefault="00D70395" w:rsidP="009F4044">
            <w:pPr>
              <w:tabs>
                <w:tab w:val="clear" w:pos="851"/>
              </w:tabs>
              <w:spacing w:after="0"/>
              <w:ind w:left="0"/>
              <w:jc w:val="left"/>
              <w:rPr>
                <w:rFonts w:cs="Arial"/>
                <w:sz w:val="16"/>
                <w:szCs w:val="16"/>
              </w:rPr>
            </w:pPr>
            <w:r>
              <w:rPr>
                <w:rFonts w:cs="Arial"/>
                <w:sz w:val="16"/>
                <w:szCs w:val="16"/>
              </w:rPr>
              <w:t>3.5</w:t>
            </w:r>
          </w:p>
        </w:tc>
        <w:tc>
          <w:tcPr>
            <w:tcW w:w="5670" w:type="dxa"/>
          </w:tcPr>
          <w:p w:rsidR="00D70395" w:rsidRDefault="00D70395" w:rsidP="00B75CD9">
            <w:pPr>
              <w:tabs>
                <w:tab w:val="clear" w:pos="851"/>
              </w:tabs>
              <w:spacing w:after="0"/>
              <w:ind w:left="0"/>
              <w:jc w:val="left"/>
              <w:rPr>
                <w:rFonts w:cs="Arial"/>
                <w:sz w:val="16"/>
                <w:szCs w:val="16"/>
              </w:rPr>
            </w:pPr>
            <w:r>
              <w:rPr>
                <w:rFonts w:cs="Arial"/>
                <w:sz w:val="16"/>
                <w:szCs w:val="16"/>
              </w:rPr>
              <w:t xml:space="preserve">Water UK Report ‘Water Resources Long Term Planning Framework </w:t>
            </w:r>
          </w:p>
        </w:tc>
        <w:tc>
          <w:tcPr>
            <w:tcW w:w="1843" w:type="dxa"/>
          </w:tcPr>
          <w:p w:rsidR="00D70395" w:rsidRDefault="00F2161B" w:rsidP="009F4044">
            <w:pPr>
              <w:tabs>
                <w:tab w:val="clear" w:pos="851"/>
              </w:tabs>
              <w:spacing w:after="0"/>
              <w:ind w:left="0"/>
              <w:jc w:val="left"/>
              <w:rPr>
                <w:rFonts w:cs="Arial"/>
                <w:sz w:val="16"/>
                <w:szCs w:val="16"/>
              </w:rPr>
            </w:pPr>
            <w:r>
              <w:rPr>
                <w:rFonts w:cs="Arial"/>
                <w:sz w:val="16"/>
                <w:szCs w:val="16"/>
              </w:rPr>
              <w:t>August 2018</w:t>
            </w:r>
          </w:p>
        </w:tc>
      </w:tr>
      <w:tr w:rsidR="00D70395" w:rsidRPr="001E0DCD" w:rsidTr="009F4044">
        <w:tc>
          <w:tcPr>
            <w:tcW w:w="1838" w:type="dxa"/>
          </w:tcPr>
          <w:p w:rsidR="00D70395" w:rsidRDefault="00D70395" w:rsidP="009F4044">
            <w:pPr>
              <w:tabs>
                <w:tab w:val="clear" w:pos="851"/>
              </w:tabs>
              <w:spacing w:after="0"/>
              <w:ind w:left="0"/>
              <w:jc w:val="left"/>
              <w:rPr>
                <w:rFonts w:cs="Arial"/>
                <w:sz w:val="16"/>
                <w:szCs w:val="16"/>
              </w:rPr>
            </w:pPr>
            <w:r>
              <w:rPr>
                <w:rFonts w:cs="Arial"/>
                <w:sz w:val="16"/>
                <w:szCs w:val="16"/>
              </w:rPr>
              <w:t>3.4</w:t>
            </w:r>
          </w:p>
        </w:tc>
        <w:tc>
          <w:tcPr>
            <w:tcW w:w="5670" w:type="dxa"/>
          </w:tcPr>
          <w:p w:rsidR="00D70395" w:rsidRDefault="00D70395" w:rsidP="009F4044">
            <w:pPr>
              <w:tabs>
                <w:tab w:val="clear" w:pos="851"/>
              </w:tabs>
              <w:spacing w:after="0"/>
              <w:ind w:left="0"/>
              <w:jc w:val="left"/>
              <w:rPr>
                <w:rFonts w:cs="Arial"/>
                <w:sz w:val="16"/>
                <w:szCs w:val="16"/>
              </w:rPr>
            </w:pPr>
            <w:r>
              <w:rPr>
                <w:rFonts w:cs="Arial"/>
                <w:sz w:val="16"/>
                <w:szCs w:val="16"/>
              </w:rPr>
              <w:t>TOOMS Moore Consulting. Portsmouth Water SELL Assessment</w:t>
            </w:r>
          </w:p>
        </w:tc>
        <w:tc>
          <w:tcPr>
            <w:tcW w:w="1843" w:type="dxa"/>
          </w:tcPr>
          <w:p w:rsidR="00D70395" w:rsidRDefault="00D70395" w:rsidP="009F4044">
            <w:pPr>
              <w:tabs>
                <w:tab w:val="clear" w:pos="851"/>
              </w:tabs>
              <w:spacing w:after="0"/>
              <w:ind w:left="0"/>
              <w:jc w:val="left"/>
              <w:rPr>
                <w:rFonts w:cs="Arial"/>
                <w:sz w:val="16"/>
                <w:szCs w:val="16"/>
              </w:rPr>
            </w:pPr>
            <w:r>
              <w:rPr>
                <w:rFonts w:cs="Arial"/>
                <w:sz w:val="16"/>
                <w:szCs w:val="16"/>
              </w:rPr>
              <w:t>July 2018</w:t>
            </w:r>
          </w:p>
        </w:tc>
      </w:tr>
    </w:tbl>
    <w:p w:rsidR="00A73A0F" w:rsidRDefault="00A73A0F" w:rsidP="001523F8">
      <w:pPr>
        <w:pStyle w:val="Heading2"/>
      </w:pPr>
      <w:bookmarkStart w:id="71" w:name="_Toc522199985"/>
      <w:bookmarkStart w:id="72" w:name="_Toc522200082"/>
      <w:bookmarkStart w:id="73" w:name="_Toc523651262"/>
      <w:r>
        <w:t>A service tailored to individual needs at a long term affordable price</w:t>
      </w:r>
      <w:bookmarkEnd w:id="71"/>
      <w:bookmarkEnd w:id="72"/>
      <w:bookmarkEnd w:id="73"/>
    </w:p>
    <w:p w:rsidR="00486865" w:rsidRPr="00486865" w:rsidRDefault="00486865" w:rsidP="00486865">
      <w:r>
        <w:t>This section explains ou</w:t>
      </w:r>
      <w:r w:rsidR="00FE5587">
        <w:t>r</w:t>
      </w:r>
      <w:r>
        <w:t xml:space="preserve"> outcome ‘A service tailored to individual needs at a long term affordable price’.  We start with a summary table of the Performance Commitments that underpin it, explain the customer insight that has shaped this outcome and then explain each Performance Commitment in detail.</w:t>
      </w:r>
    </w:p>
    <w:tbl>
      <w:tblPr>
        <w:tblStyle w:val="TableGrid"/>
        <w:tblW w:w="8783" w:type="dxa"/>
        <w:tblInd w:w="851" w:type="dxa"/>
        <w:tblLayout w:type="fixed"/>
        <w:tblLook w:val="04A0" w:firstRow="1" w:lastRow="0" w:firstColumn="1" w:lastColumn="0" w:noHBand="0" w:noVBand="1"/>
      </w:tblPr>
      <w:tblGrid>
        <w:gridCol w:w="2405"/>
        <w:gridCol w:w="567"/>
        <w:gridCol w:w="1653"/>
        <w:gridCol w:w="1654"/>
        <w:gridCol w:w="1654"/>
        <w:gridCol w:w="850"/>
      </w:tblGrid>
      <w:tr w:rsidR="00F84F6A" w:rsidRPr="007C5AC6" w:rsidTr="00F84F6A">
        <w:tc>
          <w:tcPr>
            <w:tcW w:w="2405" w:type="dxa"/>
            <w:shd w:val="clear" w:color="auto" w:fill="2E74B5" w:themeFill="accent1" w:themeFillShade="BF"/>
          </w:tcPr>
          <w:p w:rsidR="00F84F6A" w:rsidRPr="007C5AC6" w:rsidRDefault="00F84F6A" w:rsidP="00F84F6A">
            <w:pPr>
              <w:spacing w:after="0"/>
              <w:ind w:left="0"/>
              <w:rPr>
                <w:sz w:val="14"/>
                <w:szCs w:val="14"/>
              </w:rPr>
            </w:pPr>
            <w:r w:rsidRPr="007C5AC6">
              <w:rPr>
                <w:b/>
                <w:bCs/>
                <w:color w:val="FFFFFF" w:themeColor="background1"/>
                <w:sz w:val="14"/>
                <w:szCs w:val="14"/>
              </w:rPr>
              <w:t>Performance Commitment</w:t>
            </w:r>
          </w:p>
        </w:tc>
        <w:tc>
          <w:tcPr>
            <w:tcW w:w="567" w:type="dxa"/>
            <w:shd w:val="clear" w:color="auto" w:fill="2E74B5" w:themeFill="accent1" w:themeFillShade="BF"/>
          </w:tcPr>
          <w:p w:rsidR="00F84F6A" w:rsidRPr="007C5AC6" w:rsidRDefault="00F84F6A" w:rsidP="00F84F6A">
            <w:pPr>
              <w:spacing w:before="20" w:after="20"/>
              <w:ind w:left="0"/>
              <w:jc w:val="center"/>
              <w:rPr>
                <w:b/>
                <w:bCs/>
                <w:color w:val="FFFFFF" w:themeColor="background1"/>
                <w:sz w:val="14"/>
                <w:szCs w:val="14"/>
              </w:rPr>
            </w:pPr>
            <w:r w:rsidRPr="007C5AC6">
              <w:rPr>
                <w:b/>
                <w:bCs/>
                <w:color w:val="FFFFFF" w:themeColor="background1"/>
                <w:sz w:val="14"/>
                <w:szCs w:val="14"/>
              </w:rPr>
              <w:t>Type</w:t>
            </w:r>
          </w:p>
        </w:tc>
        <w:tc>
          <w:tcPr>
            <w:tcW w:w="1653" w:type="dxa"/>
            <w:shd w:val="clear" w:color="auto" w:fill="2E74B5" w:themeFill="accent1" w:themeFillShade="BF"/>
          </w:tcPr>
          <w:p w:rsidR="00F84F6A" w:rsidRPr="007C5AC6" w:rsidRDefault="00F84F6A" w:rsidP="00F84F6A">
            <w:pPr>
              <w:spacing w:after="0"/>
              <w:ind w:left="0"/>
              <w:rPr>
                <w:b/>
                <w:color w:val="FFFFFF" w:themeColor="background1"/>
                <w:sz w:val="14"/>
                <w:szCs w:val="14"/>
              </w:rPr>
            </w:pPr>
            <w:r w:rsidRPr="007C5AC6">
              <w:rPr>
                <w:b/>
                <w:color w:val="FFFFFF" w:themeColor="background1"/>
                <w:sz w:val="14"/>
                <w:szCs w:val="14"/>
              </w:rPr>
              <w:t>AMP6 Performance</w:t>
            </w:r>
          </w:p>
        </w:tc>
        <w:tc>
          <w:tcPr>
            <w:tcW w:w="1654" w:type="dxa"/>
            <w:shd w:val="clear" w:color="auto" w:fill="2E74B5" w:themeFill="accent1" w:themeFillShade="BF"/>
          </w:tcPr>
          <w:p w:rsidR="00F84F6A" w:rsidRPr="007C5AC6" w:rsidRDefault="00F84F6A" w:rsidP="00F84F6A">
            <w:pPr>
              <w:spacing w:after="0"/>
              <w:ind w:left="0"/>
              <w:rPr>
                <w:b/>
                <w:color w:val="FFFFFF" w:themeColor="background1"/>
                <w:sz w:val="14"/>
                <w:szCs w:val="14"/>
              </w:rPr>
            </w:pPr>
            <w:r w:rsidRPr="007C5AC6">
              <w:rPr>
                <w:b/>
                <w:color w:val="FFFFFF" w:themeColor="background1"/>
                <w:sz w:val="14"/>
                <w:szCs w:val="14"/>
              </w:rPr>
              <w:t>2024/25 Target</w:t>
            </w:r>
          </w:p>
        </w:tc>
        <w:tc>
          <w:tcPr>
            <w:tcW w:w="1654" w:type="dxa"/>
            <w:shd w:val="clear" w:color="auto" w:fill="2E74B5" w:themeFill="accent1" w:themeFillShade="BF"/>
          </w:tcPr>
          <w:p w:rsidR="00F84F6A" w:rsidRPr="007C5AC6" w:rsidRDefault="00F84F6A" w:rsidP="00F84F6A">
            <w:pPr>
              <w:spacing w:after="0"/>
              <w:ind w:left="0"/>
              <w:rPr>
                <w:b/>
                <w:color w:val="FFFFFF" w:themeColor="background1"/>
                <w:sz w:val="14"/>
                <w:szCs w:val="14"/>
              </w:rPr>
            </w:pPr>
            <w:r w:rsidRPr="007C5AC6">
              <w:rPr>
                <w:b/>
                <w:color w:val="FFFFFF" w:themeColor="background1"/>
                <w:sz w:val="14"/>
                <w:szCs w:val="14"/>
              </w:rPr>
              <w:t>2034/35 Target</w:t>
            </w:r>
          </w:p>
        </w:tc>
        <w:tc>
          <w:tcPr>
            <w:tcW w:w="850" w:type="dxa"/>
            <w:shd w:val="clear" w:color="auto" w:fill="2E74B5" w:themeFill="accent1" w:themeFillShade="BF"/>
          </w:tcPr>
          <w:p w:rsidR="00F84F6A" w:rsidRPr="007C5AC6" w:rsidRDefault="00F84F6A" w:rsidP="00F84F6A">
            <w:pPr>
              <w:spacing w:after="0"/>
              <w:ind w:left="0"/>
              <w:jc w:val="center"/>
              <w:rPr>
                <w:b/>
                <w:color w:val="FFFFFF" w:themeColor="background1"/>
                <w:sz w:val="14"/>
                <w:szCs w:val="14"/>
              </w:rPr>
            </w:pPr>
            <w:r w:rsidRPr="007C5AC6">
              <w:rPr>
                <w:b/>
                <w:color w:val="FFFFFF" w:themeColor="background1"/>
                <w:sz w:val="14"/>
                <w:szCs w:val="14"/>
              </w:rPr>
              <w:t>Reward/Penalty</w:t>
            </w:r>
          </w:p>
        </w:tc>
      </w:tr>
      <w:tr w:rsidR="00F76973" w:rsidRPr="007C5AC6" w:rsidTr="00F84F6A">
        <w:tc>
          <w:tcPr>
            <w:tcW w:w="2405" w:type="dxa"/>
          </w:tcPr>
          <w:p w:rsidR="00F76973" w:rsidRPr="00F84F6A" w:rsidRDefault="00F76973" w:rsidP="00F76973">
            <w:pPr>
              <w:spacing w:before="20" w:after="20"/>
              <w:ind w:left="0"/>
              <w:rPr>
                <w:sz w:val="14"/>
                <w:szCs w:val="14"/>
              </w:rPr>
            </w:pPr>
            <w:r w:rsidRPr="00F84F6A">
              <w:rPr>
                <w:sz w:val="14"/>
                <w:szCs w:val="14"/>
              </w:rPr>
              <w:t>C-Mex Customer Experience</w:t>
            </w:r>
          </w:p>
        </w:tc>
        <w:tc>
          <w:tcPr>
            <w:tcW w:w="567" w:type="dxa"/>
          </w:tcPr>
          <w:p w:rsidR="00F76973" w:rsidRPr="007C5AC6" w:rsidRDefault="00F76973" w:rsidP="00F76973">
            <w:pPr>
              <w:spacing w:before="20" w:after="20"/>
              <w:ind w:left="0"/>
              <w:jc w:val="center"/>
              <w:rPr>
                <w:sz w:val="14"/>
                <w:szCs w:val="14"/>
              </w:rPr>
            </w:pPr>
            <w:r>
              <w:rPr>
                <w:sz w:val="14"/>
                <w:szCs w:val="14"/>
              </w:rPr>
              <w:t>C</w:t>
            </w:r>
          </w:p>
        </w:tc>
        <w:tc>
          <w:tcPr>
            <w:tcW w:w="1653" w:type="dxa"/>
          </w:tcPr>
          <w:p w:rsidR="00F76973" w:rsidRPr="00E7595B" w:rsidRDefault="00F76973" w:rsidP="00F76973">
            <w:pPr>
              <w:spacing w:after="0"/>
              <w:ind w:left="0"/>
              <w:rPr>
                <w:sz w:val="14"/>
                <w:szCs w:val="14"/>
              </w:rPr>
            </w:pPr>
            <w:r>
              <w:rPr>
                <w:sz w:val="14"/>
                <w:szCs w:val="14"/>
              </w:rPr>
              <w:t>n/a</w:t>
            </w:r>
          </w:p>
        </w:tc>
        <w:tc>
          <w:tcPr>
            <w:tcW w:w="1654" w:type="dxa"/>
          </w:tcPr>
          <w:p w:rsidR="00F76973" w:rsidRPr="00E7595B" w:rsidRDefault="00F76973" w:rsidP="00F76973">
            <w:pPr>
              <w:spacing w:before="20" w:after="20"/>
              <w:ind w:left="0"/>
              <w:rPr>
                <w:sz w:val="16"/>
                <w:szCs w:val="16"/>
              </w:rPr>
            </w:pPr>
            <w:r w:rsidRPr="00E7595B">
              <w:rPr>
                <w:sz w:val="16"/>
                <w:szCs w:val="16"/>
              </w:rPr>
              <w:t>UQ</w:t>
            </w:r>
          </w:p>
        </w:tc>
        <w:tc>
          <w:tcPr>
            <w:tcW w:w="1654" w:type="dxa"/>
          </w:tcPr>
          <w:p w:rsidR="00F76973" w:rsidRPr="00E7595B" w:rsidRDefault="00F76973" w:rsidP="00F76973">
            <w:pPr>
              <w:spacing w:after="0"/>
              <w:ind w:left="0"/>
              <w:rPr>
                <w:sz w:val="14"/>
                <w:szCs w:val="14"/>
              </w:rPr>
            </w:pPr>
            <w:r>
              <w:rPr>
                <w:sz w:val="14"/>
                <w:szCs w:val="14"/>
              </w:rPr>
              <w:t>UQ</w:t>
            </w:r>
          </w:p>
        </w:tc>
        <w:tc>
          <w:tcPr>
            <w:tcW w:w="850" w:type="dxa"/>
          </w:tcPr>
          <w:p w:rsidR="00F76973" w:rsidRPr="00E7595B" w:rsidRDefault="00F76973" w:rsidP="00F76973">
            <w:pPr>
              <w:spacing w:after="0"/>
              <w:ind w:left="0"/>
              <w:jc w:val="center"/>
              <w:rPr>
                <w:sz w:val="14"/>
                <w:szCs w:val="14"/>
              </w:rPr>
            </w:pPr>
            <w:r>
              <w:rPr>
                <w:sz w:val="14"/>
                <w:szCs w:val="14"/>
              </w:rPr>
              <w:t>R/P</w:t>
            </w:r>
          </w:p>
        </w:tc>
      </w:tr>
      <w:tr w:rsidR="00F76973" w:rsidRPr="007C5AC6" w:rsidTr="00F84F6A">
        <w:tc>
          <w:tcPr>
            <w:tcW w:w="2405" w:type="dxa"/>
          </w:tcPr>
          <w:p w:rsidR="00F76973" w:rsidRPr="00F84F6A" w:rsidRDefault="00F76973" w:rsidP="00F76973">
            <w:pPr>
              <w:spacing w:before="20" w:after="20"/>
              <w:ind w:left="0"/>
              <w:rPr>
                <w:sz w:val="14"/>
                <w:szCs w:val="14"/>
              </w:rPr>
            </w:pPr>
            <w:r w:rsidRPr="00F84F6A">
              <w:rPr>
                <w:sz w:val="14"/>
                <w:szCs w:val="14"/>
              </w:rPr>
              <w:t>D-Mex Developer Experience</w:t>
            </w:r>
          </w:p>
        </w:tc>
        <w:tc>
          <w:tcPr>
            <w:tcW w:w="567" w:type="dxa"/>
          </w:tcPr>
          <w:p w:rsidR="00F76973" w:rsidRPr="007C5AC6" w:rsidRDefault="00F76973" w:rsidP="00F76973">
            <w:pPr>
              <w:spacing w:before="20" w:after="20"/>
              <w:ind w:left="0"/>
              <w:jc w:val="center"/>
              <w:rPr>
                <w:sz w:val="14"/>
                <w:szCs w:val="14"/>
              </w:rPr>
            </w:pPr>
            <w:r>
              <w:rPr>
                <w:sz w:val="14"/>
                <w:szCs w:val="14"/>
              </w:rPr>
              <w:t>C</w:t>
            </w:r>
          </w:p>
        </w:tc>
        <w:tc>
          <w:tcPr>
            <w:tcW w:w="1653" w:type="dxa"/>
          </w:tcPr>
          <w:p w:rsidR="00F76973" w:rsidRPr="00E7595B" w:rsidRDefault="00F76973" w:rsidP="00F76973">
            <w:pPr>
              <w:spacing w:after="0"/>
              <w:ind w:left="0"/>
              <w:rPr>
                <w:sz w:val="14"/>
                <w:szCs w:val="14"/>
              </w:rPr>
            </w:pPr>
            <w:r>
              <w:rPr>
                <w:sz w:val="14"/>
                <w:szCs w:val="14"/>
              </w:rPr>
              <w:t>n/a</w:t>
            </w:r>
          </w:p>
        </w:tc>
        <w:tc>
          <w:tcPr>
            <w:tcW w:w="1654" w:type="dxa"/>
          </w:tcPr>
          <w:p w:rsidR="00F76973" w:rsidRPr="00E7595B" w:rsidRDefault="00F76973" w:rsidP="00F76973">
            <w:pPr>
              <w:spacing w:before="20" w:after="20"/>
              <w:ind w:left="0"/>
              <w:rPr>
                <w:sz w:val="16"/>
                <w:szCs w:val="16"/>
              </w:rPr>
            </w:pPr>
            <w:r w:rsidRPr="00E7595B">
              <w:rPr>
                <w:sz w:val="16"/>
                <w:szCs w:val="16"/>
              </w:rPr>
              <w:t>UQ</w:t>
            </w:r>
          </w:p>
        </w:tc>
        <w:tc>
          <w:tcPr>
            <w:tcW w:w="1654" w:type="dxa"/>
          </w:tcPr>
          <w:p w:rsidR="00F76973" w:rsidRPr="00E7595B" w:rsidRDefault="00F76973" w:rsidP="00F76973">
            <w:pPr>
              <w:spacing w:after="0"/>
              <w:ind w:left="0"/>
              <w:rPr>
                <w:sz w:val="14"/>
                <w:szCs w:val="14"/>
              </w:rPr>
            </w:pPr>
            <w:r>
              <w:rPr>
                <w:sz w:val="14"/>
                <w:szCs w:val="14"/>
              </w:rPr>
              <w:t>UQ</w:t>
            </w:r>
          </w:p>
        </w:tc>
        <w:tc>
          <w:tcPr>
            <w:tcW w:w="850" w:type="dxa"/>
          </w:tcPr>
          <w:p w:rsidR="00F76973" w:rsidRPr="00E7595B" w:rsidRDefault="00F76973" w:rsidP="00F76973">
            <w:pPr>
              <w:spacing w:after="0"/>
              <w:ind w:left="0"/>
              <w:jc w:val="center"/>
              <w:rPr>
                <w:sz w:val="14"/>
                <w:szCs w:val="14"/>
              </w:rPr>
            </w:pPr>
            <w:r>
              <w:rPr>
                <w:sz w:val="14"/>
                <w:szCs w:val="14"/>
              </w:rPr>
              <w:t>R/P</w:t>
            </w:r>
          </w:p>
        </w:tc>
      </w:tr>
      <w:tr w:rsidR="00F76973" w:rsidRPr="007C5AC6" w:rsidTr="00F84F6A">
        <w:tc>
          <w:tcPr>
            <w:tcW w:w="2405" w:type="dxa"/>
          </w:tcPr>
          <w:p w:rsidR="00F76973" w:rsidRPr="00F84F6A" w:rsidRDefault="00F76973" w:rsidP="00F76973">
            <w:pPr>
              <w:spacing w:before="20" w:after="20"/>
              <w:ind w:left="0"/>
              <w:rPr>
                <w:sz w:val="14"/>
                <w:szCs w:val="14"/>
              </w:rPr>
            </w:pPr>
            <w:r w:rsidRPr="00F84F6A">
              <w:rPr>
                <w:sz w:val="14"/>
                <w:szCs w:val="14"/>
              </w:rPr>
              <w:t>Affordability</w:t>
            </w:r>
          </w:p>
        </w:tc>
        <w:tc>
          <w:tcPr>
            <w:tcW w:w="567" w:type="dxa"/>
          </w:tcPr>
          <w:p w:rsidR="00F76973" w:rsidRPr="007C5AC6" w:rsidRDefault="00F76973" w:rsidP="00F76973">
            <w:pPr>
              <w:spacing w:before="20" w:after="20"/>
              <w:ind w:left="0"/>
              <w:jc w:val="center"/>
              <w:rPr>
                <w:sz w:val="14"/>
                <w:szCs w:val="14"/>
              </w:rPr>
            </w:pPr>
            <w:r>
              <w:rPr>
                <w:sz w:val="14"/>
                <w:szCs w:val="14"/>
              </w:rPr>
              <w:t>B</w:t>
            </w:r>
          </w:p>
        </w:tc>
        <w:tc>
          <w:tcPr>
            <w:tcW w:w="1653" w:type="dxa"/>
          </w:tcPr>
          <w:p w:rsidR="00F76973" w:rsidRPr="00E7595B" w:rsidRDefault="00F76973" w:rsidP="00F76973">
            <w:pPr>
              <w:spacing w:after="0"/>
              <w:ind w:left="0"/>
              <w:rPr>
                <w:sz w:val="14"/>
                <w:szCs w:val="14"/>
              </w:rPr>
            </w:pPr>
            <w:r>
              <w:rPr>
                <w:sz w:val="14"/>
                <w:szCs w:val="14"/>
              </w:rPr>
              <w:t xml:space="preserve">5,300 </w:t>
            </w:r>
            <w:r w:rsidR="00752754">
              <w:rPr>
                <w:sz w:val="14"/>
                <w:szCs w:val="14"/>
              </w:rPr>
              <w:t xml:space="preserve">on social tariff </w:t>
            </w:r>
            <w:r>
              <w:rPr>
                <w:sz w:val="14"/>
                <w:szCs w:val="14"/>
              </w:rPr>
              <w:t>as at end 2017/18</w:t>
            </w:r>
          </w:p>
        </w:tc>
        <w:tc>
          <w:tcPr>
            <w:tcW w:w="1654" w:type="dxa"/>
          </w:tcPr>
          <w:p w:rsidR="00F76973" w:rsidRPr="002B45FE" w:rsidRDefault="00F76973" w:rsidP="00F76973">
            <w:pPr>
              <w:spacing w:before="20" w:after="20"/>
              <w:ind w:left="0"/>
              <w:rPr>
                <w:sz w:val="14"/>
                <w:szCs w:val="14"/>
              </w:rPr>
            </w:pPr>
            <w:r w:rsidRPr="002B45FE">
              <w:rPr>
                <w:sz w:val="14"/>
                <w:szCs w:val="14"/>
              </w:rPr>
              <w:t>8,000 customers on social tariff</w:t>
            </w:r>
          </w:p>
        </w:tc>
        <w:tc>
          <w:tcPr>
            <w:tcW w:w="1654" w:type="dxa"/>
          </w:tcPr>
          <w:p w:rsidR="00F76973" w:rsidRPr="002B45FE" w:rsidRDefault="00F76973" w:rsidP="00F76973">
            <w:pPr>
              <w:spacing w:after="0"/>
              <w:ind w:left="0"/>
              <w:rPr>
                <w:sz w:val="14"/>
                <w:szCs w:val="14"/>
              </w:rPr>
            </w:pPr>
            <w:r w:rsidRPr="002B45FE">
              <w:rPr>
                <w:sz w:val="14"/>
                <w:szCs w:val="14"/>
              </w:rPr>
              <w:t xml:space="preserve">10,000 </w:t>
            </w:r>
            <w:r>
              <w:rPr>
                <w:sz w:val="14"/>
                <w:szCs w:val="14"/>
              </w:rPr>
              <w:t xml:space="preserve">customers </w:t>
            </w:r>
            <w:r w:rsidRPr="002B45FE">
              <w:rPr>
                <w:sz w:val="14"/>
                <w:szCs w:val="14"/>
              </w:rPr>
              <w:t>on social tariff</w:t>
            </w:r>
          </w:p>
        </w:tc>
        <w:tc>
          <w:tcPr>
            <w:tcW w:w="850" w:type="dxa"/>
          </w:tcPr>
          <w:p w:rsidR="00F76973" w:rsidRPr="00E7595B" w:rsidRDefault="00F76973" w:rsidP="00F76973">
            <w:pPr>
              <w:spacing w:after="0"/>
              <w:ind w:left="0"/>
              <w:jc w:val="center"/>
              <w:rPr>
                <w:sz w:val="14"/>
                <w:szCs w:val="14"/>
              </w:rPr>
            </w:pPr>
            <w:r>
              <w:rPr>
                <w:sz w:val="14"/>
                <w:szCs w:val="14"/>
              </w:rPr>
              <w:t>P</w:t>
            </w:r>
          </w:p>
        </w:tc>
      </w:tr>
      <w:tr w:rsidR="00F76973" w:rsidRPr="007C5AC6" w:rsidTr="00F84F6A">
        <w:tc>
          <w:tcPr>
            <w:tcW w:w="2405" w:type="dxa"/>
          </w:tcPr>
          <w:p w:rsidR="00F76973" w:rsidRPr="00F84F6A" w:rsidRDefault="00F76973" w:rsidP="00F76973">
            <w:pPr>
              <w:spacing w:before="20" w:after="20"/>
              <w:ind w:left="0"/>
              <w:rPr>
                <w:sz w:val="14"/>
                <w:szCs w:val="14"/>
              </w:rPr>
            </w:pPr>
            <w:r w:rsidRPr="00F84F6A">
              <w:rPr>
                <w:sz w:val="14"/>
                <w:szCs w:val="14"/>
              </w:rPr>
              <w:t>Void properties and gap sites</w:t>
            </w:r>
          </w:p>
        </w:tc>
        <w:tc>
          <w:tcPr>
            <w:tcW w:w="567" w:type="dxa"/>
          </w:tcPr>
          <w:p w:rsidR="00F76973" w:rsidRPr="007C5AC6" w:rsidRDefault="00F76973" w:rsidP="00F76973">
            <w:pPr>
              <w:spacing w:before="20" w:after="20"/>
              <w:ind w:left="0"/>
              <w:jc w:val="center"/>
              <w:rPr>
                <w:sz w:val="14"/>
                <w:szCs w:val="14"/>
              </w:rPr>
            </w:pPr>
            <w:r>
              <w:rPr>
                <w:sz w:val="14"/>
                <w:szCs w:val="14"/>
              </w:rPr>
              <w:t>B</w:t>
            </w:r>
          </w:p>
        </w:tc>
        <w:tc>
          <w:tcPr>
            <w:tcW w:w="1653" w:type="dxa"/>
          </w:tcPr>
          <w:p w:rsidR="00F76973" w:rsidRPr="00E7595B" w:rsidRDefault="00F76973" w:rsidP="00F76973">
            <w:pPr>
              <w:spacing w:after="0"/>
              <w:ind w:left="0"/>
              <w:rPr>
                <w:sz w:val="14"/>
                <w:szCs w:val="14"/>
              </w:rPr>
            </w:pPr>
            <w:r>
              <w:rPr>
                <w:sz w:val="14"/>
                <w:szCs w:val="14"/>
              </w:rPr>
              <w:t>n/a</w:t>
            </w:r>
          </w:p>
        </w:tc>
        <w:tc>
          <w:tcPr>
            <w:tcW w:w="1654" w:type="dxa"/>
          </w:tcPr>
          <w:p w:rsidR="00F76973" w:rsidRPr="002B45FE" w:rsidRDefault="00772301" w:rsidP="00F76973">
            <w:pPr>
              <w:spacing w:before="20" w:after="20"/>
              <w:ind w:left="0"/>
              <w:rPr>
                <w:sz w:val="14"/>
                <w:szCs w:val="14"/>
              </w:rPr>
            </w:pPr>
            <w:r>
              <w:rPr>
                <w:sz w:val="14"/>
                <w:szCs w:val="14"/>
              </w:rPr>
              <w:t>Within 0.25% of Local Authority Assessment</w:t>
            </w:r>
          </w:p>
        </w:tc>
        <w:tc>
          <w:tcPr>
            <w:tcW w:w="1654" w:type="dxa"/>
          </w:tcPr>
          <w:p w:rsidR="00F76973" w:rsidRPr="002B45FE" w:rsidRDefault="00F76973" w:rsidP="00F76973">
            <w:pPr>
              <w:spacing w:after="0"/>
              <w:ind w:left="0"/>
              <w:rPr>
                <w:sz w:val="14"/>
                <w:szCs w:val="14"/>
              </w:rPr>
            </w:pPr>
            <w:r w:rsidRPr="002B45FE">
              <w:rPr>
                <w:sz w:val="14"/>
                <w:szCs w:val="14"/>
              </w:rPr>
              <w:t xml:space="preserve">Better than </w:t>
            </w:r>
            <w:r>
              <w:rPr>
                <w:sz w:val="14"/>
                <w:szCs w:val="14"/>
              </w:rPr>
              <w:t>C</w:t>
            </w:r>
            <w:r w:rsidRPr="002B45FE">
              <w:rPr>
                <w:sz w:val="14"/>
                <w:szCs w:val="14"/>
              </w:rPr>
              <w:t>ouncil assessment</w:t>
            </w:r>
          </w:p>
        </w:tc>
        <w:tc>
          <w:tcPr>
            <w:tcW w:w="850" w:type="dxa"/>
          </w:tcPr>
          <w:p w:rsidR="00F76973" w:rsidRPr="00E7595B" w:rsidRDefault="00F76973" w:rsidP="00F76973">
            <w:pPr>
              <w:spacing w:after="0"/>
              <w:ind w:left="0"/>
              <w:jc w:val="center"/>
              <w:rPr>
                <w:sz w:val="14"/>
                <w:szCs w:val="14"/>
              </w:rPr>
            </w:pPr>
            <w:r>
              <w:rPr>
                <w:sz w:val="14"/>
                <w:szCs w:val="14"/>
              </w:rPr>
              <w:t>P</w:t>
            </w:r>
          </w:p>
        </w:tc>
      </w:tr>
    </w:tbl>
    <w:p w:rsidR="00011015" w:rsidRDefault="00011015" w:rsidP="0001101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393C0D" w:rsidRDefault="00393C0D" w:rsidP="00393C0D">
      <w:pPr>
        <w:rPr>
          <w:rFonts w:cs="Arial"/>
          <w:b/>
        </w:rPr>
      </w:pPr>
      <w:r w:rsidRPr="00EE4A9F">
        <w:rPr>
          <w:rFonts w:cs="Arial"/>
          <w:b/>
        </w:rPr>
        <w:t xml:space="preserve">A service tailored to individual needs at a </w:t>
      </w:r>
      <w:r w:rsidR="00DC1C14" w:rsidRPr="00EE4A9F">
        <w:rPr>
          <w:rFonts w:cs="Arial"/>
          <w:b/>
        </w:rPr>
        <w:t>long-term</w:t>
      </w:r>
      <w:r w:rsidRPr="00EE4A9F">
        <w:rPr>
          <w:rFonts w:cs="Arial"/>
          <w:b/>
        </w:rPr>
        <w:t xml:space="preserve"> affordable price</w:t>
      </w:r>
    </w:p>
    <w:p w:rsidR="00017B81" w:rsidRDefault="00017B81" w:rsidP="00393C0D">
      <w:pPr>
        <w:rPr>
          <w:rFonts w:cs="Arial"/>
        </w:rPr>
      </w:pPr>
      <w:r>
        <w:rPr>
          <w:rFonts w:cs="Arial"/>
        </w:rPr>
        <w:t>We are proud of our track record in serving customers, as illustrated by our strong SIM performance (1</w:t>
      </w:r>
      <w:r w:rsidRPr="00017B81">
        <w:rPr>
          <w:rFonts w:cs="Arial"/>
          <w:vertAlign w:val="superscript"/>
        </w:rPr>
        <w:t>st</w:t>
      </w:r>
      <w:r>
        <w:rPr>
          <w:rFonts w:cs="Arial"/>
        </w:rPr>
        <w:t xml:space="preserve"> in 2015/16 and 2016/17 and 2</w:t>
      </w:r>
      <w:r w:rsidRPr="00017B81">
        <w:rPr>
          <w:rFonts w:cs="Arial"/>
          <w:vertAlign w:val="superscript"/>
        </w:rPr>
        <w:t>nd</w:t>
      </w:r>
      <w:r>
        <w:rPr>
          <w:rFonts w:cs="Arial"/>
        </w:rPr>
        <w:t xml:space="preserve"> in 2017/18) and having obtained the ServiceMark from the </w:t>
      </w:r>
      <w:r w:rsidR="00DC1C14">
        <w:rPr>
          <w:rFonts w:cs="Arial"/>
        </w:rPr>
        <w:t>Institute</w:t>
      </w:r>
      <w:r>
        <w:rPr>
          <w:rFonts w:cs="Arial"/>
        </w:rPr>
        <w:t xml:space="preserve"> of Customer Service.</w:t>
      </w:r>
    </w:p>
    <w:p w:rsidR="00393C0D" w:rsidRDefault="00017B81" w:rsidP="00393C0D">
      <w:pPr>
        <w:rPr>
          <w:rFonts w:cs="Arial"/>
        </w:rPr>
      </w:pPr>
      <w:r>
        <w:rPr>
          <w:rFonts w:cs="Arial"/>
        </w:rPr>
        <w:t>However, s</w:t>
      </w:r>
      <w:r w:rsidR="00393C0D">
        <w:rPr>
          <w:rFonts w:cs="Arial"/>
        </w:rPr>
        <w:t xml:space="preserve">ervice is no longer a one size fits all proposition.  Customers’ expectations of service are increasing and technology allows more communication channels and methods to be employed to provide the service that customers want.  </w:t>
      </w:r>
      <w:r w:rsidR="00772301">
        <w:rPr>
          <w:rFonts w:cs="Arial"/>
        </w:rPr>
        <w:t>W</w:t>
      </w:r>
      <w:r w:rsidR="00393C0D">
        <w:rPr>
          <w:rFonts w:cs="Arial"/>
        </w:rPr>
        <w:t>hilst embracing change, we must cater for all customers and research has confirmed that increased choice is the way forward.</w:t>
      </w:r>
    </w:p>
    <w:p w:rsidR="00393C0D" w:rsidRDefault="00393C0D" w:rsidP="00393C0D">
      <w:pPr>
        <w:rPr>
          <w:rFonts w:cs="Arial"/>
        </w:rPr>
      </w:pPr>
      <w:r>
        <w:rPr>
          <w:rFonts w:cs="Arial"/>
        </w:rPr>
        <w:t>Our PR14 outcome was ‘A high quality service and value for money’ is still supported by customers, but they, and stakeholders, felt that the outcome failed to really capture the need to accommodate different preferred communication channels and serving those with particular needs.</w:t>
      </w:r>
    </w:p>
    <w:p w:rsidR="00393C0D" w:rsidRDefault="00393C0D" w:rsidP="00393C0D">
      <w:pPr>
        <w:rPr>
          <w:rFonts w:cs="Arial"/>
        </w:rPr>
      </w:pPr>
      <w:r>
        <w:rPr>
          <w:rFonts w:cs="Arial"/>
        </w:rPr>
        <w:t>Innovation is the key to meeting the changing needs of customers.  Portsmouth Water has a culture of innovation, supported by our Business Improvement Group.  The Business Improvement Group is made up of a selection of employees, who between them have a broad knowledge of existing systems, processes and policies.  Employees submit ideas for change and have the opportunity to present them to the Improvement Group.  After this initial presentation, a Business Systems Analyst assesses the proposal, to understand the cost benefit.</w:t>
      </w:r>
    </w:p>
    <w:p w:rsidR="000C468A" w:rsidRDefault="00393C0D" w:rsidP="00393C0D">
      <w:pPr>
        <w:rPr>
          <w:rFonts w:cs="Arial"/>
        </w:rPr>
      </w:pPr>
      <w:r>
        <w:rPr>
          <w:rFonts w:cs="Arial"/>
        </w:rPr>
        <w:t xml:space="preserve">An example of a recent submission related to improving the information that staff have when visiting customers with vulnerability or affordability issues.  Historically, these staff have not had full access on the road to our CRM system.  However, following this proposal having been assessed, we have developed mobile access to our data for these staff, but in such a way that is secure and GDPR compliant.  </w:t>
      </w:r>
    </w:p>
    <w:p w:rsidR="00393C0D" w:rsidRDefault="00393C0D" w:rsidP="00393C0D">
      <w:pPr>
        <w:rPr>
          <w:rFonts w:cs="Arial"/>
        </w:rPr>
      </w:pPr>
      <w:r>
        <w:rPr>
          <w:rFonts w:cs="Arial"/>
        </w:rPr>
        <w:t xml:space="preserve">Accordingly, efficiency has improved as now much less time is spent in the office preparing for visits and recording the outcome.  </w:t>
      </w:r>
      <w:r w:rsidR="00DC1C14">
        <w:rPr>
          <w:rFonts w:cs="Arial"/>
        </w:rPr>
        <w:t>In addition</w:t>
      </w:r>
      <w:r>
        <w:rPr>
          <w:rFonts w:cs="Arial"/>
        </w:rPr>
        <w:t>, customers can be given up to date information in their home and be set up for the services that they require there and then, improving service.</w:t>
      </w:r>
    </w:p>
    <w:p w:rsidR="00393C0D" w:rsidRDefault="00393C0D" w:rsidP="00393C0D">
      <w:pPr>
        <w:rPr>
          <w:rFonts w:cs="Arial"/>
        </w:rPr>
      </w:pPr>
      <w:r>
        <w:rPr>
          <w:rFonts w:cs="Arial"/>
        </w:rPr>
        <w:t>Innovation, like the example above, are normally small steps taken to achieve continuous improvement.  We believe that innovation is as much about the small ideas as the big ones.</w:t>
      </w:r>
    </w:p>
    <w:p w:rsidR="00393C0D" w:rsidRDefault="00393C0D" w:rsidP="00393C0D">
      <w:pPr>
        <w:rPr>
          <w:rFonts w:cs="Arial"/>
        </w:rPr>
      </w:pPr>
      <w:r>
        <w:rPr>
          <w:rFonts w:cs="Arial"/>
        </w:rPr>
        <w:t>Our ongoing engagement with customers, analysis of customer contacts and complaints and membership of the Institute of Customer Service all drive change within the business to help deliver this outcome.</w:t>
      </w:r>
    </w:p>
    <w:p w:rsidR="00393C0D" w:rsidRDefault="00393C0D" w:rsidP="00393C0D">
      <w:pPr>
        <w:rPr>
          <w:rFonts w:cs="Arial"/>
        </w:rPr>
      </w:pPr>
      <w:r>
        <w:rPr>
          <w:rFonts w:cs="Arial"/>
        </w:rPr>
        <w:t>Understanding what customers want requires not only engagement with customers but also with organisations that support them, this being especially true of hard to reach customers and those at times of vulnerability.</w:t>
      </w:r>
    </w:p>
    <w:p w:rsidR="008B3495" w:rsidRDefault="00393C0D" w:rsidP="00393C0D">
      <w:pPr>
        <w:rPr>
          <w:rFonts w:cs="Arial"/>
        </w:rPr>
      </w:pPr>
      <w:r>
        <w:rPr>
          <w:rFonts w:cs="Arial"/>
        </w:rPr>
        <w:t>The appointment of a Customer Support Officer in the last 18 months has significantly improved the extent and quality of our engagement with outside organisations.  We believe that harnessing relationships with outside organisations is the key to equipping ourselves to best handle vulnerability, in all the forms that it takes.</w:t>
      </w:r>
    </w:p>
    <w:p w:rsidR="008B3495" w:rsidRDefault="008B3495">
      <w:pPr>
        <w:tabs>
          <w:tab w:val="clear" w:pos="851"/>
        </w:tabs>
        <w:spacing w:after="0"/>
        <w:ind w:left="0"/>
        <w:jc w:val="left"/>
        <w:rPr>
          <w:rFonts w:cs="Arial"/>
        </w:rPr>
      </w:pPr>
      <w:r>
        <w:rPr>
          <w:rFonts w:cs="Arial"/>
        </w:rPr>
        <w:br w:type="page"/>
      </w:r>
    </w:p>
    <w:p w:rsidR="00393C0D" w:rsidRDefault="00393C0D" w:rsidP="00E85076">
      <w:pPr>
        <w:pStyle w:val="Heading3"/>
      </w:pPr>
      <w:bookmarkStart w:id="74" w:name="_Toc523651263"/>
      <w:r w:rsidRPr="00721E0E">
        <w:t>Customer Insight and Triangulation</w:t>
      </w:r>
      <w:r>
        <w:t xml:space="preserve"> relating to this outcome</w:t>
      </w:r>
      <w:bookmarkEnd w:id="74"/>
    </w:p>
    <w:tbl>
      <w:tblPr>
        <w:tblStyle w:val="TableGrid23"/>
        <w:tblW w:w="9923" w:type="dxa"/>
        <w:tblInd w:w="137" w:type="dxa"/>
        <w:tblLook w:val="04A0" w:firstRow="1" w:lastRow="0" w:firstColumn="1" w:lastColumn="0" w:noHBand="0" w:noVBand="1"/>
      </w:tblPr>
      <w:tblGrid>
        <w:gridCol w:w="2693"/>
        <w:gridCol w:w="4395"/>
        <w:gridCol w:w="2835"/>
      </w:tblGrid>
      <w:tr w:rsidR="00393C0D" w:rsidRPr="00772B39" w:rsidTr="00B75CD9">
        <w:tc>
          <w:tcPr>
            <w:tcW w:w="2693" w:type="dxa"/>
            <w:shd w:val="clear" w:color="auto" w:fill="2E74B5" w:themeFill="accent1" w:themeFillShade="BF"/>
          </w:tcPr>
          <w:p w:rsidR="00393C0D" w:rsidRPr="00772B39" w:rsidRDefault="00393C0D" w:rsidP="00772B39">
            <w:pPr>
              <w:tabs>
                <w:tab w:val="clear" w:pos="851"/>
              </w:tabs>
              <w:spacing w:before="20" w:after="20"/>
              <w:ind w:left="0"/>
              <w:jc w:val="left"/>
              <w:rPr>
                <w:rFonts w:cs="Arial"/>
                <w:b/>
                <w:color w:val="FFFFFF"/>
                <w:sz w:val="16"/>
                <w:szCs w:val="16"/>
              </w:rPr>
            </w:pPr>
            <w:r w:rsidRPr="00772B39">
              <w:rPr>
                <w:rFonts w:cs="Arial"/>
                <w:b/>
                <w:color w:val="FFFFFF"/>
                <w:sz w:val="16"/>
                <w:szCs w:val="16"/>
              </w:rPr>
              <w:t>Research</w:t>
            </w:r>
            <w:r w:rsidR="000C468A">
              <w:rPr>
                <w:rFonts w:cs="Arial"/>
                <w:b/>
                <w:color w:val="FFFFFF"/>
                <w:sz w:val="16"/>
                <w:szCs w:val="16"/>
              </w:rPr>
              <w:t xml:space="preserve"> and Triangulation</w:t>
            </w:r>
          </w:p>
        </w:tc>
        <w:tc>
          <w:tcPr>
            <w:tcW w:w="4395" w:type="dxa"/>
            <w:shd w:val="clear" w:color="auto" w:fill="2E74B5" w:themeFill="accent1" w:themeFillShade="BF"/>
          </w:tcPr>
          <w:p w:rsidR="00393C0D" w:rsidRPr="00772B39" w:rsidRDefault="00393C0D" w:rsidP="00772B39">
            <w:pPr>
              <w:tabs>
                <w:tab w:val="clear" w:pos="851"/>
              </w:tabs>
              <w:spacing w:before="20" w:after="20"/>
              <w:ind w:left="0"/>
              <w:jc w:val="left"/>
              <w:rPr>
                <w:rFonts w:cs="Arial"/>
                <w:b/>
                <w:color w:val="FFFFFF"/>
                <w:sz w:val="16"/>
                <w:szCs w:val="16"/>
              </w:rPr>
            </w:pPr>
            <w:r w:rsidRPr="00772B39">
              <w:rPr>
                <w:rFonts w:cs="Arial"/>
                <w:b/>
                <w:color w:val="FFFFFF"/>
                <w:sz w:val="16"/>
                <w:szCs w:val="16"/>
              </w:rPr>
              <w:t>Insight</w:t>
            </w:r>
          </w:p>
        </w:tc>
        <w:tc>
          <w:tcPr>
            <w:tcW w:w="2835" w:type="dxa"/>
            <w:shd w:val="clear" w:color="auto" w:fill="2E74B5" w:themeFill="accent1" w:themeFillShade="BF"/>
          </w:tcPr>
          <w:p w:rsidR="00393C0D" w:rsidRPr="00772B39" w:rsidRDefault="00393C0D" w:rsidP="00772B39">
            <w:pPr>
              <w:tabs>
                <w:tab w:val="clear" w:pos="851"/>
              </w:tabs>
              <w:spacing w:before="20" w:after="20"/>
              <w:ind w:left="0"/>
              <w:jc w:val="left"/>
              <w:rPr>
                <w:rFonts w:cs="Arial"/>
                <w:b/>
                <w:color w:val="FFFFFF"/>
                <w:sz w:val="16"/>
                <w:szCs w:val="16"/>
              </w:rPr>
            </w:pPr>
            <w:r w:rsidRPr="00772B39">
              <w:rPr>
                <w:rFonts w:cs="Arial"/>
                <w:b/>
                <w:color w:val="FFFFFF"/>
                <w:sz w:val="16"/>
                <w:szCs w:val="16"/>
              </w:rPr>
              <w:t>Impact on the business plan</w:t>
            </w: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Baseline research – 4 Focus Groups conducted by Accent</w:t>
            </w:r>
            <w:r w:rsidR="007C373D">
              <w:rPr>
                <w:rFonts w:cs="Arial"/>
                <w:sz w:val="16"/>
                <w:szCs w:val="16"/>
              </w:rPr>
              <w:t xml:space="preserve"> (Appendix 2.3)</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Modern billing &amp; customer service, SMART meters, e-billing, online account management, App.</w:t>
            </w:r>
          </w:p>
          <w:p w:rsidR="00393C0D" w:rsidRDefault="00393C0D" w:rsidP="00772B39">
            <w:pPr>
              <w:tabs>
                <w:tab w:val="clear" w:pos="851"/>
              </w:tabs>
              <w:spacing w:before="20" w:after="20"/>
              <w:ind w:left="0"/>
              <w:jc w:val="left"/>
              <w:rPr>
                <w:rFonts w:cs="Arial"/>
                <w:sz w:val="16"/>
                <w:szCs w:val="16"/>
              </w:rPr>
            </w:pPr>
            <w:r w:rsidRPr="00772B39">
              <w:rPr>
                <w:rFonts w:cs="Arial"/>
                <w:sz w:val="16"/>
                <w:szCs w:val="16"/>
              </w:rPr>
              <w:t>There is a need for multiple communication channels.</w:t>
            </w:r>
          </w:p>
          <w:p w:rsidR="00772301" w:rsidRPr="00772B39" w:rsidRDefault="00772301" w:rsidP="00067353">
            <w:pPr>
              <w:tabs>
                <w:tab w:val="clear" w:pos="851"/>
              </w:tabs>
              <w:spacing w:before="20" w:after="20"/>
              <w:ind w:left="0"/>
              <w:jc w:val="left"/>
              <w:rPr>
                <w:rFonts w:cs="Arial"/>
                <w:sz w:val="16"/>
                <w:szCs w:val="16"/>
              </w:rPr>
            </w:pPr>
            <w:r>
              <w:rPr>
                <w:rFonts w:cs="Arial"/>
                <w:sz w:val="16"/>
                <w:szCs w:val="16"/>
              </w:rPr>
              <w:t xml:space="preserve">Supported </w:t>
            </w:r>
            <w:r w:rsidR="00067353">
              <w:rPr>
                <w:rFonts w:cs="Arial"/>
                <w:sz w:val="16"/>
                <w:szCs w:val="16"/>
              </w:rPr>
              <w:t>S</w:t>
            </w:r>
            <w:r>
              <w:rPr>
                <w:rFonts w:cs="Arial"/>
                <w:sz w:val="16"/>
                <w:szCs w:val="16"/>
              </w:rPr>
              <w:t>ocial Tariff.</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Shaped definition of outcome.</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Support for Social Tariff,</w:t>
            </w:r>
          </w:p>
        </w:tc>
      </w:tr>
      <w:tr w:rsidR="00393C0D" w:rsidRPr="00772B39" w:rsidTr="00B75CD9">
        <w:tc>
          <w:tcPr>
            <w:tcW w:w="2693" w:type="dxa"/>
          </w:tcPr>
          <w:p w:rsidR="00393C0D" w:rsidRPr="00772B39" w:rsidRDefault="00393C0D" w:rsidP="007C373D">
            <w:pPr>
              <w:tabs>
                <w:tab w:val="clear" w:pos="851"/>
              </w:tabs>
              <w:spacing w:before="20" w:after="20"/>
              <w:ind w:left="0"/>
              <w:jc w:val="left"/>
              <w:rPr>
                <w:rFonts w:cs="Arial"/>
                <w:sz w:val="16"/>
                <w:szCs w:val="16"/>
              </w:rPr>
            </w:pPr>
            <w:r w:rsidRPr="00772B39">
              <w:rPr>
                <w:rFonts w:cs="Arial"/>
                <w:sz w:val="16"/>
                <w:szCs w:val="16"/>
              </w:rPr>
              <w:t xml:space="preserve">Customer Advisory Panels </w:t>
            </w:r>
            <w:r w:rsidR="007C373D">
              <w:rPr>
                <w:rFonts w:cs="Arial"/>
                <w:sz w:val="16"/>
                <w:szCs w:val="16"/>
              </w:rPr>
              <w:t>(Appendix 2.4, 2.7, 2.16, 2.22)</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Need for more communication channels.</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Awareness of schemes to help the </w:t>
            </w:r>
            <w:r w:rsidR="00DC1C14" w:rsidRPr="00772B39">
              <w:rPr>
                <w:rFonts w:cs="Arial"/>
                <w:sz w:val="16"/>
                <w:szCs w:val="16"/>
              </w:rPr>
              <w:t>low-income</w:t>
            </w:r>
            <w:r w:rsidRPr="00772B39">
              <w:rPr>
                <w:rFonts w:cs="Arial"/>
                <w:sz w:val="16"/>
                <w:szCs w:val="16"/>
              </w:rPr>
              <w:t xml:space="preserve"> households.</w:t>
            </w:r>
          </w:p>
          <w:p w:rsidR="00393C0D" w:rsidRPr="00772B39" w:rsidRDefault="00DC1C14" w:rsidP="00772B39">
            <w:pPr>
              <w:tabs>
                <w:tab w:val="clear" w:pos="851"/>
              </w:tabs>
              <w:spacing w:before="20" w:after="20"/>
              <w:ind w:left="0"/>
              <w:jc w:val="left"/>
              <w:rPr>
                <w:rFonts w:cs="Arial"/>
                <w:sz w:val="16"/>
                <w:szCs w:val="16"/>
              </w:rPr>
            </w:pPr>
            <w:r w:rsidRPr="00772B39">
              <w:rPr>
                <w:rFonts w:cs="Arial"/>
                <w:sz w:val="16"/>
                <w:szCs w:val="16"/>
              </w:rPr>
              <w:t>Do not</w:t>
            </w:r>
            <w:r w:rsidR="00393C0D" w:rsidRPr="00772B39">
              <w:rPr>
                <w:rFonts w:cs="Arial"/>
                <w:sz w:val="16"/>
                <w:szCs w:val="16"/>
              </w:rPr>
              <w:t xml:space="preserve"> like the thought of a </w:t>
            </w:r>
            <w:r w:rsidRPr="00772B39">
              <w:rPr>
                <w:rFonts w:cs="Arial"/>
                <w:sz w:val="16"/>
                <w:szCs w:val="16"/>
              </w:rPr>
              <w:t>meter,</w:t>
            </w:r>
            <w:r w:rsidR="00393C0D" w:rsidRPr="00772B39">
              <w:rPr>
                <w:rFonts w:cs="Arial"/>
                <w:sz w:val="16"/>
                <w:szCs w:val="16"/>
              </w:rPr>
              <w:t xml:space="preserve"> as it will increase bills.</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Social Tariff scheme seen as a positive &amp; support funding it but want reassurance we are reaching the right people. </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Happy with our service but would benefit from online service, e-billing, an App, text service and extended opening hours. </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Support for the principle of a Social Tariff and agreed proposed increase in numbers.</w:t>
            </w: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ICS Consulting Research- Survey work on Outcome priorities, Performance Commitment targets &amp; rewards &amp; penalties </w:t>
            </w:r>
            <w:r w:rsidR="007C373D">
              <w:rPr>
                <w:rFonts w:cs="Arial"/>
                <w:sz w:val="16"/>
                <w:szCs w:val="16"/>
              </w:rPr>
              <w:t>(Appendix 2.17)</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Affordability &amp; vulnerability are supported with a penalty only incentive structure.</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Support Social Tariff.</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Strong support for us remaining the lowest bills in the country. </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Bills should be made more affordable for everyone, including people who work hard and have to subsidise other people bills who </w:t>
            </w:r>
            <w:r w:rsidR="00DC1C14" w:rsidRPr="00772B39">
              <w:rPr>
                <w:rFonts w:cs="Arial"/>
                <w:sz w:val="16"/>
                <w:szCs w:val="16"/>
              </w:rPr>
              <w:t>do not</w:t>
            </w:r>
            <w:r w:rsidRPr="00772B39">
              <w:rPr>
                <w:rFonts w:cs="Arial"/>
                <w:sz w:val="16"/>
                <w:szCs w:val="16"/>
              </w:rPr>
              <w:t xml:space="preserve"> work.   </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Social Tariff support and overall approach to keeping bills low.</w:t>
            </w: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Future Issues- Student Survey</w:t>
            </w:r>
            <w:r w:rsidR="007C373D">
              <w:rPr>
                <w:rFonts w:cs="Arial"/>
                <w:sz w:val="16"/>
                <w:szCs w:val="16"/>
              </w:rPr>
              <w:t xml:space="preserve"> (Appendix 2.11)</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Students unsure whether they would support people on low income by paying more. </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Majority felt that we are good value for money.</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Fed into strategic decisions</w:t>
            </w: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CCWater Matter Research</w:t>
            </w:r>
            <w:r w:rsidR="007C373D">
              <w:rPr>
                <w:rFonts w:cs="Arial"/>
                <w:sz w:val="16"/>
                <w:szCs w:val="16"/>
              </w:rPr>
              <w:t xml:space="preserve"> (Appendix 2.1 Customer Engagement and Triangulation)</w:t>
            </w:r>
          </w:p>
        </w:tc>
        <w:tc>
          <w:tcPr>
            <w:tcW w:w="4395" w:type="dxa"/>
          </w:tcPr>
          <w:p w:rsidR="00393C0D" w:rsidRPr="00772B39" w:rsidRDefault="00393C0D" w:rsidP="000E00EE">
            <w:pPr>
              <w:tabs>
                <w:tab w:val="clear" w:pos="851"/>
              </w:tabs>
              <w:spacing w:before="20" w:after="20"/>
              <w:ind w:left="0"/>
              <w:jc w:val="left"/>
              <w:rPr>
                <w:rFonts w:cs="Arial"/>
                <w:sz w:val="16"/>
                <w:szCs w:val="16"/>
              </w:rPr>
            </w:pPr>
            <w:r w:rsidRPr="00772B39">
              <w:rPr>
                <w:rFonts w:cs="Arial"/>
                <w:sz w:val="16"/>
                <w:szCs w:val="16"/>
              </w:rPr>
              <w:t xml:space="preserve">High percentage satisfied with value for money for Portsmouth Water </w:t>
            </w:r>
            <w:r w:rsidR="000E00EE">
              <w:rPr>
                <w:rFonts w:cs="Arial"/>
                <w:sz w:val="16"/>
                <w:szCs w:val="16"/>
              </w:rPr>
              <w:t xml:space="preserve">above </w:t>
            </w:r>
            <w:r w:rsidRPr="00772B39">
              <w:rPr>
                <w:rFonts w:cs="Arial"/>
                <w:sz w:val="16"/>
                <w:szCs w:val="16"/>
              </w:rPr>
              <w:t xml:space="preserve">industry average.  </w:t>
            </w:r>
          </w:p>
        </w:tc>
        <w:tc>
          <w:tcPr>
            <w:tcW w:w="2835" w:type="dxa"/>
          </w:tcPr>
          <w:p w:rsidR="00393C0D" w:rsidRPr="00772B39" w:rsidRDefault="00393C0D" w:rsidP="00772B39">
            <w:pPr>
              <w:tabs>
                <w:tab w:val="clear" w:pos="851"/>
              </w:tabs>
              <w:spacing w:before="20" w:after="20"/>
              <w:ind w:left="0"/>
              <w:jc w:val="left"/>
              <w:rPr>
                <w:rFonts w:cs="Arial"/>
                <w:sz w:val="16"/>
                <w:szCs w:val="16"/>
              </w:rPr>
            </w:pP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Institute of Customer Service (I</w:t>
            </w:r>
            <w:r w:rsidR="00DA6223">
              <w:rPr>
                <w:rFonts w:cs="Arial"/>
                <w:sz w:val="16"/>
                <w:szCs w:val="16"/>
              </w:rPr>
              <w:t>o</w:t>
            </w:r>
            <w:r w:rsidRPr="00772B39">
              <w:rPr>
                <w:rFonts w:cs="Arial"/>
                <w:sz w:val="16"/>
                <w:szCs w:val="16"/>
              </w:rPr>
              <w:t xml:space="preserve">CS)- Survey with our customers and employees </w:t>
            </w:r>
            <w:r w:rsidR="007C373D">
              <w:rPr>
                <w:rFonts w:cs="Arial"/>
                <w:sz w:val="16"/>
                <w:szCs w:val="16"/>
              </w:rPr>
              <w:t>(Appendix 2.8)</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Helpfulness and competence of staff scored highly compared to industry average.</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Ease of getting through on the phone, on time delivery on the phone, handling of queries all scored higher than the average over the industry. </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Availability of online support is voted low.</w:t>
            </w:r>
          </w:p>
          <w:p w:rsidR="00393C0D" w:rsidRPr="00772B39" w:rsidRDefault="00393C0D" w:rsidP="00772301">
            <w:pPr>
              <w:tabs>
                <w:tab w:val="clear" w:pos="851"/>
              </w:tabs>
              <w:spacing w:before="20" w:after="20"/>
              <w:ind w:left="0"/>
              <w:jc w:val="left"/>
              <w:rPr>
                <w:rFonts w:cs="Arial"/>
                <w:sz w:val="16"/>
                <w:szCs w:val="16"/>
              </w:rPr>
            </w:pPr>
            <w:r w:rsidRPr="00772B39">
              <w:rPr>
                <w:rFonts w:cs="Arial"/>
                <w:sz w:val="16"/>
                <w:szCs w:val="16"/>
              </w:rPr>
              <w:t xml:space="preserve">Improvements suggested are, paperless bills, online service, customer care and admin details. </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We have an action plan and are responding to this feedback as business as usual.  There is no need to seek </w:t>
            </w:r>
            <w:r w:rsidR="00DC1C14" w:rsidRPr="00772B39">
              <w:rPr>
                <w:rFonts w:cs="Arial"/>
                <w:sz w:val="16"/>
                <w:szCs w:val="16"/>
              </w:rPr>
              <w:t>funding,</w:t>
            </w:r>
            <w:r w:rsidRPr="00772B39">
              <w:rPr>
                <w:rFonts w:cs="Arial"/>
                <w:sz w:val="16"/>
                <w:szCs w:val="16"/>
              </w:rPr>
              <w:t xml:space="preserve"> as we believe that we can modernise service without adversely impacting our cost to serve.</w:t>
            </w: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Service Incentive Mechanism (SIM)</w:t>
            </w:r>
            <w:r w:rsidR="007C373D">
              <w:rPr>
                <w:rFonts w:cs="Arial"/>
                <w:sz w:val="16"/>
                <w:szCs w:val="16"/>
              </w:rPr>
              <w:t xml:space="preserve"> (Appendix 2.1)</w:t>
            </w:r>
          </w:p>
        </w:tc>
        <w:tc>
          <w:tcPr>
            <w:tcW w:w="4395" w:type="dxa"/>
          </w:tcPr>
          <w:p w:rsidR="00393C0D" w:rsidRPr="00772B39" w:rsidRDefault="00393C0D" w:rsidP="000E00EE">
            <w:pPr>
              <w:tabs>
                <w:tab w:val="clear" w:pos="851"/>
              </w:tabs>
              <w:spacing w:before="20" w:after="20"/>
              <w:ind w:left="0"/>
              <w:jc w:val="left"/>
              <w:rPr>
                <w:rFonts w:cs="Arial"/>
                <w:sz w:val="16"/>
                <w:szCs w:val="16"/>
              </w:rPr>
            </w:pPr>
            <w:r w:rsidRPr="00772B39">
              <w:rPr>
                <w:rFonts w:cs="Arial"/>
                <w:sz w:val="16"/>
                <w:szCs w:val="16"/>
              </w:rPr>
              <w:t>1</w:t>
            </w:r>
            <w:r w:rsidRPr="00772B39">
              <w:rPr>
                <w:rFonts w:cs="Arial"/>
                <w:sz w:val="16"/>
                <w:szCs w:val="16"/>
                <w:vertAlign w:val="superscript"/>
              </w:rPr>
              <w:t>st</w:t>
            </w:r>
            <w:r w:rsidRPr="00772B39">
              <w:rPr>
                <w:rFonts w:cs="Arial"/>
                <w:sz w:val="16"/>
                <w:szCs w:val="16"/>
              </w:rPr>
              <w:t xml:space="preserve"> in </w:t>
            </w:r>
            <w:r w:rsidR="000E00EE">
              <w:rPr>
                <w:rFonts w:cs="Arial"/>
                <w:sz w:val="16"/>
                <w:szCs w:val="16"/>
              </w:rPr>
              <w:t>2015/16 and 2016/17 and 2</w:t>
            </w:r>
            <w:r w:rsidR="000E00EE" w:rsidRPr="000E00EE">
              <w:rPr>
                <w:rFonts w:cs="Arial"/>
                <w:sz w:val="16"/>
                <w:szCs w:val="16"/>
                <w:vertAlign w:val="superscript"/>
              </w:rPr>
              <w:t>nd</w:t>
            </w:r>
            <w:r w:rsidR="000E00EE">
              <w:rPr>
                <w:rFonts w:cs="Arial"/>
                <w:sz w:val="16"/>
                <w:szCs w:val="16"/>
              </w:rPr>
              <w:t xml:space="preserve"> in 2017/18.</w:t>
            </w:r>
          </w:p>
        </w:tc>
        <w:tc>
          <w:tcPr>
            <w:tcW w:w="2835" w:type="dxa"/>
          </w:tcPr>
          <w:p w:rsidR="00393C0D" w:rsidRPr="00772B39" w:rsidRDefault="00393C0D" w:rsidP="00772B39">
            <w:pPr>
              <w:tabs>
                <w:tab w:val="clear" w:pos="851"/>
              </w:tabs>
              <w:spacing w:before="20" w:after="20"/>
              <w:ind w:left="0"/>
              <w:jc w:val="left"/>
              <w:rPr>
                <w:rFonts w:cs="Arial"/>
                <w:sz w:val="16"/>
                <w:szCs w:val="16"/>
              </w:rPr>
            </w:pP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Complaints &amp; Unwanted contacts triangulation </w:t>
            </w:r>
            <w:r w:rsidR="007C373D">
              <w:rPr>
                <w:rFonts w:cs="Arial"/>
                <w:sz w:val="16"/>
                <w:szCs w:val="16"/>
              </w:rPr>
              <w:t>(Appendix 2.1)</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Billing disputes, No reply to correspondence, difficulty getting through to other departments, no e-billing facility and affordability of bill the most common complaints received. </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Followed by general billing enquiry and direct debit query voted highly in unwanted contacts too. </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We review complaints monthly and action changes to processes and policies on an ongoing basis.</w:t>
            </w: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Employee engagement</w:t>
            </w:r>
            <w:r w:rsidR="007C373D">
              <w:rPr>
                <w:rFonts w:cs="Arial"/>
                <w:sz w:val="16"/>
                <w:szCs w:val="16"/>
              </w:rPr>
              <w:t xml:space="preserve"> (Appendix 2.9)</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Introduce payment holiday, have events and invite the vulnerable, exchange more information with Southern Water on vulnerable customers. </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Have incentive schemes, suitable payment plans, early intervention &amp; financial advice.</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Offer e-billing portal to pay bill, text alerts, and live chat should be considered. </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We have now introduced Live Chat and are better communicating with staff things that go on behind the scenes.</w:t>
            </w: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Future issues- school engagement</w:t>
            </w:r>
            <w:r w:rsidR="007C373D">
              <w:rPr>
                <w:rFonts w:cs="Arial"/>
                <w:sz w:val="16"/>
                <w:szCs w:val="16"/>
              </w:rPr>
              <w:t xml:space="preserve"> (Appendix 2.12, 2.13)</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Pupils felt there should be a mixture of current &amp; future customers who should pay for future demand. </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Fed into strategic decisions</w:t>
            </w: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Developers</w:t>
            </w:r>
            <w:r w:rsidR="007C373D">
              <w:rPr>
                <w:rFonts w:cs="Arial"/>
                <w:sz w:val="16"/>
                <w:szCs w:val="16"/>
              </w:rPr>
              <w:t xml:space="preserve"> (Appendix 2.2, 2.5, 2.19)</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Ease of communication drives satisfaction levels recognising we are a small company but delivering a personal service. </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Streamline application forms and response times quicker should be looked to improve service.</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Communication could be better after retirements in the company and losing knowledgeable employees. </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We do not ask for feedback at the end</w:t>
            </w:r>
            <w:r w:rsidR="000E00EE">
              <w:rPr>
                <w:rFonts w:cs="Arial"/>
                <w:sz w:val="16"/>
                <w:szCs w:val="16"/>
              </w:rPr>
              <w:t xml:space="preserve"> of any job</w:t>
            </w:r>
            <w:r w:rsidRPr="00772B39">
              <w:rPr>
                <w:rFonts w:cs="Arial"/>
                <w:sz w:val="16"/>
                <w:szCs w:val="16"/>
              </w:rPr>
              <w:t>.</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Need for more senior employees to oversee work at the end to ensure correct</w:t>
            </w:r>
            <w:r w:rsidR="000E00EE">
              <w:rPr>
                <w:rFonts w:cs="Arial"/>
                <w:sz w:val="16"/>
                <w:szCs w:val="16"/>
              </w:rPr>
              <w:t xml:space="preserve"> actions</w:t>
            </w:r>
            <w:r w:rsidRPr="00772B39">
              <w:rPr>
                <w:rFonts w:cs="Arial"/>
                <w:sz w:val="16"/>
                <w:szCs w:val="16"/>
              </w:rPr>
              <w:t xml:space="preserve">. </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We have taking on board this feedback and are working to improve, where shortcomings are identified.</w:t>
            </w:r>
          </w:p>
        </w:tc>
      </w:tr>
      <w:tr w:rsidR="00393C0D" w:rsidRPr="00772B39" w:rsidTr="00B75CD9">
        <w:tc>
          <w:tcPr>
            <w:tcW w:w="2693"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Retailers</w:t>
            </w:r>
            <w:r w:rsidR="007C373D">
              <w:rPr>
                <w:rFonts w:cs="Arial"/>
                <w:sz w:val="16"/>
                <w:szCs w:val="16"/>
              </w:rPr>
              <w:t xml:space="preserve"> (Appendix 2.23)</w:t>
            </w:r>
          </w:p>
        </w:tc>
        <w:tc>
          <w:tcPr>
            <w:tcW w:w="439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 xml:space="preserve">Bilateral portal found to be useful. </w:t>
            </w:r>
          </w:p>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The need to standardise wholesale charges as confusing for customers</w:t>
            </w:r>
          </w:p>
        </w:tc>
        <w:tc>
          <w:tcPr>
            <w:tcW w:w="2835" w:type="dxa"/>
          </w:tcPr>
          <w:p w:rsidR="00393C0D" w:rsidRPr="00772B39" w:rsidRDefault="00393C0D" w:rsidP="00772B39">
            <w:pPr>
              <w:tabs>
                <w:tab w:val="clear" w:pos="851"/>
              </w:tabs>
              <w:spacing w:before="20" w:after="20"/>
              <w:ind w:left="0"/>
              <w:jc w:val="left"/>
              <w:rPr>
                <w:rFonts w:cs="Arial"/>
                <w:sz w:val="16"/>
                <w:szCs w:val="16"/>
              </w:rPr>
            </w:pPr>
            <w:r w:rsidRPr="00772B39">
              <w:rPr>
                <w:rFonts w:cs="Arial"/>
                <w:sz w:val="16"/>
                <w:szCs w:val="16"/>
              </w:rPr>
              <w:t>Very little feedback has been received from Retailers.</w:t>
            </w:r>
          </w:p>
        </w:tc>
      </w:tr>
    </w:tbl>
    <w:p w:rsidR="00D37A94" w:rsidRPr="00D37A94" w:rsidRDefault="00D37A94" w:rsidP="00393C0D">
      <w:pPr>
        <w:rPr>
          <w:rFonts w:cs="Arial"/>
          <w:b/>
        </w:rPr>
      </w:pPr>
      <w:r w:rsidRPr="00D37A94">
        <w:rPr>
          <w:rFonts w:cs="Arial"/>
          <w:b/>
        </w:rPr>
        <w:t>What customers said</w:t>
      </w:r>
    </w:p>
    <w:p w:rsidR="00393C0D" w:rsidRPr="007E2A09" w:rsidRDefault="00393C0D" w:rsidP="00393C0D">
      <w:pPr>
        <w:rPr>
          <w:rFonts w:cs="Arial"/>
        </w:rPr>
      </w:pPr>
      <w:r w:rsidRPr="007E2A09">
        <w:rPr>
          <w:rFonts w:cs="Arial"/>
        </w:rPr>
        <w:t>Focus Groups</w:t>
      </w:r>
      <w:r w:rsidR="00067353">
        <w:rPr>
          <w:rFonts w:cs="Arial"/>
        </w:rPr>
        <w:t xml:space="preserve"> were</w:t>
      </w:r>
      <w:r w:rsidRPr="007E2A09">
        <w:rPr>
          <w:rFonts w:cs="Arial"/>
        </w:rPr>
        <w:t xml:space="preserve"> supportive of levels of service, </w:t>
      </w:r>
      <w:r w:rsidR="00451E46">
        <w:rPr>
          <w:rFonts w:cs="Arial"/>
        </w:rPr>
        <w:t xml:space="preserve">the assurance </w:t>
      </w:r>
      <w:r w:rsidRPr="007E2A09">
        <w:rPr>
          <w:rFonts w:cs="Arial"/>
        </w:rPr>
        <w:t>and target</w:t>
      </w:r>
      <w:r w:rsidR="00451E46">
        <w:rPr>
          <w:rFonts w:cs="Arial"/>
        </w:rPr>
        <w:t>ed</w:t>
      </w:r>
      <w:r w:rsidRPr="007E2A09">
        <w:rPr>
          <w:rFonts w:cs="Arial"/>
        </w:rPr>
        <w:t xml:space="preserve"> performance.</w:t>
      </w:r>
    </w:p>
    <w:p w:rsidR="00393C0D" w:rsidRDefault="00393C0D" w:rsidP="00393C0D">
      <w:pPr>
        <w:rPr>
          <w:rFonts w:cs="Arial"/>
        </w:rPr>
      </w:pPr>
      <w:r>
        <w:rPr>
          <w:rFonts w:cs="Arial"/>
        </w:rPr>
        <w:t>A common theme through Focus Groups, our Customer Advisory Panel (CAP) and Institute of Customer Service Survey is that whilst our service offering via traditional channels is very good, we need to modernise our communication and interaction channels, thereby better catering for customers that like to manage their service provision on-line and/or via other technology platforms.</w:t>
      </w:r>
    </w:p>
    <w:p w:rsidR="00393C0D" w:rsidRDefault="00393C0D" w:rsidP="00393C0D">
      <w:pPr>
        <w:rPr>
          <w:rFonts w:cs="Arial"/>
        </w:rPr>
      </w:pPr>
      <w:r>
        <w:rPr>
          <w:rFonts w:cs="Arial"/>
        </w:rPr>
        <w:t>Customers agreed that a top quartile target for the C-Mex and D-Mex performance commitments were both stretching and appropriate.</w:t>
      </w:r>
    </w:p>
    <w:p w:rsidR="00393C0D" w:rsidRDefault="00393C0D" w:rsidP="00393C0D">
      <w:pPr>
        <w:rPr>
          <w:rFonts w:cs="Arial"/>
        </w:rPr>
      </w:pPr>
      <w:r>
        <w:rPr>
          <w:rFonts w:cs="Arial"/>
        </w:rPr>
        <w:t xml:space="preserve">Currently our bill is considered affordable and good value for money, especially where customers are shown comparative bill level data across the industry.  CCWater’s Water Matters shows that, on a rolling </w:t>
      </w:r>
      <w:r w:rsidR="00DC1C14">
        <w:rPr>
          <w:rFonts w:cs="Arial"/>
        </w:rPr>
        <w:t>5-year</w:t>
      </w:r>
      <w:r>
        <w:rPr>
          <w:rFonts w:cs="Arial"/>
        </w:rPr>
        <w:t xml:space="preserve"> average, 80.4% of our customers consider their bill to be good value for money, compared to 72.6% for the industry as a whole.</w:t>
      </w:r>
    </w:p>
    <w:p w:rsidR="00393C0D" w:rsidRDefault="00393C0D" w:rsidP="00393C0D">
      <w:pPr>
        <w:rPr>
          <w:rFonts w:cs="Arial"/>
        </w:rPr>
      </w:pPr>
      <w:r>
        <w:rPr>
          <w:rFonts w:cs="Arial"/>
        </w:rPr>
        <w:t>Affordability, which is a significant part of this outcome, and associated customer insight, are covered within ‘Addressing A</w:t>
      </w:r>
      <w:r w:rsidR="007C373D">
        <w:rPr>
          <w:rFonts w:cs="Arial"/>
        </w:rPr>
        <w:t>ffordability and Vulnerability’, Chapter 5.1 and 5.2.</w:t>
      </w:r>
    </w:p>
    <w:p w:rsidR="00393C0D" w:rsidRDefault="00393C0D" w:rsidP="00393C0D">
      <w:pPr>
        <w:rPr>
          <w:rFonts w:cs="Arial"/>
        </w:rPr>
      </w:pPr>
      <w:r>
        <w:rPr>
          <w:rFonts w:cs="Arial"/>
        </w:rPr>
        <w:t xml:space="preserve">Developer insight has been gained from our annual developer survey and from </w:t>
      </w:r>
      <w:r w:rsidR="008A5935">
        <w:rPr>
          <w:rFonts w:cs="Arial"/>
        </w:rPr>
        <w:t>“</w:t>
      </w:r>
      <w:r>
        <w:rPr>
          <w:rFonts w:cs="Arial"/>
        </w:rPr>
        <w:t>Developer Days</w:t>
      </w:r>
      <w:r w:rsidR="008A5935">
        <w:rPr>
          <w:rFonts w:cs="Arial"/>
        </w:rPr>
        <w:t>”</w:t>
      </w:r>
      <w:r>
        <w:rPr>
          <w:rFonts w:cs="Arial"/>
        </w:rPr>
        <w:t xml:space="preserve">, which we have held at our offices.  Developers generally rate us highly, with us exceeding the 70% satisfaction target that was set for the AMP each year to date.  Developers typically value the ease of communication with a small team of </w:t>
      </w:r>
      <w:r w:rsidR="00772301">
        <w:rPr>
          <w:rFonts w:cs="Arial"/>
        </w:rPr>
        <w:t xml:space="preserve">known </w:t>
      </w:r>
      <w:r>
        <w:rPr>
          <w:rFonts w:cs="Arial"/>
        </w:rPr>
        <w:t xml:space="preserve">individuals.  However, it is clear from feedback that when we get things wrong it can have a considerable knock on effect for </w:t>
      </w:r>
      <w:r w:rsidR="00451E46">
        <w:rPr>
          <w:rFonts w:cs="Arial"/>
        </w:rPr>
        <w:t>d</w:t>
      </w:r>
      <w:r>
        <w:rPr>
          <w:rFonts w:cs="Arial"/>
        </w:rPr>
        <w:t xml:space="preserve">evelopers so maintaining consistently high standards is important. </w:t>
      </w:r>
    </w:p>
    <w:p w:rsidR="00393C0D" w:rsidRDefault="00393C0D" w:rsidP="00393C0D">
      <w:pPr>
        <w:rPr>
          <w:rFonts w:cs="Arial"/>
        </w:rPr>
      </w:pPr>
      <w:r>
        <w:rPr>
          <w:rFonts w:cs="Arial"/>
        </w:rPr>
        <w:t xml:space="preserve">We need to consider how customer preferences are changing and how communication is evolving.  We have been working to better understand this as we mould our future strategy and have been working with specialist organisations to consider generational differences.  As a monopoly provider to our Household </w:t>
      </w:r>
      <w:r w:rsidR="00DC1C14">
        <w:rPr>
          <w:rFonts w:cs="Arial"/>
        </w:rPr>
        <w:t>customers,</w:t>
      </w:r>
      <w:r>
        <w:rPr>
          <w:rFonts w:cs="Arial"/>
        </w:rPr>
        <w:t xml:space="preserve"> we need to cater for all and not force customers into doing what is cheapest for us, rather than best for them.</w:t>
      </w:r>
    </w:p>
    <w:p w:rsidR="00393C0D" w:rsidRDefault="000E00EE" w:rsidP="00393C0D">
      <w:pPr>
        <w:rPr>
          <w:rFonts w:cs="Arial"/>
        </w:rPr>
      </w:pPr>
      <w:r>
        <w:rPr>
          <w:rFonts w:cs="Arial"/>
        </w:rPr>
        <w:t xml:space="preserve">We have been working with external experts to develop our Communication Strategy.  They have provided the </w:t>
      </w:r>
      <w:r w:rsidR="00393C0D">
        <w:rPr>
          <w:rFonts w:cs="Arial"/>
        </w:rPr>
        <w:t xml:space="preserve">diagram </w:t>
      </w:r>
      <w:r w:rsidR="00DC1C14">
        <w:rPr>
          <w:rFonts w:cs="Arial"/>
        </w:rPr>
        <w:t>below, which</w:t>
      </w:r>
      <w:r>
        <w:rPr>
          <w:rFonts w:cs="Arial"/>
        </w:rPr>
        <w:t xml:space="preserve"> </w:t>
      </w:r>
      <w:r w:rsidR="00393C0D">
        <w:rPr>
          <w:rFonts w:cs="Arial"/>
        </w:rPr>
        <w:t>illustrates how preferences vary between customers, based on age group.</w:t>
      </w:r>
    </w:p>
    <w:p w:rsidR="00393C0D" w:rsidRPr="00EE4A9F" w:rsidRDefault="00393C0D" w:rsidP="00E61AF6">
      <w:pPr>
        <w:tabs>
          <w:tab w:val="clear" w:pos="851"/>
        </w:tabs>
        <w:rPr>
          <w:rFonts w:cs="Arial"/>
        </w:rPr>
      </w:pPr>
      <w:r w:rsidRPr="00B46AF1">
        <w:rPr>
          <w:rFonts w:cs="Arial"/>
          <w:noProof/>
        </w:rPr>
        <w:drawing>
          <wp:inline distT="0" distB="0" distL="0" distR="0" wp14:anchorId="52D1E5FD" wp14:editId="5970FCC4">
            <wp:extent cx="5543550" cy="3836035"/>
            <wp:effectExtent l="0" t="0" r="0" b="0"/>
            <wp:docPr id="12" name="Picture 12" descr="C:\Users\PAB\AppData\Local\Microsoft\Windows\INetCache\Content.Outlook\XVPHO9BO\GENERATION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AppData\Local\Microsoft\Windows\INetCache\Content.Outlook\XVPHO9BO\GENERATION INFOGRAPHI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3550" cy="3836035"/>
                    </a:xfrm>
                    <a:prstGeom prst="rect">
                      <a:avLst/>
                    </a:prstGeom>
                    <a:noFill/>
                    <a:ln>
                      <a:noFill/>
                    </a:ln>
                  </pic:spPr>
                </pic:pic>
              </a:graphicData>
            </a:graphic>
          </wp:inline>
        </w:drawing>
      </w:r>
    </w:p>
    <w:p w:rsidR="00393C0D" w:rsidRDefault="00E85076" w:rsidP="00212458">
      <w:pPr>
        <w:pStyle w:val="Heading3"/>
      </w:pPr>
      <w:bookmarkStart w:id="75" w:name="_Toc523651264"/>
      <w:r>
        <w:t>Delivering the Outcome</w:t>
      </w:r>
      <w:bookmarkEnd w:id="75"/>
    </w:p>
    <w:p w:rsidR="00732F33" w:rsidRPr="00732F33" w:rsidRDefault="00732F33" w:rsidP="00393C0D">
      <w:pPr>
        <w:rPr>
          <w:rFonts w:cs="Arial"/>
        </w:rPr>
      </w:pPr>
      <w:r>
        <w:rPr>
          <w:rFonts w:cs="Arial"/>
        </w:rPr>
        <w:t>Four performance commitments underpin this outcome.</w:t>
      </w:r>
    </w:p>
    <w:p w:rsidR="00393C0D" w:rsidRDefault="00845529" w:rsidP="00393C0D">
      <w:pPr>
        <w:rPr>
          <w:rFonts w:cs="Arial"/>
          <w:b/>
        </w:rPr>
      </w:pPr>
      <w:r>
        <w:rPr>
          <w:rFonts w:cs="Arial"/>
          <w:b/>
        </w:rPr>
        <w:t>1.</w:t>
      </w:r>
      <w:r>
        <w:rPr>
          <w:rFonts w:cs="Arial"/>
          <w:b/>
        </w:rPr>
        <w:tab/>
      </w:r>
      <w:r w:rsidR="00393C0D" w:rsidRPr="004D2598">
        <w:rPr>
          <w:rFonts w:cs="Arial"/>
          <w:b/>
        </w:rPr>
        <w:t>C-Mex</w:t>
      </w:r>
      <w:r w:rsidR="00393C0D">
        <w:rPr>
          <w:rFonts w:cs="Arial"/>
        </w:rPr>
        <w:t xml:space="preserve"> – </w:t>
      </w:r>
      <w:r w:rsidR="00393C0D" w:rsidRPr="007E2A09">
        <w:rPr>
          <w:rFonts w:cs="Arial"/>
          <w:b/>
        </w:rPr>
        <w:t>Customer Measure of Experience</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845529" w:rsidRPr="0037668E" w:rsidTr="00772301">
        <w:tc>
          <w:tcPr>
            <w:tcW w:w="2405" w:type="dxa"/>
            <w:shd w:val="clear" w:color="auto" w:fill="2E74B5" w:themeFill="accent1" w:themeFillShade="BF"/>
          </w:tcPr>
          <w:p w:rsidR="00845529" w:rsidRPr="0037668E" w:rsidRDefault="00845529" w:rsidP="00732F33">
            <w:pPr>
              <w:spacing w:after="0"/>
              <w:ind w:left="0"/>
              <w:rPr>
                <w:sz w:val="16"/>
                <w:szCs w:val="16"/>
              </w:rPr>
            </w:pPr>
            <w:r w:rsidRPr="0037668E">
              <w:rPr>
                <w:b/>
                <w:bCs/>
                <w:color w:val="FFFFFF" w:themeColor="background1"/>
                <w:sz w:val="16"/>
                <w:szCs w:val="16"/>
              </w:rPr>
              <w:t>Performance Commitment</w:t>
            </w:r>
          </w:p>
        </w:tc>
        <w:tc>
          <w:tcPr>
            <w:tcW w:w="708" w:type="dxa"/>
            <w:shd w:val="clear" w:color="auto" w:fill="2E74B5" w:themeFill="accent1" w:themeFillShade="BF"/>
          </w:tcPr>
          <w:p w:rsidR="00845529" w:rsidRPr="0037668E" w:rsidRDefault="00845529" w:rsidP="00732F33">
            <w:pPr>
              <w:spacing w:before="20" w:after="20"/>
              <w:ind w:left="0"/>
              <w:jc w:val="center"/>
              <w:rPr>
                <w:b/>
                <w:bCs/>
                <w:color w:val="FFFFFF" w:themeColor="background1"/>
                <w:sz w:val="16"/>
                <w:szCs w:val="16"/>
              </w:rPr>
            </w:pPr>
            <w:r w:rsidRPr="0037668E">
              <w:rPr>
                <w:b/>
                <w:bCs/>
                <w:color w:val="FFFFFF" w:themeColor="background1"/>
                <w:sz w:val="16"/>
                <w:szCs w:val="16"/>
              </w:rPr>
              <w:t>Type</w:t>
            </w:r>
          </w:p>
        </w:tc>
        <w:tc>
          <w:tcPr>
            <w:tcW w:w="1512" w:type="dxa"/>
            <w:shd w:val="clear" w:color="auto" w:fill="2E74B5" w:themeFill="accent1" w:themeFillShade="BF"/>
          </w:tcPr>
          <w:p w:rsidR="00845529" w:rsidRPr="0037668E" w:rsidRDefault="00845529" w:rsidP="00732F33">
            <w:pPr>
              <w:spacing w:after="0"/>
              <w:ind w:left="0"/>
              <w:rPr>
                <w:b/>
                <w:color w:val="FFFFFF" w:themeColor="background1"/>
                <w:sz w:val="16"/>
                <w:szCs w:val="16"/>
              </w:rPr>
            </w:pPr>
            <w:r w:rsidRPr="0037668E">
              <w:rPr>
                <w:b/>
                <w:color w:val="FFFFFF" w:themeColor="background1"/>
                <w:sz w:val="16"/>
                <w:szCs w:val="16"/>
              </w:rPr>
              <w:t>AMP6 Performance</w:t>
            </w:r>
          </w:p>
        </w:tc>
        <w:tc>
          <w:tcPr>
            <w:tcW w:w="1654" w:type="dxa"/>
            <w:shd w:val="clear" w:color="auto" w:fill="2E74B5" w:themeFill="accent1" w:themeFillShade="BF"/>
          </w:tcPr>
          <w:p w:rsidR="00845529" w:rsidRPr="0037668E" w:rsidRDefault="00845529" w:rsidP="00732F33">
            <w:pPr>
              <w:spacing w:after="0"/>
              <w:ind w:left="0"/>
              <w:rPr>
                <w:b/>
                <w:color w:val="FFFFFF" w:themeColor="background1"/>
                <w:sz w:val="16"/>
                <w:szCs w:val="16"/>
              </w:rPr>
            </w:pPr>
            <w:r w:rsidRPr="0037668E">
              <w:rPr>
                <w:b/>
                <w:color w:val="FFFFFF" w:themeColor="background1"/>
                <w:sz w:val="16"/>
                <w:szCs w:val="16"/>
              </w:rPr>
              <w:t>2024/25 Target</w:t>
            </w:r>
          </w:p>
        </w:tc>
        <w:tc>
          <w:tcPr>
            <w:tcW w:w="1654" w:type="dxa"/>
            <w:shd w:val="clear" w:color="auto" w:fill="2E74B5" w:themeFill="accent1" w:themeFillShade="BF"/>
          </w:tcPr>
          <w:p w:rsidR="00845529" w:rsidRPr="0037668E" w:rsidRDefault="00845529" w:rsidP="00732F33">
            <w:pPr>
              <w:spacing w:after="0"/>
              <w:ind w:left="0"/>
              <w:rPr>
                <w:b/>
                <w:color w:val="FFFFFF" w:themeColor="background1"/>
                <w:sz w:val="16"/>
                <w:szCs w:val="16"/>
              </w:rPr>
            </w:pPr>
            <w:r w:rsidRPr="0037668E">
              <w:rPr>
                <w:b/>
                <w:color w:val="FFFFFF" w:themeColor="background1"/>
                <w:sz w:val="16"/>
                <w:szCs w:val="16"/>
              </w:rPr>
              <w:t>2034/35 Target</w:t>
            </w:r>
          </w:p>
        </w:tc>
        <w:tc>
          <w:tcPr>
            <w:tcW w:w="850" w:type="dxa"/>
            <w:shd w:val="clear" w:color="auto" w:fill="2E74B5" w:themeFill="accent1" w:themeFillShade="BF"/>
          </w:tcPr>
          <w:p w:rsidR="00845529" w:rsidRPr="0037668E" w:rsidRDefault="00845529" w:rsidP="00732F33">
            <w:pPr>
              <w:spacing w:after="0"/>
              <w:ind w:left="0"/>
              <w:jc w:val="center"/>
              <w:rPr>
                <w:b/>
                <w:color w:val="FFFFFF" w:themeColor="background1"/>
                <w:sz w:val="16"/>
                <w:szCs w:val="16"/>
              </w:rPr>
            </w:pPr>
            <w:r w:rsidRPr="0037668E">
              <w:rPr>
                <w:b/>
                <w:color w:val="FFFFFF" w:themeColor="background1"/>
                <w:sz w:val="16"/>
                <w:szCs w:val="16"/>
              </w:rPr>
              <w:t>Reward/Penalty</w:t>
            </w:r>
          </w:p>
        </w:tc>
      </w:tr>
      <w:tr w:rsidR="00845529" w:rsidRPr="0037668E" w:rsidTr="00772301">
        <w:tc>
          <w:tcPr>
            <w:tcW w:w="2405" w:type="dxa"/>
          </w:tcPr>
          <w:p w:rsidR="00845529" w:rsidRPr="0037668E" w:rsidRDefault="00845529" w:rsidP="00732F33">
            <w:pPr>
              <w:spacing w:before="20" w:after="20"/>
              <w:ind w:left="0"/>
              <w:rPr>
                <w:sz w:val="16"/>
                <w:szCs w:val="16"/>
              </w:rPr>
            </w:pPr>
            <w:r w:rsidRPr="0037668E">
              <w:rPr>
                <w:sz w:val="16"/>
                <w:szCs w:val="16"/>
              </w:rPr>
              <w:t>C-Mex Customer Experience</w:t>
            </w:r>
          </w:p>
        </w:tc>
        <w:tc>
          <w:tcPr>
            <w:tcW w:w="708" w:type="dxa"/>
          </w:tcPr>
          <w:p w:rsidR="00845529" w:rsidRPr="0037668E" w:rsidRDefault="00845529" w:rsidP="00732F33">
            <w:pPr>
              <w:spacing w:before="20" w:after="20"/>
              <w:ind w:left="0"/>
              <w:jc w:val="center"/>
              <w:rPr>
                <w:sz w:val="16"/>
                <w:szCs w:val="16"/>
              </w:rPr>
            </w:pPr>
            <w:r w:rsidRPr="0037668E">
              <w:rPr>
                <w:sz w:val="16"/>
                <w:szCs w:val="16"/>
              </w:rPr>
              <w:t>C</w:t>
            </w:r>
          </w:p>
        </w:tc>
        <w:tc>
          <w:tcPr>
            <w:tcW w:w="1512" w:type="dxa"/>
          </w:tcPr>
          <w:p w:rsidR="00845529" w:rsidRPr="0037668E" w:rsidRDefault="00845529" w:rsidP="00732F33">
            <w:pPr>
              <w:spacing w:after="0"/>
              <w:ind w:left="0"/>
              <w:rPr>
                <w:sz w:val="16"/>
                <w:szCs w:val="16"/>
              </w:rPr>
            </w:pPr>
            <w:r w:rsidRPr="0037668E">
              <w:rPr>
                <w:sz w:val="16"/>
                <w:szCs w:val="16"/>
              </w:rPr>
              <w:t>n/a</w:t>
            </w:r>
          </w:p>
        </w:tc>
        <w:tc>
          <w:tcPr>
            <w:tcW w:w="1654" w:type="dxa"/>
          </w:tcPr>
          <w:p w:rsidR="00845529" w:rsidRPr="0037668E" w:rsidRDefault="00845529" w:rsidP="00732F33">
            <w:pPr>
              <w:spacing w:before="20" w:after="20"/>
              <w:ind w:left="0"/>
              <w:rPr>
                <w:sz w:val="16"/>
                <w:szCs w:val="16"/>
              </w:rPr>
            </w:pPr>
            <w:r w:rsidRPr="0037668E">
              <w:rPr>
                <w:sz w:val="16"/>
                <w:szCs w:val="16"/>
              </w:rPr>
              <w:t>UQ</w:t>
            </w:r>
          </w:p>
        </w:tc>
        <w:tc>
          <w:tcPr>
            <w:tcW w:w="1654" w:type="dxa"/>
          </w:tcPr>
          <w:p w:rsidR="00845529" w:rsidRPr="0037668E" w:rsidRDefault="00845529" w:rsidP="00732F33">
            <w:pPr>
              <w:spacing w:after="0"/>
              <w:ind w:left="0"/>
              <w:rPr>
                <w:sz w:val="16"/>
                <w:szCs w:val="16"/>
              </w:rPr>
            </w:pPr>
            <w:r w:rsidRPr="0037668E">
              <w:rPr>
                <w:sz w:val="16"/>
                <w:szCs w:val="16"/>
              </w:rPr>
              <w:t>UQ</w:t>
            </w:r>
          </w:p>
        </w:tc>
        <w:tc>
          <w:tcPr>
            <w:tcW w:w="850" w:type="dxa"/>
          </w:tcPr>
          <w:p w:rsidR="00845529" w:rsidRPr="0037668E" w:rsidRDefault="00845529" w:rsidP="00732F33">
            <w:pPr>
              <w:spacing w:after="0"/>
              <w:ind w:left="0"/>
              <w:jc w:val="center"/>
              <w:rPr>
                <w:sz w:val="16"/>
                <w:szCs w:val="16"/>
              </w:rPr>
            </w:pPr>
            <w:r w:rsidRPr="0037668E">
              <w:rPr>
                <w:sz w:val="16"/>
                <w:szCs w:val="16"/>
              </w:rPr>
              <w:t>R/P</w:t>
            </w:r>
          </w:p>
        </w:tc>
      </w:tr>
    </w:tbl>
    <w:p w:rsidR="00486865" w:rsidRDefault="00486865" w:rsidP="0048686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5D4761" w:rsidRDefault="005D4761" w:rsidP="00393C0D">
      <w:pPr>
        <w:rPr>
          <w:rFonts w:cs="Arial"/>
        </w:rPr>
      </w:pPr>
      <w:r>
        <w:rPr>
          <w:rFonts w:cs="Arial"/>
        </w:rPr>
        <w:t xml:space="preserve">This is a common </w:t>
      </w:r>
      <w:r w:rsidR="00451E46">
        <w:rPr>
          <w:rFonts w:cs="Arial"/>
        </w:rPr>
        <w:t>P</w:t>
      </w:r>
      <w:r>
        <w:rPr>
          <w:rFonts w:cs="Arial"/>
        </w:rPr>
        <w:t xml:space="preserve">erformance </w:t>
      </w:r>
      <w:r w:rsidR="00451E46">
        <w:rPr>
          <w:rFonts w:cs="Arial"/>
        </w:rPr>
        <w:t>C</w:t>
      </w:r>
      <w:r>
        <w:rPr>
          <w:rFonts w:cs="Arial"/>
        </w:rPr>
        <w:t>ommitment.  It will be subject to reward and penalty</w:t>
      </w:r>
      <w:r w:rsidR="00FE5587">
        <w:rPr>
          <w:rFonts w:cs="Arial"/>
        </w:rPr>
        <w:t xml:space="preserve"> determined by Ofwat</w:t>
      </w:r>
      <w:r>
        <w:rPr>
          <w:rFonts w:cs="Arial"/>
        </w:rPr>
        <w:t>.</w:t>
      </w:r>
    </w:p>
    <w:p w:rsidR="00393C0D" w:rsidRDefault="00393C0D" w:rsidP="00393C0D">
      <w:pPr>
        <w:rPr>
          <w:rFonts w:cs="Arial"/>
        </w:rPr>
      </w:pPr>
      <w:r w:rsidRPr="00206250">
        <w:rPr>
          <w:rFonts w:cs="Arial"/>
        </w:rPr>
        <w:t xml:space="preserve">We have been working with the Water UK </w:t>
      </w:r>
      <w:r>
        <w:rPr>
          <w:rFonts w:cs="Arial"/>
        </w:rPr>
        <w:t>Customer Service Network to contribute to developing the detail in respect of this measure.</w:t>
      </w:r>
    </w:p>
    <w:p w:rsidR="00393C0D" w:rsidRDefault="00393C0D" w:rsidP="00393C0D">
      <w:pPr>
        <w:rPr>
          <w:rFonts w:cs="Arial"/>
        </w:rPr>
      </w:pPr>
      <w:r>
        <w:rPr>
          <w:rFonts w:cs="Arial"/>
        </w:rPr>
        <w:t>Customers are supportive of a measure of this nature and can understand its value.</w:t>
      </w:r>
    </w:p>
    <w:p w:rsidR="00D37A94" w:rsidRDefault="00D37A94" w:rsidP="00393C0D">
      <w:pPr>
        <w:rPr>
          <w:rFonts w:cs="Arial"/>
        </w:rPr>
      </w:pPr>
      <w:r>
        <w:rPr>
          <w:rFonts w:cs="Arial"/>
        </w:rPr>
        <w:t>Our SIM and Institute of Customer Services track record stands us in good stead to perform well in the C-Mex measure.</w:t>
      </w:r>
    </w:p>
    <w:p w:rsidR="00D37A94" w:rsidRDefault="00D37A94" w:rsidP="00393C0D">
      <w:pPr>
        <w:rPr>
          <w:rFonts w:cs="Arial"/>
        </w:rPr>
      </w:pPr>
      <w:r>
        <w:rPr>
          <w:rFonts w:cs="Arial"/>
        </w:rPr>
        <w:t xml:space="preserve">However, </w:t>
      </w:r>
      <w:r w:rsidR="004E0666">
        <w:rPr>
          <w:rFonts w:cs="Arial"/>
        </w:rPr>
        <w:t>customers expect modernisation of our service offering</w:t>
      </w:r>
      <w:r>
        <w:rPr>
          <w:rFonts w:cs="Arial"/>
        </w:rPr>
        <w:t xml:space="preserve">.  Accordingly, we have recently tendered for services that will create a foundation for our digital strategy.  We are creating a secure portal that will facilitate flexible e-billing and customer </w:t>
      </w:r>
      <w:r w:rsidR="004E0666">
        <w:rPr>
          <w:rFonts w:cs="Arial"/>
        </w:rPr>
        <w:t>self-serve</w:t>
      </w:r>
      <w:r>
        <w:rPr>
          <w:rFonts w:cs="Arial"/>
        </w:rPr>
        <w:t xml:space="preserve"> options.  This portal will be live in April 2019.</w:t>
      </w:r>
    </w:p>
    <w:p w:rsidR="00D37A94" w:rsidRDefault="00D37A94" w:rsidP="00393C0D">
      <w:pPr>
        <w:rPr>
          <w:rFonts w:cs="Arial"/>
        </w:rPr>
      </w:pPr>
      <w:r>
        <w:rPr>
          <w:rFonts w:cs="Arial"/>
        </w:rPr>
        <w:t>Next year we are redesigning bills to improve clarity and messaging and are considering the use of augmented reality technology to provide additional information with bills in an engaging way.</w:t>
      </w:r>
    </w:p>
    <w:p w:rsidR="00D37A94" w:rsidRPr="00206250" w:rsidRDefault="00D37A94" w:rsidP="00393C0D">
      <w:pPr>
        <w:rPr>
          <w:rFonts w:cs="Arial"/>
        </w:rPr>
      </w:pPr>
      <w:r>
        <w:rPr>
          <w:rFonts w:cs="Arial"/>
        </w:rPr>
        <w:t>Our newly tendered services also include access to an SMS platform, which we will be utilising to improve our customer communication.</w:t>
      </w:r>
    </w:p>
    <w:p w:rsidR="00393C0D" w:rsidRDefault="00845529" w:rsidP="00393C0D">
      <w:pPr>
        <w:rPr>
          <w:rFonts w:cs="Arial"/>
          <w:b/>
        </w:rPr>
      </w:pPr>
      <w:r>
        <w:rPr>
          <w:rFonts w:cs="Arial"/>
          <w:b/>
        </w:rPr>
        <w:t>2.</w:t>
      </w:r>
      <w:r>
        <w:rPr>
          <w:rFonts w:cs="Arial"/>
          <w:b/>
        </w:rPr>
        <w:tab/>
      </w:r>
      <w:r w:rsidR="00393C0D" w:rsidRPr="004D2598">
        <w:rPr>
          <w:rFonts w:cs="Arial"/>
          <w:b/>
        </w:rPr>
        <w:t>D-Mex</w:t>
      </w:r>
      <w:r w:rsidR="00393C0D">
        <w:rPr>
          <w:rFonts w:cs="Arial"/>
        </w:rPr>
        <w:t xml:space="preserve"> – </w:t>
      </w:r>
      <w:r w:rsidR="00393C0D" w:rsidRPr="007E2A09">
        <w:rPr>
          <w:rFonts w:cs="Arial"/>
          <w:b/>
        </w:rPr>
        <w:t>Developer Services Measure of Experience</w:t>
      </w:r>
    </w:p>
    <w:p w:rsidR="00732F33" w:rsidRPr="00732F33" w:rsidRDefault="00732F33" w:rsidP="00393C0D">
      <w:pPr>
        <w:rPr>
          <w:rFonts w:cs="Arial"/>
        </w:rPr>
      </w:pPr>
      <w:r>
        <w:rPr>
          <w:rFonts w:cs="Arial"/>
        </w:rPr>
        <w:t xml:space="preserve">This is </w:t>
      </w:r>
      <w:r w:rsidR="00451E46">
        <w:rPr>
          <w:rFonts w:cs="Arial"/>
        </w:rPr>
        <w:t>a C</w:t>
      </w:r>
      <w:r>
        <w:rPr>
          <w:rFonts w:cs="Arial"/>
        </w:rPr>
        <w:t xml:space="preserve">ommon </w:t>
      </w:r>
      <w:r w:rsidR="00451E46">
        <w:rPr>
          <w:rFonts w:cs="Arial"/>
        </w:rPr>
        <w:t>P</w:t>
      </w:r>
      <w:r>
        <w:rPr>
          <w:rFonts w:cs="Arial"/>
        </w:rPr>
        <w:t>erformance commitment.  It will be subject to reward and penalty</w:t>
      </w:r>
      <w:r w:rsidR="00FE5587">
        <w:rPr>
          <w:rFonts w:cs="Arial"/>
        </w:rPr>
        <w:t xml:space="preserve"> determined by Ofwat</w:t>
      </w:r>
      <w:r>
        <w:rPr>
          <w:rFonts w:cs="Arial"/>
        </w:rPr>
        <w:t>.</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845529" w:rsidRPr="0037668E" w:rsidTr="005D4761">
        <w:tc>
          <w:tcPr>
            <w:tcW w:w="2405" w:type="dxa"/>
            <w:shd w:val="clear" w:color="auto" w:fill="2E74B5" w:themeFill="accent1" w:themeFillShade="BF"/>
          </w:tcPr>
          <w:p w:rsidR="00845529" w:rsidRPr="0037668E" w:rsidRDefault="00845529" w:rsidP="00732F33">
            <w:pPr>
              <w:spacing w:after="0"/>
              <w:ind w:left="0"/>
              <w:rPr>
                <w:sz w:val="16"/>
                <w:szCs w:val="16"/>
              </w:rPr>
            </w:pPr>
            <w:r w:rsidRPr="0037668E">
              <w:rPr>
                <w:b/>
                <w:bCs/>
                <w:color w:val="FFFFFF" w:themeColor="background1"/>
                <w:sz w:val="16"/>
                <w:szCs w:val="16"/>
              </w:rPr>
              <w:t>Performance Commitment</w:t>
            </w:r>
          </w:p>
        </w:tc>
        <w:tc>
          <w:tcPr>
            <w:tcW w:w="708" w:type="dxa"/>
            <w:shd w:val="clear" w:color="auto" w:fill="2E74B5" w:themeFill="accent1" w:themeFillShade="BF"/>
          </w:tcPr>
          <w:p w:rsidR="00845529" w:rsidRPr="0037668E" w:rsidRDefault="00845529" w:rsidP="00732F33">
            <w:pPr>
              <w:spacing w:before="20" w:after="20"/>
              <w:ind w:left="0"/>
              <w:jc w:val="center"/>
              <w:rPr>
                <w:b/>
                <w:bCs/>
                <w:color w:val="FFFFFF" w:themeColor="background1"/>
                <w:sz w:val="16"/>
                <w:szCs w:val="16"/>
              </w:rPr>
            </w:pPr>
            <w:r w:rsidRPr="0037668E">
              <w:rPr>
                <w:b/>
                <w:bCs/>
                <w:color w:val="FFFFFF" w:themeColor="background1"/>
                <w:sz w:val="16"/>
                <w:szCs w:val="16"/>
              </w:rPr>
              <w:t>Type</w:t>
            </w:r>
          </w:p>
        </w:tc>
        <w:tc>
          <w:tcPr>
            <w:tcW w:w="1512" w:type="dxa"/>
            <w:shd w:val="clear" w:color="auto" w:fill="2E74B5" w:themeFill="accent1" w:themeFillShade="BF"/>
          </w:tcPr>
          <w:p w:rsidR="00845529" w:rsidRPr="0037668E" w:rsidRDefault="00845529" w:rsidP="00732F33">
            <w:pPr>
              <w:spacing w:after="0"/>
              <w:ind w:left="0"/>
              <w:rPr>
                <w:b/>
                <w:color w:val="FFFFFF" w:themeColor="background1"/>
                <w:sz w:val="16"/>
                <w:szCs w:val="16"/>
              </w:rPr>
            </w:pPr>
            <w:r w:rsidRPr="0037668E">
              <w:rPr>
                <w:b/>
                <w:color w:val="FFFFFF" w:themeColor="background1"/>
                <w:sz w:val="16"/>
                <w:szCs w:val="16"/>
              </w:rPr>
              <w:t>AMP6 Performance</w:t>
            </w:r>
          </w:p>
        </w:tc>
        <w:tc>
          <w:tcPr>
            <w:tcW w:w="1654" w:type="dxa"/>
            <w:shd w:val="clear" w:color="auto" w:fill="2E74B5" w:themeFill="accent1" w:themeFillShade="BF"/>
          </w:tcPr>
          <w:p w:rsidR="00845529" w:rsidRPr="0037668E" w:rsidRDefault="00845529" w:rsidP="00732F33">
            <w:pPr>
              <w:spacing w:after="0"/>
              <w:ind w:left="0"/>
              <w:rPr>
                <w:b/>
                <w:color w:val="FFFFFF" w:themeColor="background1"/>
                <w:sz w:val="16"/>
                <w:szCs w:val="16"/>
              </w:rPr>
            </w:pPr>
            <w:r w:rsidRPr="0037668E">
              <w:rPr>
                <w:b/>
                <w:color w:val="FFFFFF" w:themeColor="background1"/>
                <w:sz w:val="16"/>
                <w:szCs w:val="16"/>
              </w:rPr>
              <w:t>2024/25 Target</w:t>
            </w:r>
          </w:p>
        </w:tc>
        <w:tc>
          <w:tcPr>
            <w:tcW w:w="1654" w:type="dxa"/>
            <w:shd w:val="clear" w:color="auto" w:fill="2E74B5" w:themeFill="accent1" w:themeFillShade="BF"/>
          </w:tcPr>
          <w:p w:rsidR="00845529" w:rsidRPr="0037668E" w:rsidRDefault="00845529" w:rsidP="00732F33">
            <w:pPr>
              <w:spacing w:after="0"/>
              <w:ind w:left="0"/>
              <w:rPr>
                <w:b/>
                <w:color w:val="FFFFFF" w:themeColor="background1"/>
                <w:sz w:val="16"/>
                <w:szCs w:val="16"/>
              </w:rPr>
            </w:pPr>
            <w:r w:rsidRPr="0037668E">
              <w:rPr>
                <w:b/>
                <w:color w:val="FFFFFF" w:themeColor="background1"/>
                <w:sz w:val="16"/>
                <w:szCs w:val="16"/>
              </w:rPr>
              <w:t>2034/35 Target</w:t>
            </w:r>
          </w:p>
        </w:tc>
        <w:tc>
          <w:tcPr>
            <w:tcW w:w="850" w:type="dxa"/>
            <w:shd w:val="clear" w:color="auto" w:fill="2E74B5" w:themeFill="accent1" w:themeFillShade="BF"/>
          </w:tcPr>
          <w:p w:rsidR="00845529" w:rsidRPr="0037668E" w:rsidRDefault="00845529" w:rsidP="00732F33">
            <w:pPr>
              <w:spacing w:after="0"/>
              <w:ind w:left="0"/>
              <w:jc w:val="center"/>
              <w:rPr>
                <w:b/>
                <w:color w:val="FFFFFF" w:themeColor="background1"/>
                <w:sz w:val="16"/>
                <w:szCs w:val="16"/>
              </w:rPr>
            </w:pPr>
            <w:r w:rsidRPr="0037668E">
              <w:rPr>
                <w:b/>
                <w:color w:val="FFFFFF" w:themeColor="background1"/>
                <w:sz w:val="16"/>
                <w:szCs w:val="16"/>
              </w:rPr>
              <w:t>Reward/Penalty</w:t>
            </w:r>
          </w:p>
        </w:tc>
      </w:tr>
      <w:tr w:rsidR="00845529" w:rsidRPr="0037668E" w:rsidTr="005D4761">
        <w:tc>
          <w:tcPr>
            <w:tcW w:w="2405" w:type="dxa"/>
          </w:tcPr>
          <w:p w:rsidR="00845529" w:rsidRPr="0037668E" w:rsidRDefault="00845529" w:rsidP="00732F33">
            <w:pPr>
              <w:spacing w:before="20" w:after="20"/>
              <w:ind w:left="0"/>
              <w:rPr>
                <w:sz w:val="16"/>
                <w:szCs w:val="16"/>
              </w:rPr>
            </w:pPr>
            <w:r w:rsidRPr="0037668E">
              <w:rPr>
                <w:sz w:val="16"/>
                <w:szCs w:val="16"/>
              </w:rPr>
              <w:t>D-Mex Developer Experience</w:t>
            </w:r>
          </w:p>
        </w:tc>
        <w:tc>
          <w:tcPr>
            <w:tcW w:w="708" w:type="dxa"/>
          </w:tcPr>
          <w:p w:rsidR="00845529" w:rsidRPr="0037668E" w:rsidRDefault="00845529" w:rsidP="00732F33">
            <w:pPr>
              <w:spacing w:before="20" w:after="20"/>
              <w:ind w:left="0"/>
              <w:jc w:val="center"/>
              <w:rPr>
                <w:sz w:val="16"/>
                <w:szCs w:val="16"/>
              </w:rPr>
            </w:pPr>
            <w:r w:rsidRPr="0037668E">
              <w:rPr>
                <w:sz w:val="16"/>
                <w:szCs w:val="16"/>
              </w:rPr>
              <w:t>C</w:t>
            </w:r>
          </w:p>
        </w:tc>
        <w:tc>
          <w:tcPr>
            <w:tcW w:w="1512" w:type="dxa"/>
          </w:tcPr>
          <w:p w:rsidR="00845529" w:rsidRPr="0037668E" w:rsidRDefault="00845529" w:rsidP="00732F33">
            <w:pPr>
              <w:spacing w:after="0"/>
              <w:ind w:left="0"/>
              <w:rPr>
                <w:sz w:val="16"/>
                <w:szCs w:val="16"/>
              </w:rPr>
            </w:pPr>
            <w:r w:rsidRPr="0037668E">
              <w:rPr>
                <w:sz w:val="16"/>
                <w:szCs w:val="16"/>
              </w:rPr>
              <w:t>n/a</w:t>
            </w:r>
          </w:p>
        </w:tc>
        <w:tc>
          <w:tcPr>
            <w:tcW w:w="1654" w:type="dxa"/>
          </w:tcPr>
          <w:p w:rsidR="00845529" w:rsidRPr="0037668E" w:rsidRDefault="00845529" w:rsidP="00732F33">
            <w:pPr>
              <w:spacing w:before="20" w:after="20"/>
              <w:ind w:left="0"/>
              <w:rPr>
                <w:sz w:val="16"/>
                <w:szCs w:val="16"/>
              </w:rPr>
            </w:pPr>
            <w:r w:rsidRPr="0037668E">
              <w:rPr>
                <w:sz w:val="16"/>
                <w:szCs w:val="16"/>
              </w:rPr>
              <w:t>UQ</w:t>
            </w:r>
          </w:p>
        </w:tc>
        <w:tc>
          <w:tcPr>
            <w:tcW w:w="1654" w:type="dxa"/>
          </w:tcPr>
          <w:p w:rsidR="00845529" w:rsidRPr="0037668E" w:rsidRDefault="00845529" w:rsidP="00732F33">
            <w:pPr>
              <w:spacing w:after="0"/>
              <w:ind w:left="0"/>
              <w:rPr>
                <w:sz w:val="16"/>
                <w:szCs w:val="16"/>
              </w:rPr>
            </w:pPr>
            <w:r w:rsidRPr="0037668E">
              <w:rPr>
                <w:sz w:val="16"/>
                <w:szCs w:val="16"/>
              </w:rPr>
              <w:t>UQ</w:t>
            </w:r>
          </w:p>
        </w:tc>
        <w:tc>
          <w:tcPr>
            <w:tcW w:w="850" w:type="dxa"/>
          </w:tcPr>
          <w:p w:rsidR="00845529" w:rsidRPr="0037668E" w:rsidRDefault="00845529" w:rsidP="00732F33">
            <w:pPr>
              <w:spacing w:after="0"/>
              <w:ind w:left="0"/>
              <w:jc w:val="center"/>
              <w:rPr>
                <w:sz w:val="16"/>
                <w:szCs w:val="16"/>
              </w:rPr>
            </w:pPr>
            <w:r w:rsidRPr="0037668E">
              <w:rPr>
                <w:sz w:val="16"/>
                <w:szCs w:val="16"/>
              </w:rPr>
              <w:t>R/P</w:t>
            </w:r>
          </w:p>
        </w:tc>
      </w:tr>
    </w:tbl>
    <w:p w:rsidR="00486865" w:rsidRDefault="00486865" w:rsidP="0048686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393C0D" w:rsidRDefault="00393C0D" w:rsidP="00393C0D">
      <w:pPr>
        <w:rPr>
          <w:rFonts w:cs="Arial"/>
        </w:rPr>
      </w:pPr>
      <w:r>
        <w:rPr>
          <w:rFonts w:cs="Arial"/>
        </w:rPr>
        <w:t>Via the Water UK Developers Group we have contributed to the development of this measure.</w:t>
      </w:r>
    </w:p>
    <w:p w:rsidR="00393C0D" w:rsidRPr="007E2A09" w:rsidRDefault="00393C0D" w:rsidP="00393C0D">
      <w:pPr>
        <w:rPr>
          <w:rFonts w:cs="Arial"/>
        </w:rPr>
      </w:pPr>
      <w:r>
        <w:rPr>
          <w:rFonts w:cs="Arial"/>
        </w:rPr>
        <w:t xml:space="preserve">As part of our commitments to PR14, we have conducted an annual Developer Survey, so agree wholeheartedly with this approach to measuring </w:t>
      </w:r>
      <w:r w:rsidR="00F83A1C">
        <w:rPr>
          <w:rFonts w:cs="Arial"/>
        </w:rPr>
        <w:t>D</w:t>
      </w:r>
      <w:r>
        <w:rPr>
          <w:rFonts w:cs="Arial"/>
        </w:rPr>
        <w:t xml:space="preserve">eveloper satisfaction.  </w:t>
      </w:r>
      <w:r w:rsidR="00DC0EAC">
        <w:rPr>
          <w:rFonts w:cs="Arial"/>
        </w:rPr>
        <w:t>Our annual survey has always exceeded our target level of satisfaction.  However, our survey results cannot be directly compared to the proposed new survey.</w:t>
      </w:r>
    </w:p>
    <w:p w:rsidR="00393C0D" w:rsidRDefault="00845529" w:rsidP="00393C0D">
      <w:pPr>
        <w:rPr>
          <w:rFonts w:cs="Arial"/>
          <w:b/>
        </w:rPr>
      </w:pPr>
      <w:r>
        <w:rPr>
          <w:rFonts w:cs="Arial"/>
          <w:b/>
        </w:rPr>
        <w:t>3.</w:t>
      </w:r>
      <w:r>
        <w:rPr>
          <w:rFonts w:cs="Arial"/>
          <w:b/>
        </w:rPr>
        <w:tab/>
      </w:r>
      <w:r w:rsidR="00393C0D" w:rsidRPr="001050F4">
        <w:rPr>
          <w:rFonts w:cs="Arial"/>
          <w:b/>
        </w:rPr>
        <w:t>Affordability</w:t>
      </w:r>
    </w:p>
    <w:tbl>
      <w:tblPr>
        <w:tblStyle w:val="TableGrid"/>
        <w:tblW w:w="8783" w:type="dxa"/>
        <w:tblInd w:w="851" w:type="dxa"/>
        <w:tblLayout w:type="fixed"/>
        <w:tblLook w:val="04A0" w:firstRow="1" w:lastRow="0" w:firstColumn="1" w:lastColumn="0" w:noHBand="0" w:noVBand="1"/>
      </w:tblPr>
      <w:tblGrid>
        <w:gridCol w:w="2263"/>
        <w:gridCol w:w="709"/>
        <w:gridCol w:w="1653"/>
        <w:gridCol w:w="1654"/>
        <w:gridCol w:w="1654"/>
        <w:gridCol w:w="850"/>
      </w:tblGrid>
      <w:tr w:rsidR="00732F33" w:rsidRPr="0037668E" w:rsidTr="005D4761">
        <w:tc>
          <w:tcPr>
            <w:tcW w:w="2263" w:type="dxa"/>
            <w:shd w:val="clear" w:color="auto" w:fill="2E74B5" w:themeFill="accent1" w:themeFillShade="BF"/>
          </w:tcPr>
          <w:p w:rsidR="00732F33" w:rsidRPr="0037668E" w:rsidRDefault="00732F33" w:rsidP="00732F33">
            <w:pPr>
              <w:spacing w:after="0"/>
              <w:ind w:left="0"/>
              <w:rPr>
                <w:sz w:val="16"/>
                <w:szCs w:val="16"/>
              </w:rPr>
            </w:pPr>
            <w:r w:rsidRPr="0037668E">
              <w:rPr>
                <w:b/>
                <w:bCs/>
                <w:color w:val="FFFFFF" w:themeColor="background1"/>
                <w:sz w:val="16"/>
                <w:szCs w:val="16"/>
              </w:rPr>
              <w:t>Performance Commitment</w:t>
            </w:r>
          </w:p>
        </w:tc>
        <w:tc>
          <w:tcPr>
            <w:tcW w:w="709" w:type="dxa"/>
            <w:shd w:val="clear" w:color="auto" w:fill="2E74B5" w:themeFill="accent1" w:themeFillShade="BF"/>
          </w:tcPr>
          <w:p w:rsidR="00732F33" w:rsidRPr="0037668E" w:rsidRDefault="00732F33" w:rsidP="00732F33">
            <w:pPr>
              <w:spacing w:before="20" w:after="20"/>
              <w:ind w:left="0"/>
              <w:jc w:val="center"/>
              <w:rPr>
                <w:b/>
                <w:bCs/>
                <w:color w:val="FFFFFF" w:themeColor="background1"/>
                <w:sz w:val="16"/>
                <w:szCs w:val="16"/>
              </w:rPr>
            </w:pPr>
            <w:r w:rsidRPr="0037668E">
              <w:rPr>
                <w:b/>
                <w:bCs/>
                <w:color w:val="FFFFFF" w:themeColor="background1"/>
                <w:sz w:val="16"/>
                <w:szCs w:val="16"/>
              </w:rPr>
              <w:t>Type</w:t>
            </w:r>
          </w:p>
        </w:tc>
        <w:tc>
          <w:tcPr>
            <w:tcW w:w="1653" w:type="dxa"/>
            <w:shd w:val="clear" w:color="auto" w:fill="2E74B5" w:themeFill="accent1" w:themeFillShade="BF"/>
          </w:tcPr>
          <w:p w:rsidR="00732F33" w:rsidRPr="0037668E" w:rsidRDefault="00732F33" w:rsidP="00732F33">
            <w:pPr>
              <w:spacing w:after="0"/>
              <w:ind w:left="0"/>
              <w:rPr>
                <w:b/>
                <w:color w:val="FFFFFF" w:themeColor="background1"/>
                <w:sz w:val="16"/>
                <w:szCs w:val="16"/>
              </w:rPr>
            </w:pPr>
            <w:r w:rsidRPr="0037668E">
              <w:rPr>
                <w:b/>
                <w:color w:val="FFFFFF" w:themeColor="background1"/>
                <w:sz w:val="16"/>
                <w:szCs w:val="16"/>
              </w:rPr>
              <w:t>AMP6 Performance</w:t>
            </w:r>
          </w:p>
        </w:tc>
        <w:tc>
          <w:tcPr>
            <w:tcW w:w="1654" w:type="dxa"/>
            <w:shd w:val="clear" w:color="auto" w:fill="2E74B5" w:themeFill="accent1" w:themeFillShade="BF"/>
          </w:tcPr>
          <w:p w:rsidR="00732F33" w:rsidRPr="0037668E" w:rsidRDefault="00732F33" w:rsidP="00732F33">
            <w:pPr>
              <w:spacing w:after="0"/>
              <w:ind w:left="0"/>
              <w:rPr>
                <w:b/>
                <w:color w:val="FFFFFF" w:themeColor="background1"/>
                <w:sz w:val="16"/>
                <w:szCs w:val="16"/>
              </w:rPr>
            </w:pPr>
            <w:r w:rsidRPr="0037668E">
              <w:rPr>
                <w:b/>
                <w:color w:val="FFFFFF" w:themeColor="background1"/>
                <w:sz w:val="16"/>
                <w:szCs w:val="16"/>
              </w:rPr>
              <w:t>2024/25 Target</w:t>
            </w:r>
          </w:p>
        </w:tc>
        <w:tc>
          <w:tcPr>
            <w:tcW w:w="1654" w:type="dxa"/>
            <w:shd w:val="clear" w:color="auto" w:fill="2E74B5" w:themeFill="accent1" w:themeFillShade="BF"/>
          </w:tcPr>
          <w:p w:rsidR="00732F33" w:rsidRPr="0037668E" w:rsidRDefault="00732F33" w:rsidP="00732F33">
            <w:pPr>
              <w:spacing w:after="0"/>
              <w:ind w:left="0"/>
              <w:rPr>
                <w:b/>
                <w:color w:val="FFFFFF" w:themeColor="background1"/>
                <w:sz w:val="16"/>
                <w:szCs w:val="16"/>
              </w:rPr>
            </w:pPr>
            <w:r w:rsidRPr="0037668E">
              <w:rPr>
                <w:b/>
                <w:color w:val="FFFFFF" w:themeColor="background1"/>
                <w:sz w:val="16"/>
                <w:szCs w:val="16"/>
              </w:rPr>
              <w:t>2034/35 Target</w:t>
            </w:r>
          </w:p>
        </w:tc>
        <w:tc>
          <w:tcPr>
            <w:tcW w:w="850" w:type="dxa"/>
            <w:shd w:val="clear" w:color="auto" w:fill="2E74B5" w:themeFill="accent1" w:themeFillShade="BF"/>
          </w:tcPr>
          <w:p w:rsidR="00732F33" w:rsidRPr="0037668E" w:rsidRDefault="00732F33" w:rsidP="00732F33">
            <w:pPr>
              <w:spacing w:after="0"/>
              <w:ind w:left="0"/>
              <w:jc w:val="center"/>
              <w:rPr>
                <w:b/>
                <w:color w:val="FFFFFF" w:themeColor="background1"/>
                <w:sz w:val="16"/>
                <w:szCs w:val="16"/>
              </w:rPr>
            </w:pPr>
            <w:r w:rsidRPr="0037668E">
              <w:rPr>
                <w:b/>
                <w:color w:val="FFFFFF" w:themeColor="background1"/>
                <w:sz w:val="16"/>
                <w:szCs w:val="16"/>
              </w:rPr>
              <w:t>Reward/Penalty</w:t>
            </w:r>
          </w:p>
        </w:tc>
      </w:tr>
      <w:tr w:rsidR="00732F33" w:rsidRPr="0037668E" w:rsidTr="005D4761">
        <w:tc>
          <w:tcPr>
            <w:tcW w:w="2263" w:type="dxa"/>
          </w:tcPr>
          <w:p w:rsidR="00732F33" w:rsidRPr="0037668E" w:rsidRDefault="00732F33" w:rsidP="00732F33">
            <w:pPr>
              <w:spacing w:before="20" w:after="20"/>
              <w:ind w:left="0"/>
              <w:rPr>
                <w:sz w:val="16"/>
                <w:szCs w:val="16"/>
              </w:rPr>
            </w:pPr>
            <w:r w:rsidRPr="0037668E">
              <w:rPr>
                <w:sz w:val="16"/>
                <w:szCs w:val="16"/>
              </w:rPr>
              <w:t>Affordability</w:t>
            </w:r>
          </w:p>
        </w:tc>
        <w:tc>
          <w:tcPr>
            <w:tcW w:w="709" w:type="dxa"/>
          </w:tcPr>
          <w:p w:rsidR="00732F33" w:rsidRPr="0037668E" w:rsidRDefault="00732F33" w:rsidP="00732F33">
            <w:pPr>
              <w:spacing w:before="20" w:after="20"/>
              <w:ind w:left="0"/>
              <w:jc w:val="center"/>
              <w:rPr>
                <w:sz w:val="16"/>
                <w:szCs w:val="16"/>
              </w:rPr>
            </w:pPr>
            <w:r w:rsidRPr="0037668E">
              <w:rPr>
                <w:sz w:val="16"/>
                <w:szCs w:val="16"/>
              </w:rPr>
              <w:t>B</w:t>
            </w:r>
          </w:p>
        </w:tc>
        <w:tc>
          <w:tcPr>
            <w:tcW w:w="1653" w:type="dxa"/>
          </w:tcPr>
          <w:p w:rsidR="00732F33" w:rsidRPr="0037668E" w:rsidRDefault="00732F33" w:rsidP="00732F33">
            <w:pPr>
              <w:spacing w:after="0"/>
              <w:ind w:left="0"/>
              <w:rPr>
                <w:sz w:val="16"/>
                <w:szCs w:val="16"/>
              </w:rPr>
            </w:pPr>
            <w:r w:rsidRPr="0037668E">
              <w:rPr>
                <w:sz w:val="16"/>
                <w:szCs w:val="16"/>
              </w:rPr>
              <w:t>5,300 on social tariff as at end 2017/18</w:t>
            </w:r>
          </w:p>
        </w:tc>
        <w:tc>
          <w:tcPr>
            <w:tcW w:w="1654" w:type="dxa"/>
          </w:tcPr>
          <w:p w:rsidR="00732F33" w:rsidRPr="0037668E" w:rsidRDefault="00732F33" w:rsidP="00732F33">
            <w:pPr>
              <w:spacing w:before="20" w:after="20"/>
              <w:ind w:left="0"/>
              <w:rPr>
                <w:sz w:val="16"/>
                <w:szCs w:val="16"/>
              </w:rPr>
            </w:pPr>
            <w:r w:rsidRPr="0037668E">
              <w:rPr>
                <w:sz w:val="16"/>
                <w:szCs w:val="16"/>
              </w:rPr>
              <w:t>8,000 customers on social tariff</w:t>
            </w:r>
          </w:p>
        </w:tc>
        <w:tc>
          <w:tcPr>
            <w:tcW w:w="1654" w:type="dxa"/>
          </w:tcPr>
          <w:p w:rsidR="00732F33" w:rsidRPr="0037668E" w:rsidRDefault="00732F33" w:rsidP="00732F33">
            <w:pPr>
              <w:spacing w:after="0"/>
              <w:ind w:left="0"/>
              <w:rPr>
                <w:sz w:val="16"/>
                <w:szCs w:val="16"/>
              </w:rPr>
            </w:pPr>
            <w:r w:rsidRPr="0037668E">
              <w:rPr>
                <w:sz w:val="16"/>
                <w:szCs w:val="16"/>
              </w:rPr>
              <w:t>10,000 customers on social tariff</w:t>
            </w:r>
          </w:p>
        </w:tc>
        <w:tc>
          <w:tcPr>
            <w:tcW w:w="850" w:type="dxa"/>
          </w:tcPr>
          <w:p w:rsidR="00732F33" w:rsidRPr="0037668E" w:rsidRDefault="00732F33" w:rsidP="00732F33">
            <w:pPr>
              <w:spacing w:after="0"/>
              <w:ind w:left="0"/>
              <w:jc w:val="center"/>
              <w:rPr>
                <w:sz w:val="16"/>
                <w:szCs w:val="16"/>
              </w:rPr>
            </w:pPr>
            <w:r w:rsidRPr="0037668E">
              <w:rPr>
                <w:sz w:val="16"/>
                <w:szCs w:val="16"/>
              </w:rPr>
              <w:t>P</w:t>
            </w:r>
          </w:p>
        </w:tc>
      </w:tr>
    </w:tbl>
    <w:p w:rsidR="00486865" w:rsidRDefault="00486865" w:rsidP="0048686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845529" w:rsidRDefault="00845529" w:rsidP="00393C0D">
      <w:pPr>
        <w:rPr>
          <w:rFonts w:cs="Arial"/>
        </w:rPr>
      </w:pPr>
      <w:r>
        <w:rPr>
          <w:rFonts w:cs="Arial"/>
        </w:rPr>
        <w:t xml:space="preserve">This is a bespoke </w:t>
      </w:r>
      <w:r w:rsidR="00451E46">
        <w:rPr>
          <w:rFonts w:cs="Arial"/>
        </w:rPr>
        <w:t>P</w:t>
      </w:r>
      <w:r>
        <w:rPr>
          <w:rFonts w:cs="Arial"/>
        </w:rPr>
        <w:t xml:space="preserve">erformance </w:t>
      </w:r>
      <w:r w:rsidR="00451E46">
        <w:rPr>
          <w:rFonts w:cs="Arial"/>
        </w:rPr>
        <w:t>Commitment</w:t>
      </w:r>
      <w:r>
        <w:rPr>
          <w:rFonts w:cs="Arial"/>
        </w:rPr>
        <w:t xml:space="preserve">.  </w:t>
      </w:r>
      <w:r w:rsidR="00FE5587">
        <w:rPr>
          <w:rFonts w:cs="Arial"/>
        </w:rPr>
        <w:t xml:space="preserve">It </w:t>
      </w:r>
      <w:r>
        <w:rPr>
          <w:rFonts w:cs="Arial"/>
        </w:rPr>
        <w:t xml:space="preserve">will be penalty only in respect of our social tariff growth target. </w:t>
      </w:r>
    </w:p>
    <w:p w:rsidR="00393C0D" w:rsidRDefault="00393C0D" w:rsidP="00393C0D">
      <w:pPr>
        <w:rPr>
          <w:rFonts w:cs="Arial"/>
        </w:rPr>
      </w:pPr>
      <w:r>
        <w:rPr>
          <w:rFonts w:cs="Arial"/>
        </w:rPr>
        <w:t xml:space="preserve">Background on our customer insight and approach to affordability is given within </w:t>
      </w:r>
      <w:r w:rsidR="007C373D">
        <w:rPr>
          <w:rFonts w:cs="Arial"/>
        </w:rPr>
        <w:t>Chapter 5.1.</w:t>
      </w:r>
    </w:p>
    <w:p w:rsidR="00393C0D" w:rsidRDefault="00393C0D" w:rsidP="00393C0D">
      <w:pPr>
        <w:rPr>
          <w:rFonts w:cs="Arial"/>
        </w:rPr>
      </w:pPr>
      <w:r>
        <w:rPr>
          <w:rFonts w:cs="Arial"/>
        </w:rPr>
        <w:t>Our bespoke Affordability Performance Commitment has 3 elements:</w:t>
      </w:r>
    </w:p>
    <w:p w:rsidR="00393C0D" w:rsidRDefault="00393C0D" w:rsidP="00B73C0A">
      <w:pPr>
        <w:pStyle w:val="Bullets"/>
      </w:pPr>
      <w:r w:rsidRPr="0052259A">
        <w:t>Average Household Bills will not exceed 0.5% of average household incomes.</w:t>
      </w:r>
    </w:p>
    <w:p w:rsidR="00393C0D" w:rsidRDefault="00393C0D" w:rsidP="00B73C0A">
      <w:pPr>
        <w:pStyle w:val="Bullets"/>
      </w:pPr>
      <w:r w:rsidRPr="0052259A">
        <w:t>Our Social Tariff will not exceed 0.5% of the Governments low household income threshold (currently £16,105).</w:t>
      </w:r>
    </w:p>
    <w:p w:rsidR="00393C0D" w:rsidRDefault="00393C0D" w:rsidP="00B73C0A">
      <w:pPr>
        <w:pStyle w:val="Bullets"/>
      </w:pPr>
      <w:r w:rsidRPr="0052259A">
        <w:t>Our Social Tariff take up will increase to 8,00</w:t>
      </w:r>
      <w:r w:rsidR="005D4761">
        <w:t>0 customers by the end of AMP7.</w:t>
      </w:r>
    </w:p>
    <w:p w:rsidR="00B75CD9" w:rsidRDefault="00B75CD9">
      <w:pPr>
        <w:tabs>
          <w:tab w:val="clear" w:pos="851"/>
        </w:tabs>
        <w:spacing w:after="0"/>
        <w:ind w:left="0"/>
        <w:jc w:val="left"/>
      </w:pPr>
      <w:r>
        <w:br w:type="page"/>
      </w:r>
    </w:p>
    <w:p w:rsidR="00393C0D" w:rsidRDefault="00732F33" w:rsidP="00393C0D">
      <w:pPr>
        <w:rPr>
          <w:rFonts w:cs="Arial"/>
        </w:rPr>
      </w:pPr>
      <w:r>
        <w:rPr>
          <w:rFonts w:cs="Arial"/>
          <w:b/>
        </w:rPr>
        <w:t>4.</w:t>
      </w:r>
      <w:r>
        <w:rPr>
          <w:rFonts w:cs="Arial"/>
          <w:b/>
        </w:rPr>
        <w:tab/>
      </w:r>
      <w:r w:rsidR="00393C0D" w:rsidRPr="001050F4">
        <w:rPr>
          <w:rFonts w:cs="Arial"/>
          <w:b/>
        </w:rPr>
        <w:t>Voids and Gap Sites</w:t>
      </w:r>
      <w:r w:rsidR="00393C0D">
        <w:rPr>
          <w:rFonts w:cs="Arial"/>
        </w:rPr>
        <w:t xml:space="preserve"> </w:t>
      </w:r>
    </w:p>
    <w:tbl>
      <w:tblPr>
        <w:tblStyle w:val="TableGrid"/>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732F33" w:rsidRPr="0037668E" w:rsidTr="005D4761">
        <w:tc>
          <w:tcPr>
            <w:tcW w:w="2405" w:type="dxa"/>
            <w:shd w:val="clear" w:color="auto" w:fill="2E74B5" w:themeFill="accent1" w:themeFillShade="BF"/>
          </w:tcPr>
          <w:p w:rsidR="00732F33" w:rsidRPr="0037668E" w:rsidRDefault="00732F33" w:rsidP="00732F33">
            <w:pPr>
              <w:spacing w:after="0"/>
              <w:ind w:left="0"/>
              <w:rPr>
                <w:sz w:val="16"/>
                <w:szCs w:val="16"/>
              </w:rPr>
            </w:pPr>
            <w:r w:rsidRPr="0037668E">
              <w:rPr>
                <w:b/>
                <w:bCs/>
                <w:color w:val="FFFFFF" w:themeColor="background1"/>
                <w:sz w:val="16"/>
                <w:szCs w:val="16"/>
              </w:rPr>
              <w:t>Performance Commitment</w:t>
            </w:r>
          </w:p>
        </w:tc>
        <w:tc>
          <w:tcPr>
            <w:tcW w:w="708" w:type="dxa"/>
            <w:shd w:val="clear" w:color="auto" w:fill="2E74B5" w:themeFill="accent1" w:themeFillShade="BF"/>
          </w:tcPr>
          <w:p w:rsidR="00732F33" w:rsidRPr="0037668E" w:rsidRDefault="00732F33" w:rsidP="00732F33">
            <w:pPr>
              <w:spacing w:before="20" w:after="20"/>
              <w:ind w:left="0"/>
              <w:jc w:val="center"/>
              <w:rPr>
                <w:b/>
                <w:bCs/>
                <w:color w:val="FFFFFF" w:themeColor="background1"/>
                <w:sz w:val="16"/>
                <w:szCs w:val="16"/>
              </w:rPr>
            </w:pPr>
            <w:r w:rsidRPr="0037668E">
              <w:rPr>
                <w:b/>
                <w:bCs/>
                <w:color w:val="FFFFFF" w:themeColor="background1"/>
                <w:sz w:val="16"/>
                <w:szCs w:val="16"/>
              </w:rPr>
              <w:t>Type</w:t>
            </w:r>
          </w:p>
        </w:tc>
        <w:tc>
          <w:tcPr>
            <w:tcW w:w="1512" w:type="dxa"/>
            <w:shd w:val="clear" w:color="auto" w:fill="2E74B5" w:themeFill="accent1" w:themeFillShade="BF"/>
          </w:tcPr>
          <w:p w:rsidR="00732F33" w:rsidRPr="0037668E" w:rsidRDefault="00732F33" w:rsidP="00732F33">
            <w:pPr>
              <w:spacing w:after="0"/>
              <w:ind w:left="0"/>
              <w:rPr>
                <w:b/>
                <w:color w:val="FFFFFF" w:themeColor="background1"/>
                <w:sz w:val="16"/>
                <w:szCs w:val="16"/>
              </w:rPr>
            </w:pPr>
            <w:r w:rsidRPr="0037668E">
              <w:rPr>
                <w:b/>
                <w:color w:val="FFFFFF" w:themeColor="background1"/>
                <w:sz w:val="16"/>
                <w:szCs w:val="16"/>
              </w:rPr>
              <w:t>AMP6 Performance</w:t>
            </w:r>
          </w:p>
        </w:tc>
        <w:tc>
          <w:tcPr>
            <w:tcW w:w="1654" w:type="dxa"/>
            <w:shd w:val="clear" w:color="auto" w:fill="2E74B5" w:themeFill="accent1" w:themeFillShade="BF"/>
          </w:tcPr>
          <w:p w:rsidR="00732F33" w:rsidRPr="0037668E" w:rsidRDefault="00732F33" w:rsidP="00732F33">
            <w:pPr>
              <w:spacing w:after="0"/>
              <w:ind w:left="0"/>
              <w:rPr>
                <w:b/>
                <w:color w:val="FFFFFF" w:themeColor="background1"/>
                <w:sz w:val="16"/>
                <w:szCs w:val="16"/>
              </w:rPr>
            </w:pPr>
            <w:r w:rsidRPr="0037668E">
              <w:rPr>
                <w:b/>
                <w:color w:val="FFFFFF" w:themeColor="background1"/>
                <w:sz w:val="16"/>
                <w:szCs w:val="16"/>
              </w:rPr>
              <w:t>2024/25 Target</w:t>
            </w:r>
          </w:p>
        </w:tc>
        <w:tc>
          <w:tcPr>
            <w:tcW w:w="1654" w:type="dxa"/>
            <w:shd w:val="clear" w:color="auto" w:fill="2E74B5" w:themeFill="accent1" w:themeFillShade="BF"/>
          </w:tcPr>
          <w:p w:rsidR="00732F33" w:rsidRPr="0037668E" w:rsidRDefault="00732F33" w:rsidP="00732F33">
            <w:pPr>
              <w:spacing w:after="0"/>
              <w:ind w:left="0"/>
              <w:rPr>
                <w:b/>
                <w:color w:val="FFFFFF" w:themeColor="background1"/>
                <w:sz w:val="16"/>
                <w:szCs w:val="16"/>
              </w:rPr>
            </w:pPr>
            <w:r w:rsidRPr="0037668E">
              <w:rPr>
                <w:b/>
                <w:color w:val="FFFFFF" w:themeColor="background1"/>
                <w:sz w:val="16"/>
                <w:szCs w:val="16"/>
              </w:rPr>
              <w:t>2034/35 Target</w:t>
            </w:r>
          </w:p>
        </w:tc>
        <w:tc>
          <w:tcPr>
            <w:tcW w:w="850" w:type="dxa"/>
            <w:shd w:val="clear" w:color="auto" w:fill="2E74B5" w:themeFill="accent1" w:themeFillShade="BF"/>
          </w:tcPr>
          <w:p w:rsidR="00732F33" w:rsidRPr="0037668E" w:rsidRDefault="00732F33" w:rsidP="00732F33">
            <w:pPr>
              <w:spacing w:after="0"/>
              <w:ind w:left="0"/>
              <w:jc w:val="center"/>
              <w:rPr>
                <w:b/>
                <w:color w:val="FFFFFF" w:themeColor="background1"/>
                <w:sz w:val="16"/>
                <w:szCs w:val="16"/>
              </w:rPr>
            </w:pPr>
            <w:r w:rsidRPr="0037668E">
              <w:rPr>
                <w:b/>
                <w:color w:val="FFFFFF" w:themeColor="background1"/>
                <w:sz w:val="16"/>
                <w:szCs w:val="16"/>
              </w:rPr>
              <w:t>Reward/Penalty</w:t>
            </w:r>
          </w:p>
        </w:tc>
      </w:tr>
      <w:tr w:rsidR="00732F33" w:rsidRPr="0037668E" w:rsidTr="005D4761">
        <w:tc>
          <w:tcPr>
            <w:tcW w:w="2405" w:type="dxa"/>
          </w:tcPr>
          <w:p w:rsidR="00732F33" w:rsidRPr="0037668E" w:rsidRDefault="00732F33" w:rsidP="00732F33">
            <w:pPr>
              <w:spacing w:before="20" w:after="20"/>
              <w:ind w:left="0"/>
              <w:rPr>
                <w:sz w:val="16"/>
                <w:szCs w:val="16"/>
              </w:rPr>
            </w:pPr>
            <w:r w:rsidRPr="0037668E">
              <w:rPr>
                <w:sz w:val="16"/>
                <w:szCs w:val="16"/>
              </w:rPr>
              <w:t>Void properties and gap sites</w:t>
            </w:r>
          </w:p>
        </w:tc>
        <w:tc>
          <w:tcPr>
            <w:tcW w:w="708" w:type="dxa"/>
          </w:tcPr>
          <w:p w:rsidR="00732F33" w:rsidRPr="0037668E" w:rsidRDefault="00732F33" w:rsidP="00732F33">
            <w:pPr>
              <w:spacing w:before="20" w:after="20"/>
              <w:ind w:left="0"/>
              <w:jc w:val="center"/>
              <w:rPr>
                <w:sz w:val="16"/>
                <w:szCs w:val="16"/>
              </w:rPr>
            </w:pPr>
            <w:r w:rsidRPr="0037668E">
              <w:rPr>
                <w:sz w:val="16"/>
                <w:szCs w:val="16"/>
              </w:rPr>
              <w:t>B</w:t>
            </w:r>
          </w:p>
        </w:tc>
        <w:tc>
          <w:tcPr>
            <w:tcW w:w="1512" w:type="dxa"/>
          </w:tcPr>
          <w:p w:rsidR="00732F33" w:rsidRPr="0037668E" w:rsidRDefault="00732F33" w:rsidP="00732F33">
            <w:pPr>
              <w:spacing w:after="0"/>
              <w:ind w:left="0"/>
              <w:rPr>
                <w:sz w:val="16"/>
                <w:szCs w:val="16"/>
              </w:rPr>
            </w:pPr>
            <w:r w:rsidRPr="0037668E">
              <w:rPr>
                <w:sz w:val="16"/>
                <w:szCs w:val="16"/>
              </w:rPr>
              <w:t>n/a</w:t>
            </w:r>
          </w:p>
        </w:tc>
        <w:tc>
          <w:tcPr>
            <w:tcW w:w="1654" w:type="dxa"/>
          </w:tcPr>
          <w:p w:rsidR="00732F33" w:rsidRPr="0037668E" w:rsidRDefault="005D4761" w:rsidP="00732F33">
            <w:pPr>
              <w:spacing w:before="20" w:after="20"/>
              <w:ind w:left="0"/>
              <w:rPr>
                <w:sz w:val="16"/>
                <w:szCs w:val="16"/>
              </w:rPr>
            </w:pPr>
            <w:r>
              <w:rPr>
                <w:sz w:val="16"/>
                <w:szCs w:val="16"/>
              </w:rPr>
              <w:t>Within 0.25% of Local Authority Assessment.</w:t>
            </w:r>
          </w:p>
        </w:tc>
        <w:tc>
          <w:tcPr>
            <w:tcW w:w="1654" w:type="dxa"/>
          </w:tcPr>
          <w:p w:rsidR="00732F33" w:rsidRPr="0037668E" w:rsidRDefault="00732F33" w:rsidP="00732F33">
            <w:pPr>
              <w:spacing w:after="0"/>
              <w:ind w:left="0"/>
              <w:rPr>
                <w:sz w:val="16"/>
                <w:szCs w:val="16"/>
              </w:rPr>
            </w:pPr>
            <w:r w:rsidRPr="0037668E">
              <w:rPr>
                <w:sz w:val="16"/>
                <w:szCs w:val="16"/>
              </w:rPr>
              <w:t>Better than Council assessment</w:t>
            </w:r>
          </w:p>
        </w:tc>
        <w:tc>
          <w:tcPr>
            <w:tcW w:w="850" w:type="dxa"/>
          </w:tcPr>
          <w:p w:rsidR="00732F33" w:rsidRPr="0037668E" w:rsidRDefault="00732F33" w:rsidP="00732F33">
            <w:pPr>
              <w:spacing w:after="0"/>
              <w:ind w:left="0"/>
              <w:jc w:val="center"/>
              <w:rPr>
                <w:sz w:val="16"/>
                <w:szCs w:val="16"/>
              </w:rPr>
            </w:pPr>
            <w:r w:rsidRPr="0037668E">
              <w:rPr>
                <w:sz w:val="16"/>
                <w:szCs w:val="16"/>
              </w:rPr>
              <w:t>P</w:t>
            </w:r>
          </w:p>
        </w:tc>
      </w:tr>
    </w:tbl>
    <w:p w:rsidR="00486865" w:rsidRDefault="00486865" w:rsidP="0048686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393C0D" w:rsidRDefault="00392B21" w:rsidP="00393C0D">
      <w:pPr>
        <w:rPr>
          <w:rFonts w:cs="Arial"/>
        </w:rPr>
      </w:pPr>
      <w:r>
        <w:rPr>
          <w:rFonts w:cs="Arial"/>
        </w:rPr>
        <w:t>This</w:t>
      </w:r>
      <w:r w:rsidR="00393C0D">
        <w:rPr>
          <w:rFonts w:cs="Arial"/>
        </w:rPr>
        <w:t xml:space="preserve"> bespoke Performance Commitment for Voids and Gap Sites</w:t>
      </w:r>
      <w:r w:rsidR="005D4761">
        <w:rPr>
          <w:rFonts w:cs="Arial"/>
        </w:rPr>
        <w:t>.  Achieving the target will have</w:t>
      </w:r>
      <w:r w:rsidR="00393C0D">
        <w:rPr>
          <w:rFonts w:cs="Arial"/>
        </w:rPr>
        <w:t xml:space="preserve"> </w:t>
      </w:r>
      <w:r>
        <w:rPr>
          <w:rFonts w:cs="Arial"/>
        </w:rPr>
        <w:t>five</w:t>
      </w:r>
      <w:r w:rsidR="00393C0D">
        <w:rPr>
          <w:rFonts w:cs="Arial"/>
        </w:rPr>
        <w:t xml:space="preserve"> elements. </w:t>
      </w:r>
      <w:r w:rsidR="00824DA6">
        <w:rPr>
          <w:rFonts w:cs="Arial"/>
        </w:rPr>
        <w:t>It is a penalty only ODI.</w:t>
      </w:r>
    </w:p>
    <w:p w:rsidR="00393C0D" w:rsidRDefault="00393C0D" w:rsidP="00393C0D">
      <w:pPr>
        <w:rPr>
          <w:rFonts w:cs="Arial"/>
        </w:rPr>
      </w:pPr>
      <w:r>
        <w:rPr>
          <w:rFonts w:cs="Arial"/>
        </w:rPr>
        <w:t xml:space="preserve">Voids that are not actually vacant and </w:t>
      </w:r>
      <w:r w:rsidR="00F83A1C">
        <w:rPr>
          <w:rFonts w:cs="Arial"/>
        </w:rPr>
        <w:t>‘</w:t>
      </w:r>
      <w:r>
        <w:rPr>
          <w:rFonts w:cs="Arial"/>
        </w:rPr>
        <w:t>Gap</w:t>
      </w:r>
      <w:r w:rsidR="00F83A1C">
        <w:rPr>
          <w:rFonts w:cs="Arial"/>
        </w:rPr>
        <w:t>’</w:t>
      </w:r>
      <w:r>
        <w:rPr>
          <w:rFonts w:cs="Arial"/>
        </w:rPr>
        <w:t xml:space="preserve"> sites both put bills up for paying customers.  </w:t>
      </w:r>
      <w:r w:rsidR="004E0666">
        <w:rPr>
          <w:rFonts w:cs="Arial"/>
        </w:rPr>
        <w:t>Accordingly,</w:t>
      </w:r>
      <w:r>
        <w:rPr>
          <w:rFonts w:cs="Arial"/>
        </w:rPr>
        <w:t xml:space="preserve"> we are supportive of a focus on ensuring that accurate billing records are maintained.</w:t>
      </w:r>
    </w:p>
    <w:p w:rsidR="00393C0D" w:rsidRPr="00042F45" w:rsidRDefault="00393C0D" w:rsidP="00393C0D">
      <w:pPr>
        <w:rPr>
          <w:rFonts w:cs="Arial"/>
        </w:rPr>
      </w:pPr>
      <w:r>
        <w:rPr>
          <w:rFonts w:cs="Arial"/>
        </w:rPr>
        <w:t xml:space="preserve">We have undertaken a review of historic household and non-household internal data, reviewed the </w:t>
      </w:r>
      <w:r w:rsidR="00CE057D">
        <w:rPr>
          <w:rFonts w:cs="Arial"/>
        </w:rPr>
        <w:t>Portsmouth Water</w:t>
      </w:r>
      <w:r>
        <w:rPr>
          <w:rFonts w:cs="Arial"/>
        </w:rPr>
        <w:t xml:space="preserve"> research for Ofwat and looked at voids data for local Councils, obtained from the Office of National Statistics.</w:t>
      </w:r>
      <w:r w:rsidR="00212458">
        <w:rPr>
          <w:rFonts w:cs="Arial"/>
        </w:rPr>
        <w:t xml:space="preserve"> Appendix </w:t>
      </w:r>
      <w:r w:rsidR="00E93C7F">
        <w:rPr>
          <w:rFonts w:cs="Arial"/>
        </w:rPr>
        <w:t>3.2</w:t>
      </w:r>
      <w:r w:rsidR="00212458">
        <w:rPr>
          <w:rFonts w:cs="Arial"/>
        </w:rPr>
        <w:t xml:space="preserve"> covers our methodology.</w:t>
      </w:r>
    </w:p>
    <w:p w:rsidR="00393C0D" w:rsidRPr="00393C0D" w:rsidRDefault="00FE5587" w:rsidP="00FE5587">
      <w:pPr>
        <w:ind w:left="1440" w:hanging="589"/>
        <w:rPr>
          <w:b/>
        </w:rPr>
      </w:pPr>
      <w:r>
        <w:rPr>
          <w:b/>
        </w:rPr>
        <w:t>1.</w:t>
      </w:r>
      <w:r>
        <w:rPr>
          <w:b/>
        </w:rPr>
        <w:tab/>
      </w:r>
      <w:r w:rsidR="00451E46">
        <w:rPr>
          <w:b/>
        </w:rPr>
        <w:t xml:space="preserve">Introduce </w:t>
      </w:r>
      <w:r w:rsidR="00393C0D" w:rsidRPr="00393C0D">
        <w:rPr>
          <w:b/>
        </w:rPr>
        <w:t xml:space="preserve">a policy to meter premises </w:t>
      </w:r>
      <w:r w:rsidR="00451E46">
        <w:rPr>
          <w:b/>
        </w:rPr>
        <w:t xml:space="preserve">empty </w:t>
      </w:r>
      <w:r w:rsidR="00393C0D" w:rsidRPr="00393C0D">
        <w:rPr>
          <w:b/>
        </w:rPr>
        <w:t xml:space="preserve">over 6 months, where feasible at a reasonable cost. </w:t>
      </w:r>
    </w:p>
    <w:p w:rsidR="00393C0D" w:rsidRDefault="00393C0D" w:rsidP="00393C0D">
      <w:r w:rsidRPr="002E027F">
        <w:t xml:space="preserve">We have included this within our </w:t>
      </w:r>
      <w:r w:rsidR="004E0666" w:rsidRPr="002E027F">
        <w:t>strategy,</w:t>
      </w:r>
      <w:r w:rsidRPr="002E027F">
        <w:t xml:space="preserve"> as 53% of unmetered void households are void over 6 months, whereas this falls to 35% for metered households.  We believe that this difference is, in part, due to the relative difficulty in assessing whether an unmetered property is truly vacant verses a metered property, where a meter reading confirms whether water has been used at the premises.</w:t>
      </w:r>
    </w:p>
    <w:p w:rsidR="00393C0D" w:rsidRPr="0052259A" w:rsidRDefault="00FE5587" w:rsidP="00FE5587">
      <w:pPr>
        <w:ind w:left="1440" w:hanging="589"/>
        <w:rPr>
          <w:b/>
        </w:rPr>
      </w:pPr>
      <w:r>
        <w:rPr>
          <w:b/>
        </w:rPr>
        <w:t>2.</w:t>
      </w:r>
      <w:r>
        <w:rPr>
          <w:b/>
        </w:rPr>
        <w:tab/>
      </w:r>
      <w:r w:rsidR="00393C0D" w:rsidRPr="0052259A">
        <w:rPr>
          <w:b/>
        </w:rPr>
        <w:t xml:space="preserve">Household voids no more than 0.25 of 1% above rolling 5 year weighted average based on local authority data.  </w:t>
      </w:r>
    </w:p>
    <w:p w:rsidR="00393C0D" w:rsidRPr="002E027F" w:rsidRDefault="00393C0D" w:rsidP="00393C0D">
      <w:r>
        <w:t>We have chosen</w:t>
      </w:r>
      <w:r w:rsidRPr="002E027F">
        <w:t xml:space="preserve"> to link our</w:t>
      </w:r>
      <w:r>
        <w:t xml:space="preserve"> target to local authority information, rather than set a fixed </w:t>
      </w:r>
      <w:r w:rsidR="004E0666">
        <w:t>target,</w:t>
      </w:r>
      <w:r>
        <w:t xml:space="preserve"> as we believe that there is too much uncertainty to fix a static target.  For example, the </w:t>
      </w:r>
      <w:r w:rsidR="00FE5587">
        <w:t>C</w:t>
      </w:r>
      <w:r>
        <w:t>ity of Portsmouth has been undergoing a massive building programme creating student accommodation.  This building is on the assumption that there will be a growth in student numbers, including overseas students.  If their assumptions are over optimistic then a significant increase in void properties could occur.</w:t>
      </w:r>
    </w:p>
    <w:p w:rsidR="00393C0D" w:rsidRDefault="00FE5587" w:rsidP="00393C0D">
      <w:pPr>
        <w:rPr>
          <w:b/>
        </w:rPr>
      </w:pPr>
      <w:r>
        <w:rPr>
          <w:b/>
        </w:rPr>
        <w:t>3.</w:t>
      </w:r>
      <w:r>
        <w:rPr>
          <w:b/>
        </w:rPr>
        <w:tab/>
      </w:r>
      <w:r w:rsidR="00393C0D" w:rsidRPr="0052259A">
        <w:rPr>
          <w:b/>
        </w:rPr>
        <w:t xml:space="preserve">Non-households </w:t>
      </w:r>
      <w:r w:rsidR="00393C0D">
        <w:rPr>
          <w:b/>
        </w:rPr>
        <w:t xml:space="preserve">voids </w:t>
      </w:r>
      <w:r w:rsidR="00393C0D" w:rsidRPr="0052259A">
        <w:rPr>
          <w:b/>
        </w:rPr>
        <w:t>no greater than unweighted industry average.</w:t>
      </w:r>
    </w:p>
    <w:p w:rsidR="00B75CD9" w:rsidRDefault="00393C0D" w:rsidP="00393C0D">
      <w:r>
        <w:t xml:space="preserve">Based on market data from MOSL, there is a significant variation in voids across wholesalers, ranging from Albion </w:t>
      </w:r>
      <w:r w:rsidR="00451E46">
        <w:t xml:space="preserve">Water </w:t>
      </w:r>
      <w:r>
        <w:t xml:space="preserve">at 33% to Bristol </w:t>
      </w:r>
      <w:r w:rsidR="00451E46">
        <w:t xml:space="preserve">Water </w:t>
      </w:r>
      <w:r>
        <w:t xml:space="preserve">at 2.03% (January 2018 data).  Portsmouth Water </w:t>
      </w:r>
      <w:r w:rsidR="00451E46">
        <w:t xml:space="preserve">is </w:t>
      </w:r>
      <w:r>
        <w:t>better than average at 8.22%.  We see significant potential for the market average to reduce considerably, thereby making our proposed target challenging.</w:t>
      </w:r>
    </w:p>
    <w:p w:rsidR="00B75CD9" w:rsidRDefault="00B75CD9">
      <w:pPr>
        <w:tabs>
          <w:tab w:val="clear" w:pos="851"/>
        </w:tabs>
        <w:spacing w:after="0"/>
        <w:ind w:left="0"/>
        <w:jc w:val="left"/>
      </w:pPr>
      <w:r>
        <w:br w:type="page"/>
      </w:r>
    </w:p>
    <w:p w:rsidR="00393C0D" w:rsidRPr="00943A65" w:rsidRDefault="00FE5587" w:rsidP="00FE5587">
      <w:pPr>
        <w:ind w:left="1440" w:hanging="589"/>
        <w:rPr>
          <w:b/>
        </w:rPr>
      </w:pPr>
      <w:r>
        <w:rPr>
          <w:b/>
        </w:rPr>
        <w:t>4.</w:t>
      </w:r>
      <w:r>
        <w:rPr>
          <w:b/>
        </w:rPr>
        <w:tab/>
      </w:r>
      <w:r w:rsidR="00393C0D" w:rsidRPr="00943A65">
        <w:rPr>
          <w:b/>
        </w:rPr>
        <w:t xml:space="preserve">Gap site incentive – introduce at £100 per property – both household and non-household. </w:t>
      </w:r>
    </w:p>
    <w:p w:rsidR="00393C0D" w:rsidRPr="00943A65" w:rsidRDefault="00393C0D" w:rsidP="00393C0D">
      <w:r>
        <w:t xml:space="preserve">Whilst we have a high level of confidence in our billing data.  We regularly compare voids data with Southern Water, who provide sewerage services in our area of supply and </w:t>
      </w:r>
      <w:r w:rsidR="00451E46">
        <w:t xml:space="preserve">have </w:t>
      </w:r>
      <w:r>
        <w:t>just started an exercise with an external consultant to consider this and other debt matters.  We accept that an incentive is appropriate if properties</w:t>
      </w:r>
      <w:r w:rsidR="004E0666">
        <w:t>,</w:t>
      </w:r>
      <w:r>
        <w:t xml:space="preserve"> that are located</w:t>
      </w:r>
      <w:r w:rsidR="004E0666">
        <w:t xml:space="preserve">, </w:t>
      </w:r>
      <w:r>
        <w:t>are not in charge</w:t>
      </w:r>
      <w:r w:rsidR="004E0666">
        <w:t>.</w:t>
      </w:r>
    </w:p>
    <w:p w:rsidR="00393C0D" w:rsidRDefault="00FE5587" w:rsidP="00FE5587">
      <w:pPr>
        <w:ind w:left="1440" w:hanging="589"/>
        <w:rPr>
          <w:b/>
        </w:rPr>
      </w:pPr>
      <w:r>
        <w:rPr>
          <w:b/>
        </w:rPr>
        <w:t>5.</w:t>
      </w:r>
      <w:r>
        <w:rPr>
          <w:b/>
        </w:rPr>
        <w:tab/>
      </w:r>
      <w:r w:rsidR="00393C0D" w:rsidRPr="00D86510">
        <w:rPr>
          <w:b/>
        </w:rPr>
        <w:t xml:space="preserve">For household voids, where </w:t>
      </w:r>
      <w:r w:rsidR="00DC0EAC">
        <w:rPr>
          <w:b/>
        </w:rPr>
        <w:t>we do not meet our target, we will make a revenue adjustment (based on average bills) to ensure that customers do not pay extra to subsidise our underperformance.</w:t>
      </w:r>
    </w:p>
    <w:p w:rsidR="00393C0D" w:rsidRPr="00453F64" w:rsidRDefault="00427C3F" w:rsidP="00393C0D">
      <w:pPr>
        <w:rPr>
          <w:rFonts w:cs="Arial"/>
          <w:color w:val="2E74B5" w:themeColor="accent1" w:themeShade="BF"/>
        </w:rPr>
      </w:pPr>
      <w:r w:rsidRPr="00453F64">
        <w:rPr>
          <w:rFonts w:cs="Arial"/>
          <w:color w:val="2E74B5" w:themeColor="accent1" w:themeShade="BF"/>
        </w:rPr>
        <w:t>Appendices</w:t>
      </w:r>
      <w:r w:rsidR="00393C0D" w:rsidRPr="00453F64">
        <w:rPr>
          <w:rFonts w:cs="Arial"/>
          <w:color w:val="2E74B5" w:themeColor="accent1" w:themeShade="BF"/>
        </w:rPr>
        <w:t xml:space="preserve"> relevant to this section</w:t>
      </w:r>
    </w:p>
    <w:tbl>
      <w:tblPr>
        <w:tblStyle w:val="TableGrid22"/>
        <w:tblW w:w="0" w:type="auto"/>
        <w:jc w:val="center"/>
        <w:tblLook w:val="04A0" w:firstRow="1" w:lastRow="0" w:firstColumn="1" w:lastColumn="0" w:noHBand="0" w:noVBand="1"/>
      </w:tblPr>
      <w:tblGrid>
        <w:gridCol w:w="1838"/>
        <w:gridCol w:w="4173"/>
        <w:gridCol w:w="1781"/>
      </w:tblGrid>
      <w:tr w:rsidR="007C373D" w:rsidRPr="001E0DCD" w:rsidTr="007C373D">
        <w:trPr>
          <w:jc w:val="center"/>
        </w:trPr>
        <w:tc>
          <w:tcPr>
            <w:tcW w:w="1838" w:type="dxa"/>
            <w:shd w:val="clear" w:color="auto" w:fill="2E74B5" w:themeFill="accent1" w:themeFillShade="BF"/>
          </w:tcPr>
          <w:p w:rsidR="007C373D" w:rsidRPr="001E0DCD" w:rsidRDefault="007C373D" w:rsidP="007C373D">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7C373D" w:rsidRPr="001E0DCD" w:rsidRDefault="007C373D" w:rsidP="007C373D">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7C373D" w:rsidRPr="001E0DCD" w:rsidRDefault="007C373D" w:rsidP="007C373D">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7C373D" w:rsidRPr="001E0DCD" w:rsidTr="007C373D">
        <w:trPr>
          <w:jc w:val="center"/>
        </w:trPr>
        <w:tc>
          <w:tcPr>
            <w:tcW w:w="1838" w:type="dxa"/>
          </w:tcPr>
          <w:p w:rsidR="007C373D" w:rsidRPr="001E0DCD" w:rsidRDefault="007C373D" w:rsidP="007C373D">
            <w:pPr>
              <w:tabs>
                <w:tab w:val="clear" w:pos="851"/>
              </w:tabs>
              <w:spacing w:after="0"/>
              <w:ind w:left="0"/>
              <w:jc w:val="left"/>
              <w:rPr>
                <w:rFonts w:cs="Arial"/>
                <w:sz w:val="16"/>
                <w:szCs w:val="16"/>
              </w:rPr>
            </w:pPr>
            <w:r>
              <w:rPr>
                <w:rFonts w:cs="Arial"/>
                <w:sz w:val="16"/>
                <w:szCs w:val="16"/>
              </w:rPr>
              <w:t>2.3</w:t>
            </w:r>
          </w:p>
        </w:tc>
        <w:tc>
          <w:tcPr>
            <w:tcW w:w="4173" w:type="dxa"/>
          </w:tcPr>
          <w:p w:rsidR="007C373D" w:rsidRPr="001E0DCD" w:rsidRDefault="007C373D" w:rsidP="007C373D">
            <w:pPr>
              <w:tabs>
                <w:tab w:val="clear" w:pos="851"/>
              </w:tabs>
              <w:spacing w:after="0"/>
              <w:ind w:left="0"/>
              <w:jc w:val="left"/>
              <w:rPr>
                <w:rFonts w:cs="Arial"/>
                <w:sz w:val="16"/>
                <w:szCs w:val="16"/>
              </w:rPr>
            </w:pPr>
            <w:r>
              <w:rPr>
                <w:rFonts w:cs="Arial"/>
                <w:sz w:val="16"/>
                <w:szCs w:val="16"/>
              </w:rPr>
              <w:t>Accent – Qualitative Research into Outcomes</w:t>
            </w:r>
          </w:p>
        </w:tc>
        <w:tc>
          <w:tcPr>
            <w:tcW w:w="1781" w:type="dxa"/>
          </w:tcPr>
          <w:p w:rsidR="007C373D" w:rsidRPr="001E0DCD" w:rsidRDefault="007C373D" w:rsidP="007C373D">
            <w:pPr>
              <w:tabs>
                <w:tab w:val="clear" w:pos="851"/>
              </w:tabs>
              <w:spacing w:after="0"/>
              <w:ind w:left="0"/>
              <w:jc w:val="left"/>
              <w:rPr>
                <w:rFonts w:cs="Arial"/>
                <w:sz w:val="16"/>
                <w:szCs w:val="16"/>
              </w:rPr>
            </w:pPr>
            <w:r>
              <w:rPr>
                <w:rFonts w:cs="Arial"/>
                <w:sz w:val="16"/>
                <w:szCs w:val="16"/>
              </w:rPr>
              <w:t>December 2016</w:t>
            </w:r>
          </w:p>
        </w:tc>
      </w:tr>
      <w:tr w:rsidR="007C373D" w:rsidRPr="001E0DCD" w:rsidTr="007C373D">
        <w:trPr>
          <w:jc w:val="center"/>
        </w:trPr>
        <w:tc>
          <w:tcPr>
            <w:tcW w:w="1838" w:type="dxa"/>
          </w:tcPr>
          <w:p w:rsidR="007C373D" w:rsidRPr="001E0DCD" w:rsidRDefault="007C373D" w:rsidP="007C373D">
            <w:pPr>
              <w:tabs>
                <w:tab w:val="clear" w:pos="851"/>
              </w:tabs>
              <w:spacing w:after="0"/>
              <w:ind w:left="0"/>
              <w:jc w:val="left"/>
              <w:rPr>
                <w:rFonts w:cs="Arial"/>
                <w:sz w:val="16"/>
                <w:szCs w:val="16"/>
              </w:rPr>
            </w:pPr>
            <w:r>
              <w:rPr>
                <w:rFonts w:cs="Arial"/>
                <w:sz w:val="16"/>
                <w:szCs w:val="16"/>
              </w:rPr>
              <w:t>2.4</w:t>
            </w:r>
          </w:p>
        </w:tc>
        <w:tc>
          <w:tcPr>
            <w:tcW w:w="4173" w:type="dxa"/>
          </w:tcPr>
          <w:p w:rsidR="007C373D" w:rsidRPr="001E0DCD" w:rsidRDefault="007C373D" w:rsidP="007C373D">
            <w:pPr>
              <w:tabs>
                <w:tab w:val="clear" w:pos="851"/>
              </w:tabs>
              <w:spacing w:after="0"/>
              <w:ind w:left="0"/>
              <w:jc w:val="left"/>
              <w:rPr>
                <w:rFonts w:cs="Arial"/>
                <w:sz w:val="16"/>
                <w:szCs w:val="16"/>
              </w:rPr>
            </w:pPr>
            <w:r>
              <w:rPr>
                <w:rFonts w:cs="Arial"/>
                <w:sz w:val="16"/>
                <w:szCs w:val="16"/>
              </w:rPr>
              <w:t>Customer Advisory Panel 1</w:t>
            </w:r>
          </w:p>
        </w:tc>
        <w:tc>
          <w:tcPr>
            <w:tcW w:w="1781" w:type="dxa"/>
          </w:tcPr>
          <w:p w:rsidR="007C373D" w:rsidRPr="001E0DCD" w:rsidRDefault="007C373D" w:rsidP="007C373D">
            <w:pPr>
              <w:tabs>
                <w:tab w:val="clear" w:pos="851"/>
              </w:tabs>
              <w:spacing w:after="0"/>
              <w:ind w:left="0"/>
              <w:jc w:val="left"/>
              <w:rPr>
                <w:rFonts w:cs="Arial"/>
                <w:sz w:val="16"/>
                <w:szCs w:val="16"/>
              </w:rPr>
            </w:pPr>
            <w:r>
              <w:rPr>
                <w:rFonts w:cs="Arial"/>
                <w:sz w:val="16"/>
                <w:szCs w:val="16"/>
              </w:rPr>
              <w:t>February 2017</w:t>
            </w:r>
          </w:p>
        </w:tc>
      </w:tr>
      <w:tr w:rsidR="007C373D" w:rsidRPr="001E0DCD" w:rsidTr="007C373D">
        <w:trPr>
          <w:jc w:val="center"/>
        </w:trPr>
        <w:tc>
          <w:tcPr>
            <w:tcW w:w="1838" w:type="dxa"/>
          </w:tcPr>
          <w:p w:rsidR="007C373D" w:rsidRDefault="007C373D" w:rsidP="007C373D">
            <w:pPr>
              <w:tabs>
                <w:tab w:val="clear" w:pos="851"/>
              </w:tabs>
              <w:spacing w:after="0"/>
              <w:ind w:left="0"/>
              <w:jc w:val="left"/>
              <w:rPr>
                <w:rFonts w:cs="Arial"/>
                <w:sz w:val="16"/>
                <w:szCs w:val="16"/>
              </w:rPr>
            </w:pPr>
            <w:r>
              <w:rPr>
                <w:rFonts w:cs="Arial"/>
                <w:sz w:val="16"/>
                <w:szCs w:val="16"/>
              </w:rPr>
              <w:t>2.7</w:t>
            </w:r>
          </w:p>
        </w:tc>
        <w:tc>
          <w:tcPr>
            <w:tcW w:w="4173" w:type="dxa"/>
          </w:tcPr>
          <w:p w:rsidR="007C373D" w:rsidRDefault="007C373D" w:rsidP="007C373D">
            <w:pPr>
              <w:tabs>
                <w:tab w:val="clear" w:pos="851"/>
              </w:tabs>
              <w:spacing w:after="0"/>
              <w:ind w:left="0"/>
              <w:jc w:val="left"/>
              <w:rPr>
                <w:rFonts w:cs="Arial"/>
                <w:sz w:val="16"/>
                <w:szCs w:val="16"/>
              </w:rPr>
            </w:pPr>
            <w:r>
              <w:rPr>
                <w:rFonts w:cs="Arial"/>
                <w:sz w:val="16"/>
                <w:szCs w:val="16"/>
              </w:rPr>
              <w:t>Customer Advisory Panel 3</w:t>
            </w:r>
          </w:p>
        </w:tc>
        <w:tc>
          <w:tcPr>
            <w:tcW w:w="1781" w:type="dxa"/>
          </w:tcPr>
          <w:p w:rsidR="007C373D" w:rsidRDefault="007C373D" w:rsidP="007C373D">
            <w:pPr>
              <w:tabs>
                <w:tab w:val="clear" w:pos="851"/>
              </w:tabs>
              <w:spacing w:after="0"/>
              <w:ind w:left="0"/>
              <w:jc w:val="left"/>
              <w:rPr>
                <w:rFonts w:cs="Arial"/>
                <w:sz w:val="16"/>
                <w:szCs w:val="16"/>
              </w:rPr>
            </w:pPr>
            <w:r>
              <w:rPr>
                <w:rFonts w:cs="Arial"/>
                <w:sz w:val="16"/>
                <w:szCs w:val="16"/>
              </w:rPr>
              <w:t>June 2017</w:t>
            </w:r>
          </w:p>
        </w:tc>
      </w:tr>
      <w:tr w:rsidR="007C373D" w:rsidRPr="001E0DCD" w:rsidTr="007C373D">
        <w:trPr>
          <w:jc w:val="center"/>
        </w:trPr>
        <w:tc>
          <w:tcPr>
            <w:tcW w:w="1838" w:type="dxa"/>
          </w:tcPr>
          <w:p w:rsidR="007C373D" w:rsidRDefault="007C373D" w:rsidP="007C373D">
            <w:pPr>
              <w:tabs>
                <w:tab w:val="clear" w:pos="851"/>
              </w:tabs>
              <w:spacing w:after="0"/>
              <w:ind w:left="0"/>
              <w:jc w:val="left"/>
              <w:rPr>
                <w:rFonts w:cs="Arial"/>
                <w:sz w:val="16"/>
                <w:szCs w:val="16"/>
              </w:rPr>
            </w:pPr>
            <w:r>
              <w:rPr>
                <w:rFonts w:cs="Arial"/>
                <w:sz w:val="16"/>
                <w:szCs w:val="16"/>
              </w:rPr>
              <w:t>2.16</w:t>
            </w:r>
          </w:p>
        </w:tc>
        <w:tc>
          <w:tcPr>
            <w:tcW w:w="4173" w:type="dxa"/>
          </w:tcPr>
          <w:p w:rsidR="007C373D" w:rsidRDefault="007C373D" w:rsidP="007C373D">
            <w:pPr>
              <w:tabs>
                <w:tab w:val="clear" w:pos="851"/>
              </w:tabs>
              <w:spacing w:after="0"/>
              <w:ind w:left="0"/>
              <w:jc w:val="left"/>
              <w:rPr>
                <w:rFonts w:cs="Arial"/>
                <w:sz w:val="16"/>
                <w:szCs w:val="16"/>
              </w:rPr>
            </w:pPr>
            <w:r>
              <w:rPr>
                <w:rFonts w:cs="Arial"/>
                <w:sz w:val="16"/>
                <w:szCs w:val="16"/>
              </w:rPr>
              <w:t>Customer Advisory Panel 4</w:t>
            </w:r>
          </w:p>
        </w:tc>
        <w:tc>
          <w:tcPr>
            <w:tcW w:w="1781" w:type="dxa"/>
          </w:tcPr>
          <w:p w:rsidR="007C373D" w:rsidRDefault="007C373D" w:rsidP="007C373D">
            <w:pPr>
              <w:tabs>
                <w:tab w:val="clear" w:pos="851"/>
              </w:tabs>
              <w:spacing w:after="0"/>
              <w:ind w:left="0"/>
              <w:jc w:val="left"/>
              <w:rPr>
                <w:rFonts w:cs="Arial"/>
                <w:sz w:val="16"/>
                <w:szCs w:val="16"/>
              </w:rPr>
            </w:pPr>
            <w:r>
              <w:rPr>
                <w:rFonts w:cs="Arial"/>
                <w:sz w:val="16"/>
                <w:szCs w:val="16"/>
              </w:rPr>
              <w:t>March 2018</w:t>
            </w:r>
          </w:p>
        </w:tc>
      </w:tr>
      <w:tr w:rsidR="007C373D" w:rsidRPr="001E0DCD" w:rsidTr="007C373D">
        <w:trPr>
          <w:jc w:val="center"/>
        </w:trPr>
        <w:tc>
          <w:tcPr>
            <w:tcW w:w="1838" w:type="dxa"/>
          </w:tcPr>
          <w:p w:rsidR="007C373D" w:rsidRDefault="007C373D" w:rsidP="007C373D">
            <w:pPr>
              <w:tabs>
                <w:tab w:val="clear" w:pos="851"/>
              </w:tabs>
              <w:spacing w:after="0"/>
              <w:ind w:left="0"/>
              <w:jc w:val="left"/>
              <w:rPr>
                <w:rFonts w:cs="Arial"/>
                <w:sz w:val="16"/>
                <w:szCs w:val="16"/>
              </w:rPr>
            </w:pPr>
            <w:r>
              <w:rPr>
                <w:rFonts w:cs="Arial"/>
                <w:sz w:val="16"/>
                <w:szCs w:val="16"/>
              </w:rPr>
              <w:t>2.22</w:t>
            </w:r>
          </w:p>
        </w:tc>
        <w:tc>
          <w:tcPr>
            <w:tcW w:w="4173" w:type="dxa"/>
          </w:tcPr>
          <w:p w:rsidR="007C373D" w:rsidRDefault="007C373D" w:rsidP="007C373D">
            <w:pPr>
              <w:tabs>
                <w:tab w:val="clear" w:pos="851"/>
              </w:tabs>
              <w:spacing w:after="0"/>
              <w:ind w:left="0"/>
              <w:jc w:val="left"/>
              <w:rPr>
                <w:rFonts w:cs="Arial"/>
                <w:sz w:val="16"/>
                <w:szCs w:val="16"/>
              </w:rPr>
            </w:pPr>
            <w:r>
              <w:rPr>
                <w:rFonts w:cs="Arial"/>
                <w:sz w:val="16"/>
                <w:szCs w:val="16"/>
              </w:rPr>
              <w:t>Customer Advisory Panel 5</w:t>
            </w:r>
          </w:p>
        </w:tc>
        <w:tc>
          <w:tcPr>
            <w:tcW w:w="1781" w:type="dxa"/>
          </w:tcPr>
          <w:p w:rsidR="007C373D" w:rsidRDefault="007C373D" w:rsidP="007C373D">
            <w:pPr>
              <w:tabs>
                <w:tab w:val="clear" w:pos="851"/>
              </w:tabs>
              <w:spacing w:after="0"/>
              <w:ind w:left="0"/>
              <w:jc w:val="left"/>
              <w:rPr>
                <w:rFonts w:cs="Arial"/>
                <w:sz w:val="16"/>
                <w:szCs w:val="16"/>
              </w:rPr>
            </w:pPr>
            <w:r>
              <w:rPr>
                <w:rFonts w:cs="Arial"/>
                <w:sz w:val="16"/>
                <w:szCs w:val="16"/>
              </w:rPr>
              <w:t>May 2018</w:t>
            </w:r>
          </w:p>
        </w:tc>
      </w:tr>
      <w:tr w:rsidR="007C373D" w:rsidRPr="001E0DCD" w:rsidTr="007C373D">
        <w:trPr>
          <w:jc w:val="center"/>
        </w:trPr>
        <w:tc>
          <w:tcPr>
            <w:tcW w:w="1838" w:type="dxa"/>
          </w:tcPr>
          <w:p w:rsidR="007C373D" w:rsidRDefault="007C373D" w:rsidP="007C373D">
            <w:pPr>
              <w:tabs>
                <w:tab w:val="clear" w:pos="851"/>
              </w:tabs>
              <w:spacing w:after="0"/>
              <w:ind w:left="0"/>
              <w:jc w:val="left"/>
              <w:rPr>
                <w:rFonts w:cs="Arial"/>
                <w:sz w:val="16"/>
                <w:szCs w:val="16"/>
              </w:rPr>
            </w:pPr>
            <w:r>
              <w:rPr>
                <w:rFonts w:cs="Arial"/>
                <w:sz w:val="16"/>
                <w:szCs w:val="16"/>
              </w:rPr>
              <w:t>2.17</w:t>
            </w:r>
          </w:p>
        </w:tc>
        <w:tc>
          <w:tcPr>
            <w:tcW w:w="4173" w:type="dxa"/>
          </w:tcPr>
          <w:p w:rsidR="007C373D" w:rsidRDefault="007C373D" w:rsidP="007C373D">
            <w:pPr>
              <w:tabs>
                <w:tab w:val="clear" w:pos="851"/>
              </w:tabs>
              <w:spacing w:after="0"/>
              <w:ind w:left="0"/>
              <w:jc w:val="left"/>
              <w:rPr>
                <w:rFonts w:cs="Arial"/>
                <w:sz w:val="16"/>
                <w:szCs w:val="16"/>
              </w:rPr>
            </w:pPr>
            <w:r>
              <w:rPr>
                <w:rFonts w:cs="Arial"/>
                <w:sz w:val="16"/>
                <w:szCs w:val="16"/>
              </w:rPr>
              <w:t xml:space="preserve">ICS – PC + ODI Customer Survey Results </w:t>
            </w:r>
          </w:p>
        </w:tc>
        <w:tc>
          <w:tcPr>
            <w:tcW w:w="1781" w:type="dxa"/>
          </w:tcPr>
          <w:p w:rsidR="007C373D" w:rsidRDefault="007C373D" w:rsidP="007C373D">
            <w:pPr>
              <w:tabs>
                <w:tab w:val="clear" w:pos="851"/>
              </w:tabs>
              <w:spacing w:after="0"/>
              <w:ind w:left="0"/>
              <w:jc w:val="left"/>
              <w:rPr>
                <w:rFonts w:cs="Arial"/>
                <w:sz w:val="16"/>
                <w:szCs w:val="16"/>
              </w:rPr>
            </w:pPr>
            <w:r>
              <w:rPr>
                <w:rFonts w:cs="Arial"/>
                <w:sz w:val="16"/>
                <w:szCs w:val="16"/>
              </w:rPr>
              <w:t>April 2018</w:t>
            </w:r>
          </w:p>
        </w:tc>
      </w:tr>
      <w:tr w:rsidR="007C373D" w:rsidRPr="001E0DCD" w:rsidTr="007C373D">
        <w:trPr>
          <w:jc w:val="center"/>
        </w:trPr>
        <w:tc>
          <w:tcPr>
            <w:tcW w:w="1838" w:type="dxa"/>
          </w:tcPr>
          <w:p w:rsidR="007C373D" w:rsidRDefault="007C373D" w:rsidP="007C373D">
            <w:pPr>
              <w:tabs>
                <w:tab w:val="clear" w:pos="851"/>
              </w:tabs>
              <w:spacing w:after="0"/>
              <w:ind w:left="0"/>
              <w:jc w:val="left"/>
              <w:rPr>
                <w:rFonts w:cs="Arial"/>
                <w:sz w:val="16"/>
                <w:szCs w:val="16"/>
              </w:rPr>
            </w:pPr>
            <w:r>
              <w:rPr>
                <w:rFonts w:cs="Arial"/>
                <w:sz w:val="16"/>
                <w:szCs w:val="16"/>
              </w:rPr>
              <w:t>2.11</w:t>
            </w:r>
          </w:p>
        </w:tc>
        <w:tc>
          <w:tcPr>
            <w:tcW w:w="4173" w:type="dxa"/>
          </w:tcPr>
          <w:p w:rsidR="007C373D" w:rsidRDefault="007C373D" w:rsidP="007C373D">
            <w:pPr>
              <w:tabs>
                <w:tab w:val="clear" w:pos="851"/>
              </w:tabs>
              <w:spacing w:after="0"/>
              <w:ind w:left="0"/>
              <w:jc w:val="left"/>
              <w:rPr>
                <w:rFonts w:cs="Arial"/>
                <w:sz w:val="16"/>
                <w:szCs w:val="16"/>
              </w:rPr>
            </w:pPr>
            <w:r>
              <w:rPr>
                <w:rFonts w:cs="Arial"/>
                <w:sz w:val="16"/>
                <w:szCs w:val="16"/>
              </w:rPr>
              <w:t>Student Customer Survey Report</w:t>
            </w:r>
          </w:p>
        </w:tc>
        <w:tc>
          <w:tcPr>
            <w:tcW w:w="1781" w:type="dxa"/>
          </w:tcPr>
          <w:p w:rsidR="007C373D" w:rsidRDefault="007C373D" w:rsidP="007C373D">
            <w:pPr>
              <w:tabs>
                <w:tab w:val="clear" w:pos="851"/>
              </w:tabs>
              <w:spacing w:after="0"/>
              <w:ind w:left="0"/>
              <w:jc w:val="left"/>
              <w:rPr>
                <w:rFonts w:cs="Arial"/>
                <w:sz w:val="16"/>
                <w:szCs w:val="16"/>
              </w:rPr>
            </w:pPr>
            <w:r>
              <w:rPr>
                <w:rFonts w:cs="Arial"/>
                <w:sz w:val="16"/>
                <w:szCs w:val="16"/>
              </w:rPr>
              <w:t>October 2017</w:t>
            </w:r>
          </w:p>
        </w:tc>
      </w:tr>
      <w:tr w:rsidR="007C373D" w:rsidRPr="001E0DCD" w:rsidTr="007C373D">
        <w:trPr>
          <w:jc w:val="center"/>
        </w:trPr>
        <w:tc>
          <w:tcPr>
            <w:tcW w:w="1838" w:type="dxa"/>
          </w:tcPr>
          <w:p w:rsidR="007C373D" w:rsidRDefault="007C373D" w:rsidP="007C373D">
            <w:pPr>
              <w:tabs>
                <w:tab w:val="clear" w:pos="851"/>
              </w:tabs>
              <w:spacing w:after="0"/>
              <w:ind w:left="0"/>
              <w:jc w:val="left"/>
              <w:rPr>
                <w:rFonts w:cs="Arial"/>
                <w:sz w:val="16"/>
                <w:szCs w:val="16"/>
              </w:rPr>
            </w:pPr>
            <w:r>
              <w:rPr>
                <w:rFonts w:cs="Arial"/>
                <w:sz w:val="16"/>
                <w:szCs w:val="16"/>
              </w:rPr>
              <w:t>2.1</w:t>
            </w:r>
          </w:p>
        </w:tc>
        <w:tc>
          <w:tcPr>
            <w:tcW w:w="4173" w:type="dxa"/>
          </w:tcPr>
          <w:p w:rsidR="007C373D" w:rsidRDefault="007C373D" w:rsidP="007C373D">
            <w:pPr>
              <w:tabs>
                <w:tab w:val="clear" w:pos="851"/>
              </w:tabs>
              <w:spacing w:after="0"/>
              <w:ind w:left="0"/>
              <w:jc w:val="left"/>
              <w:rPr>
                <w:rFonts w:cs="Arial"/>
                <w:sz w:val="16"/>
                <w:szCs w:val="16"/>
              </w:rPr>
            </w:pPr>
            <w:r>
              <w:rPr>
                <w:rFonts w:cs="Arial"/>
                <w:sz w:val="16"/>
                <w:szCs w:val="16"/>
              </w:rPr>
              <w:t>Customer Engagement and Triangulation</w:t>
            </w:r>
          </w:p>
        </w:tc>
        <w:tc>
          <w:tcPr>
            <w:tcW w:w="1781" w:type="dxa"/>
          </w:tcPr>
          <w:p w:rsidR="007C373D" w:rsidRDefault="007C373D" w:rsidP="007C373D">
            <w:pPr>
              <w:tabs>
                <w:tab w:val="clear" w:pos="851"/>
              </w:tabs>
              <w:spacing w:after="0"/>
              <w:ind w:left="0"/>
              <w:jc w:val="left"/>
              <w:rPr>
                <w:rFonts w:cs="Arial"/>
                <w:sz w:val="16"/>
                <w:szCs w:val="16"/>
              </w:rPr>
            </w:pPr>
            <w:r>
              <w:rPr>
                <w:rFonts w:cs="Arial"/>
                <w:sz w:val="16"/>
                <w:szCs w:val="16"/>
              </w:rPr>
              <w:t>August 2018</w:t>
            </w:r>
          </w:p>
        </w:tc>
      </w:tr>
      <w:tr w:rsidR="007C373D" w:rsidRPr="001E0DCD" w:rsidTr="007C373D">
        <w:trPr>
          <w:jc w:val="center"/>
        </w:trPr>
        <w:tc>
          <w:tcPr>
            <w:tcW w:w="1838" w:type="dxa"/>
          </w:tcPr>
          <w:p w:rsidR="007C373D" w:rsidRDefault="00762933" w:rsidP="007C373D">
            <w:pPr>
              <w:tabs>
                <w:tab w:val="clear" w:pos="851"/>
              </w:tabs>
              <w:spacing w:after="0"/>
              <w:ind w:left="0"/>
              <w:jc w:val="left"/>
              <w:rPr>
                <w:rFonts w:cs="Arial"/>
                <w:sz w:val="16"/>
                <w:szCs w:val="16"/>
              </w:rPr>
            </w:pPr>
            <w:r>
              <w:rPr>
                <w:rFonts w:cs="Arial"/>
                <w:sz w:val="16"/>
                <w:szCs w:val="16"/>
              </w:rPr>
              <w:t>2.8</w:t>
            </w:r>
          </w:p>
        </w:tc>
        <w:tc>
          <w:tcPr>
            <w:tcW w:w="4173" w:type="dxa"/>
          </w:tcPr>
          <w:p w:rsidR="007C373D" w:rsidRDefault="00762933" w:rsidP="007C373D">
            <w:pPr>
              <w:tabs>
                <w:tab w:val="clear" w:pos="851"/>
              </w:tabs>
              <w:spacing w:after="0"/>
              <w:ind w:left="0"/>
              <w:jc w:val="left"/>
              <w:rPr>
                <w:rFonts w:cs="Arial"/>
                <w:sz w:val="16"/>
                <w:szCs w:val="16"/>
              </w:rPr>
            </w:pPr>
            <w:r>
              <w:rPr>
                <w:rFonts w:cs="Arial"/>
                <w:sz w:val="16"/>
                <w:szCs w:val="16"/>
              </w:rPr>
              <w:t>Institute of Customer Service Report</w:t>
            </w:r>
          </w:p>
        </w:tc>
        <w:tc>
          <w:tcPr>
            <w:tcW w:w="1781" w:type="dxa"/>
          </w:tcPr>
          <w:p w:rsidR="007C373D" w:rsidRDefault="00762933" w:rsidP="007C373D">
            <w:pPr>
              <w:tabs>
                <w:tab w:val="clear" w:pos="851"/>
              </w:tabs>
              <w:spacing w:after="0"/>
              <w:ind w:left="0"/>
              <w:jc w:val="left"/>
              <w:rPr>
                <w:rFonts w:cs="Arial"/>
                <w:sz w:val="16"/>
                <w:szCs w:val="16"/>
              </w:rPr>
            </w:pPr>
            <w:r>
              <w:rPr>
                <w:rFonts w:cs="Arial"/>
                <w:sz w:val="16"/>
                <w:szCs w:val="16"/>
              </w:rPr>
              <w:t>July 2017</w:t>
            </w:r>
          </w:p>
        </w:tc>
      </w:tr>
      <w:tr w:rsidR="007C373D" w:rsidRPr="001E0DCD" w:rsidTr="007C373D">
        <w:trPr>
          <w:jc w:val="center"/>
        </w:trPr>
        <w:tc>
          <w:tcPr>
            <w:tcW w:w="1838" w:type="dxa"/>
          </w:tcPr>
          <w:p w:rsidR="007C373D" w:rsidRDefault="00762933" w:rsidP="007C373D">
            <w:pPr>
              <w:tabs>
                <w:tab w:val="clear" w:pos="851"/>
              </w:tabs>
              <w:spacing w:after="0"/>
              <w:ind w:left="0"/>
              <w:jc w:val="left"/>
              <w:rPr>
                <w:rFonts w:cs="Arial"/>
                <w:sz w:val="16"/>
                <w:szCs w:val="16"/>
              </w:rPr>
            </w:pPr>
            <w:r>
              <w:rPr>
                <w:rFonts w:cs="Arial"/>
                <w:sz w:val="16"/>
                <w:szCs w:val="16"/>
              </w:rPr>
              <w:t>2.9</w:t>
            </w:r>
          </w:p>
        </w:tc>
        <w:tc>
          <w:tcPr>
            <w:tcW w:w="4173" w:type="dxa"/>
          </w:tcPr>
          <w:p w:rsidR="007C373D" w:rsidRDefault="00762933" w:rsidP="007C373D">
            <w:pPr>
              <w:tabs>
                <w:tab w:val="clear" w:pos="851"/>
              </w:tabs>
              <w:spacing w:after="0"/>
              <w:ind w:left="0"/>
              <w:jc w:val="left"/>
              <w:rPr>
                <w:rFonts w:cs="Arial"/>
                <w:sz w:val="16"/>
                <w:szCs w:val="16"/>
              </w:rPr>
            </w:pPr>
            <w:r>
              <w:rPr>
                <w:rFonts w:cs="Arial"/>
                <w:sz w:val="16"/>
                <w:szCs w:val="16"/>
              </w:rPr>
              <w:t>Workplace Key Points</w:t>
            </w:r>
          </w:p>
        </w:tc>
        <w:tc>
          <w:tcPr>
            <w:tcW w:w="1781" w:type="dxa"/>
          </w:tcPr>
          <w:p w:rsidR="007C373D" w:rsidRDefault="00762933" w:rsidP="007C373D">
            <w:pPr>
              <w:tabs>
                <w:tab w:val="clear" w:pos="851"/>
              </w:tabs>
              <w:spacing w:after="0"/>
              <w:ind w:left="0"/>
              <w:jc w:val="left"/>
              <w:rPr>
                <w:rFonts w:cs="Arial"/>
                <w:sz w:val="16"/>
                <w:szCs w:val="16"/>
              </w:rPr>
            </w:pPr>
            <w:r>
              <w:rPr>
                <w:rFonts w:cs="Arial"/>
                <w:sz w:val="16"/>
                <w:szCs w:val="16"/>
              </w:rPr>
              <w:t>August 2017</w:t>
            </w:r>
          </w:p>
        </w:tc>
      </w:tr>
      <w:tr w:rsidR="007C373D" w:rsidRPr="001E0DCD" w:rsidTr="007C373D">
        <w:trPr>
          <w:jc w:val="center"/>
        </w:trPr>
        <w:tc>
          <w:tcPr>
            <w:tcW w:w="1838" w:type="dxa"/>
          </w:tcPr>
          <w:p w:rsidR="007C373D" w:rsidRDefault="00762933" w:rsidP="007C373D">
            <w:pPr>
              <w:tabs>
                <w:tab w:val="clear" w:pos="851"/>
              </w:tabs>
              <w:spacing w:after="0"/>
              <w:ind w:left="0"/>
              <w:jc w:val="left"/>
              <w:rPr>
                <w:rFonts w:cs="Arial"/>
                <w:sz w:val="16"/>
                <w:szCs w:val="16"/>
              </w:rPr>
            </w:pPr>
            <w:r>
              <w:rPr>
                <w:rFonts w:cs="Arial"/>
                <w:sz w:val="16"/>
                <w:szCs w:val="16"/>
              </w:rPr>
              <w:t>2.12</w:t>
            </w:r>
          </w:p>
        </w:tc>
        <w:tc>
          <w:tcPr>
            <w:tcW w:w="4173" w:type="dxa"/>
          </w:tcPr>
          <w:p w:rsidR="007C373D" w:rsidRDefault="00762933" w:rsidP="007C373D">
            <w:pPr>
              <w:tabs>
                <w:tab w:val="clear" w:pos="851"/>
              </w:tabs>
              <w:spacing w:after="0"/>
              <w:ind w:left="0"/>
              <w:jc w:val="left"/>
              <w:rPr>
                <w:rFonts w:cs="Arial"/>
                <w:sz w:val="16"/>
                <w:szCs w:val="16"/>
              </w:rPr>
            </w:pPr>
            <w:r>
              <w:rPr>
                <w:rFonts w:cs="Arial"/>
                <w:sz w:val="16"/>
                <w:szCs w:val="16"/>
              </w:rPr>
              <w:t>Results from Cowplain School</w:t>
            </w:r>
          </w:p>
        </w:tc>
        <w:tc>
          <w:tcPr>
            <w:tcW w:w="1781" w:type="dxa"/>
          </w:tcPr>
          <w:p w:rsidR="007C373D" w:rsidRDefault="00762933" w:rsidP="007C373D">
            <w:pPr>
              <w:tabs>
                <w:tab w:val="clear" w:pos="851"/>
              </w:tabs>
              <w:spacing w:after="0"/>
              <w:ind w:left="0"/>
              <w:jc w:val="left"/>
              <w:rPr>
                <w:rFonts w:cs="Arial"/>
                <w:sz w:val="16"/>
                <w:szCs w:val="16"/>
              </w:rPr>
            </w:pPr>
            <w:r>
              <w:rPr>
                <w:rFonts w:cs="Arial"/>
                <w:sz w:val="16"/>
                <w:szCs w:val="16"/>
              </w:rPr>
              <w:t>November 2017</w:t>
            </w:r>
          </w:p>
        </w:tc>
      </w:tr>
      <w:tr w:rsidR="007C373D" w:rsidRPr="001E0DCD" w:rsidTr="007C373D">
        <w:trPr>
          <w:jc w:val="center"/>
        </w:trPr>
        <w:tc>
          <w:tcPr>
            <w:tcW w:w="1838" w:type="dxa"/>
          </w:tcPr>
          <w:p w:rsidR="007C373D" w:rsidRDefault="00762933" w:rsidP="007C373D">
            <w:pPr>
              <w:tabs>
                <w:tab w:val="clear" w:pos="851"/>
              </w:tabs>
              <w:spacing w:after="0"/>
              <w:ind w:left="0"/>
              <w:jc w:val="left"/>
              <w:rPr>
                <w:rFonts w:cs="Arial"/>
                <w:sz w:val="16"/>
                <w:szCs w:val="16"/>
              </w:rPr>
            </w:pPr>
            <w:r>
              <w:rPr>
                <w:rFonts w:cs="Arial"/>
                <w:sz w:val="16"/>
                <w:szCs w:val="16"/>
              </w:rPr>
              <w:t>2.13</w:t>
            </w:r>
          </w:p>
        </w:tc>
        <w:tc>
          <w:tcPr>
            <w:tcW w:w="4173" w:type="dxa"/>
          </w:tcPr>
          <w:p w:rsidR="007C373D" w:rsidRDefault="00762933" w:rsidP="007C373D">
            <w:pPr>
              <w:tabs>
                <w:tab w:val="clear" w:pos="851"/>
              </w:tabs>
              <w:spacing w:after="0"/>
              <w:ind w:left="0"/>
              <w:jc w:val="left"/>
              <w:rPr>
                <w:rFonts w:cs="Arial"/>
                <w:sz w:val="16"/>
                <w:szCs w:val="16"/>
              </w:rPr>
            </w:pPr>
            <w:r>
              <w:rPr>
                <w:rFonts w:cs="Arial"/>
                <w:sz w:val="16"/>
                <w:szCs w:val="16"/>
              </w:rPr>
              <w:t>Ark Charter Academy School</w:t>
            </w:r>
          </w:p>
        </w:tc>
        <w:tc>
          <w:tcPr>
            <w:tcW w:w="1781" w:type="dxa"/>
          </w:tcPr>
          <w:p w:rsidR="007C373D" w:rsidRDefault="00762933" w:rsidP="007C373D">
            <w:pPr>
              <w:tabs>
                <w:tab w:val="clear" w:pos="851"/>
              </w:tabs>
              <w:spacing w:after="0"/>
              <w:ind w:left="0"/>
              <w:jc w:val="left"/>
              <w:rPr>
                <w:rFonts w:cs="Arial"/>
                <w:sz w:val="16"/>
                <w:szCs w:val="16"/>
              </w:rPr>
            </w:pPr>
            <w:r>
              <w:rPr>
                <w:rFonts w:cs="Arial"/>
                <w:sz w:val="16"/>
                <w:szCs w:val="16"/>
              </w:rPr>
              <w:t>November 2017</w:t>
            </w:r>
          </w:p>
        </w:tc>
      </w:tr>
      <w:tr w:rsidR="00762933" w:rsidRPr="001E0DCD" w:rsidTr="007C373D">
        <w:trPr>
          <w:jc w:val="center"/>
        </w:trPr>
        <w:tc>
          <w:tcPr>
            <w:tcW w:w="1838" w:type="dxa"/>
          </w:tcPr>
          <w:p w:rsidR="00762933" w:rsidRDefault="00762933" w:rsidP="007C373D">
            <w:pPr>
              <w:tabs>
                <w:tab w:val="clear" w:pos="851"/>
              </w:tabs>
              <w:spacing w:after="0"/>
              <w:ind w:left="0"/>
              <w:jc w:val="left"/>
              <w:rPr>
                <w:rFonts w:cs="Arial"/>
                <w:sz w:val="16"/>
                <w:szCs w:val="16"/>
              </w:rPr>
            </w:pPr>
            <w:r>
              <w:rPr>
                <w:rFonts w:cs="Arial"/>
                <w:sz w:val="16"/>
                <w:szCs w:val="16"/>
              </w:rPr>
              <w:t>2.2</w:t>
            </w:r>
          </w:p>
        </w:tc>
        <w:tc>
          <w:tcPr>
            <w:tcW w:w="4173" w:type="dxa"/>
          </w:tcPr>
          <w:p w:rsidR="00762933" w:rsidRDefault="00762933" w:rsidP="007C373D">
            <w:pPr>
              <w:tabs>
                <w:tab w:val="clear" w:pos="851"/>
              </w:tabs>
              <w:spacing w:after="0"/>
              <w:ind w:left="0"/>
              <w:jc w:val="left"/>
              <w:rPr>
                <w:rFonts w:cs="Arial"/>
                <w:sz w:val="16"/>
                <w:szCs w:val="16"/>
              </w:rPr>
            </w:pPr>
            <w:r>
              <w:rPr>
                <w:rFonts w:cs="Arial"/>
                <w:sz w:val="16"/>
                <w:szCs w:val="16"/>
              </w:rPr>
              <w:t>Developers Research</w:t>
            </w:r>
          </w:p>
        </w:tc>
        <w:tc>
          <w:tcPr>
            <w:tcW w:w="1781" w:type="dxa"/>
          </w:tcPr>
          <w:p w:rsidR="00762933" w:rsidRDefault="00762933" w:rsidP="007C373D">
            <w:pPr>
              <w:tabs>
                <w:tab w:val="clear" w:pos="851"/>
              </w:tabs>
              <w:spacing w:after="0"/>
              <w:ind w:left="0"/>
              <w:jc w:val="left"/>
              <w:rPr>
                <w:rFonts w:cs="Arial"/>
                <w:sz w:val="16"/>
                <w:szCs w:val="16"/>
              </w:rPr>
            </w:pPr>
            <w:r>
              <w:rPr>
                <w:rFonts w:cs="Arial"/>
                <w:sz w:val="16"/>
                <w:szCs w:val="16"/>
              </w:rPr>
              <w:t>April 2016</w:t>
            </w:r>
          </w:p>
        </w:tc>
      </w:tr>
      <w:tr w:rsidR="00762933" w:rsidRPr="001E0DCD" w:rsidTr="007C373D">
        <w:trPr>
          <w:jc w:val="center"/>
        </w:trPr>
        <w:tc>
          <w:tcPr>
            <w:tcW w:w="1838" w:type="dxa"/>
          </w:tcPr>
          <w:p w:rsidR="00762933" w:rsidRDefault="00762933" w:rsidP="007C373D">
            <w:pPr>
              <w:tabs>
                <w:tab w:val="clear" w:pos="851"/>
              </w:tabs>
              <w:spacing w:after="0"/>
              <w:ind w:left="0"/>
              <w:jc w:val="left"/>
              <w:rPr>
                <w:rFonts w:cs="Arial"/>
                <w:sz w:val="16"/>
                <w:szCs w:val="16"/>
              </w:rPr>
            </w:pPr>
            <w:r>
              <w:rPr>
                <w:rFonts w:cs="Arial"/>
                <w:sz w:val="16"/>
                <w:szCs w:val="16"/>
              </w:rPr>
              <w:t>2.5</w:t>
            </w:r>
          </w:p>
        </w:tc>
        <w:tc>
          <w:tcPr>
            <w:tcW w:w="4173" w:type="dxa"/>
          </w:tcPr>
          <w:p w:rsidR="00762933" w:rsidRDefault="00762933" w:rsidP="007C373D">
            <w:pPr>
              <w:tabs>
                <w:tab w:val="clear" w:pos="851"/>
              </w:tabs>
              <w:spacing w:after="0"/>
              <w:ind w:left="0"/>
              <w:jc w:val="left"/>
              <w:rPr>
                <w:rFonts w:cs="Arial"/>
                <w:sz w:val="16"/>
                <w:szCs w:val="16"/>
              </w:rPr>
            </w:pPr>
            <w:r>
              <w:rPr>
                <w:rFonts w:cs="Arial"/>
                <w:sz w:val="16"/>
                <w:szCs w:val="16"/>
              </w:rPr>
              <w:t>Developers Research</w:t>
            </w:r>
          </w:p>
        </w:tc>
        <w:tc>
          <w:tcPr>
            <w:tcW w:w="1781" w:type="dxa"/>
          </w:tcPr>
          <w:p w:rsidR="00762933" w:rsidRDefault="00762933" w:rsidP="007C373D">
            <w:pPr>
              <w:tabs>
                <w:tab w:val="clear" w:pos="851"/>
              </w:tabs>
              <w:spacing w:after="0"/>
              <w:ind w:left="0"/>
              <w:jc w:val="left"/>
              <w:rPr>
                <w:rFonts w:cs="Arial"/>
                <w:sz w:val="16"/>
                <w:szCs w:val="16"/>
              </w:rPr>
            </w:pPr>
            <w:r>
              <w:rPr>
                <w:rFonts w:cs="Arial"/>
                <w:sz w:val="16"/>
                <w:szCs w:val="16"/>
              </w:rPr>
              <w:t>March 2017</w:t>
            </w:r>
          </w:p>
        </w:tc>
      </w:tr>
      <w:tr w:rsidR="00762933" w:rsidRPr="001E0DCD" w:rsidTr="007C373D">
        <w:trPr>
          <w:jc w:val="center"/>
        </w:trPr>
        <w:tc>
          <w:tcPr>
            <w:tcW w:w="1838" w:type="dxa"/>
          </w:tcPr>
          <w:p w:rsidR="00762933" w:rsidRDefault="00762933" w:rsidP="007C373D">
            <w:pPr>
              <w:tabs>
                <w:tab w:val="clear" w:pos="851"/>
              </w:tabs>
              <w:spacing w:after="0"/>
              <w:ind w:left="0"/>
              <w:jc w:val="left"/>
              <w:rPr>
                <w:rFonts w:cs="Arial"/>
                <w:sz w:val="16"/>
                <w:szCs w:val="16"/>
              </w:rPr>
            </w:pPr>
            <w:r>
              <w:rPr>
                <w:rFonts w:cs="Arial"/>
                <w:sz w:val="16"/>
                <w:szCs w:val="16"/>
              </w:rPr>
              <w:t>2.19</w:t>
            </w:r>
          </w:p>
        </w:tc>
        <w:tc>
          <w:tcPr>
            <w:tcW w:w="4173" w:type="dxa"/>
          </w:tcPr>
          <w:p w:rsidR="00762933" w:rsidRDefault="00762933" w:rsidP="007C373D">
            <w:pPr>
              <w:tabs>
                <w:tab w:val="clear" w:pos="851"/>
              </w:tabs>
              <w:spacing w:after="0"/>
              <w:ind w:left="0"/>
              <w:jc w:val="left"/>
              <w:rPr>
                <w:rFonts w:cs="Arial"/>
                <w:sz w:val="16"/>
                <w:szCs w:val="16"/>
              </w:rPr>
            </w:pPr>
            <w:r>
              <w:rPr>
                <w:rFonts w:cs="Arial"/>
                <w:sz w:val="16"/>
                <w:szCs w:val="16"/>
              </w:rPr>
              <w:t>Developers Research</w:t>
            </w:r>
          </w:p>
        </w:tc>
        <w:tc>
          <w:tcPr>
            <w:tcW w:w="1781" w:type="dxa"/>
          </w:tcPr>
          <w:p w:rsidR="00762933" w:rsidRDefault="00762933" w:rsidP="007C373D">
            <w:pPr>
              <w:tabs>
                <w:tab w:val="clear" w:pos="851"/>
              </w:tabs>
              <w:spacing w:after="0"/>
              <w:ind w:left="0"/>
              <w:jc w:val="left"/>
              <w:rPr>
                <w:rFonts w:cs="Arial"/>
                <w:sz w:val="16"/>
                <w:szCs w:val="16"/>
              </w:rPr>
            </w:pPr>
            <w:r>
              <w:rPr>
                <w:rFonts w:cs="Arial"/>
                <w:sz w:val="16"/>
                <w:szCs w:val="16"/>
              </w:rPr>
              <w:t>April 2018</w:t>
            </w:r>
          </w:p>
        </w:tc>
      </w:tr>
      <w:tr w:rsidR="00762933" w:rsidRPr="001E0DCD" w:rsidTr="007C373D">
        <w:trPr>
          <w:jc w:val="center"/>
        </w:trPr>
        <w:tc>
          <w:tcPr>
            <w:tcW w:w="1838" w:type="dxa"/>
          </w:tcPr>
          <w:p w:rsidR="00762933" w:rsidRDefault="00762933" w:rsidP="007C373D">
            <w:pPr>
              <w:tabs>
                <w:tab w:val="clear" w:pos="851"/>
              </w:tabs>
              <w:spacing w:after="0"/>
              <w:ind w:left="0"/>
              <w:jc w:val="left"/>
              <w:rPr>
                <w:rFonts w:cs="Arial"/>
                <w:sz w:val="16"/>
                <w:szCs w:val="16"/>
              </w:rPr>
            </w:pPr>
            <w:r>
              <w:rPr>
                <w:rFonts w:cs="Arial"/>
                <w:sz w:val="16"/>
                <w:szCs w:val="16"/>
              </w:rPr>
              <w:t>2.23</w:t>
            </w:r>
          </w:p>
        </w:tc>
        <w:tc>
          <w:tcPr>
            <w:tcW w:w="4173" w:type="dxa"/>
          </w:tcPr>
          <w:p w:rsidR="00762933" w:rsidRDefault="00762933" w:rsidP="007C373D">
            <w:pPr>
              <w:tabs>
                <w:tab w:val="clear" w:pos="851"/>
              </w:tabs>
              <w:spacing w:after="0"/>
              <w:ind w:left="0"/>
              <w:jc w:val="left"/>
              <w:rPr>
                <w:rFonts w:cs="Arial"/>
                <w:sz w:val="16"/>
                <w:szCs w:val="16"/>
              </w:rPr>
            </w:pPr>
            <w:r>
              <w:rPr>
                <w:rFonts w:cs="Arial"/>
                <w:sz w:val="16"/>
                <w:szCs w:val="16"/>
              </w:rPr>
              <w:t>Retailers Survey</w:t>
            </w:r>
          </w:p>
        </w:tc>
        <w:tc>
          <w:tcPr>
            <w:tcW w:w="1781" w:type="dxa"/>
          </w:tcPr>
          <w:p w:rsidR="00762933" w:rsidRDefault="00762933" w:rsidP="007C373D">
            <w:pPr>
              <w:tabs>
                <w:tab w:val="clear" w:pos="851"/>
              </w:tabs>
              <w:spacing w:after="0"/>
              <w:ind w:left="0"/>
              <w:jc w:val="left"/>
              <w:rPr>
                <w:rFonts w:cs="Arial"/>
                <w:sz w:val="16"/>
                <w:szCs w:val="16"/>
              </w:rPr>
            </w:pPr>
            <w:r>
              <w:rPr>
                <w:rFonts w:cs="Arial"/>
                <w:sz w:val="16"/>
                <w:szCs w:val="16"/>
              </w:rPr>
              <w:t>May 2018</w:t>
            </w:r>
          </w:p>
        </w:tc>
      </w:tr>
      <w:tr w:rsidR="00762933" w:rsidRPr="001E0DCD" w:rsidTr="007C373D">
        <w:trPr>
          <w:jc w:val="center"/>
        </w:trPr>
        <w:tc>
          <w:tcPr>
            <w:tcW w:w="1838" w:type="dxa"/>
          </w:tcPr>
          <w:p w:rsidR="00762933" w:rsidRDefault="00E93C7F" w:rsidP="0064283F">
            <w:pPr>
              <w:tabs>
                <w:tab w:val="clear" w:pos="851"/>
              </w:tabs>
              <w:spacing w:after="0"/>
              <w:ind w:left="0"/>
              <w:jc w:val="left"/>
              <w:rPr>
                <w:rFonts w:cs="Arial"/>
                <w:sz w:val="16"/>
                <w:szCs w:val="16"/>
              </w:rPr>
            </w:pPr>
            <w:r>
              <w:rPr>
                <w:rFonts w:cs="Arial"/>
                <w:sz w:val="16"/>
                <w:szCs w:val="16"/>
              </w:rPr>
              <w:t>3.2</w:t>
            </w:r>
          </w:p>
        </w:tc>
        <w:tc>
          <w:tcPr>
            <w:tcW w:w="4173" w:type="dxa"/>
          </w:tcPr>
          <w:p w:rsidR="00762933" w:rsidRDefault="00762933" w:rsidP="007C373D">
            <w:pPr>
              <w:tabs>
                <w:tab w:val="clear" w:pos="851"/>
              </w:tabs>
              <w:spacing w:after="0"/>
              <w:ind w:left="0"/>
              <w:jc w:val="left"/>
              <w:rPr>
                <w:rFonts w:cs="Arial"/>
                <w:sz w:val="16"/>
                <w:szCs w:val="16"/>
              </w:rPr>
            </w:pPr>
            <w:r>
              <w:rPr>
                <w:rFonts w:cs="Arial"/>
                <w:sz w:val="16"/>
                <w:szCs w:val="16"/>
              </w:rPr>
              <w:t>Voids and Gap sites paper</w:t>
            </w:r>
          </w:p>
        </w:tc>
        <w:tc>
          <w:tcPr>
            <w:tcW w:w="1781" w:type="dxa"/>
          </w:tcPr>
          <w:p w:rsidR="00762933" w:rsidRDefault="00E93C7F" w:rsidP="007C373D">
            <w:pPr>
              <w:tabs>
                <w:tab w:val="clear" w:pos="851"/>
              </w:tabs>
              <w:spacing w:after="0"/>
              <w:ind w:left="0"/>
              <w:jc w:val="left"/>
              <w:rPr>
                <w:rFonts w:cs="Arial"/>
                <w:sz w:val="16"/>
                <w:szCs w:val="16"/>
              </w:rPr>
            </w:pPr>
            <w:r>
              <w:rPr>
                <w:rFonts w:cs="Arial"/>
                <w:sz w:val="16"/>
                <w:szCs w:val="16"/>
              </w:rPr>
              <w:t>April 2018</w:t>
            </w:r>
          </w:p>
        </w:tc>
      </w:tr>
    </w:tbl>
    <w:p w:rsidR="008B3495" w:rsidRDefault="008B3495" w:rsidP="00393C0D">
      <w:pPr>
        <w:rPr>
          <w:rFonts w:cs="Arial"/>
        </w:rPr>
      </w:pPr>
    </w:p>
    <w:p w:rsidR="008B3495" w:rsidRDefault="008B3495">
      <w:pPr>
        <w:tabs>
          <w:tab w:val="clear" w:pos="851"/>
        </w:tabs>
        <w:spacing w:after="0"/>
        <w:ind w:left="0"/>
        <w:jc w:val="left"/>
        <w:rPr>
          <w:rFonts w:cs="Arial"/>
        </w:rPr>
      </w:pPr>
      <w:r>
        <w:rPr>
          <w:rFonts w:cs="Arial"/>
        </w:rPr>
        <w:br w:type="page"/>
      </w:r>
    </w:p>
    <w:p w:rsidR="00A73A0F" w:rsidRDefault="00A73A0F" w:rsidP="001523F8">
      <w:pPr>
        <w:pStyle w:val="Heading2"/>
      </w:pPr>
      <w:bookmarkStart w:id="76" w:name="_Toc522199986"/>
      <w:bookmarkStart w:id="77" w:name="_Toc522200083"/>
      <w:bookmarkStart w:id="78" w:name="_Toc523651265"/>
      <w:r>
        <w:t>An improved environment, supporting biodiversity</w:t>
      </w:r>
      <w:bookmarkEnd w:id="76"/>
      <w:bookmarkEnd w:id="77"/>
      <w:bookmarkEnd w:id="78"/>
    </w:p>
    <w:p w:rsidR="00486865" w:rsidRPr="00486865" w:rsidRDefault="00486865" w:rsidP="00486865">
      <w:r>
        <w:t>This section explains out outcome ‘An improved environment, supporting biodiversity’.  We start with a summary table of the Performance Commitments that underpin it, explain the customer insight that has shaped this outcome and then explain each Performance Commitment in detail.  At the end of the section we consider how our actions next AMP will impact on longer term resilience.</w:t>
      </w:r>
    </w:p>
    <w:tbl>
      <w:tblPr>
        <w:tblStyle w:val="TableGrid"/>
        <w:tblW w:w="8925" w:type="dxa"/>
        <w:tblInd w:w="851" w:type="dxa"/>
        <w:tblLayout w:type="fixed"/>
        <w:tblLook w:val="04A0" w:firstRow="1" w:lastRow="0" w:firstColumn="1" w:lastColumn="0" w:noHBand="0" w:noVBand="1"/>
      </w:tblPr>
      <w:tblGrid>
        <w:gridCol w:w="2405"/>
        <w:gridCol w:w="850"/>
        <w:gridCol w:w="1370"/>
        <w:gridCol w:w="1654"/>
        <w:gridCol w:w="1796"/>
        <w:gridCol w:w="850"/>
      </w:tblGrid>
      <w:tr w:rsidR="00F84F6A" w:rsidRPr="007B7FE8" w:rsidTr="007B7FE8">
        <w:tc>
          <w:tcPr>
            <w:tcW w:w="2405" w:type="dxa"/>
            <w:shd w:val="clear" w:color="auto" w:fill="2E74B5" w:themeFill="accent1" w:themeFillShade="BF"/>
          </w:tcPr>
          <w:p w:rsidR="00F84F6A" w:rsidRPr="007B7FE8" w:rsidRDefault="00F84F6A" w:rsidP="00F84F6A">
            <w:pPr>
              <w:spacing w:after="0"/>
              <w:ind w:left="0"/>
              <w:rPr>
                <w:sz w:val="16"/>
                <w:szCs w:val="16"/>
              </w:rPr>
            </w:pPr>
            <w:r w:rsidRPr="007B7FE8">
              <w:rPr>
                <w:b/>
                <w:bCs/>
                <w:color w:val="FFFFFF" w:themeColor="background1"/>
                <w:sz w:val="16"/>
                <w:szCs w:val="16"/>
              </w:rPr>
              <w:t>Performance Commitment</w:t>
            </w:r>
          </w:p>
        </w:tc>
        <w:tc>
          <w:tcPr>
            <w:tcW w:w="850" w:type="dxa"/>
            <w:shd w:val="clear" w:color="auto" w:fill="2E74B5" w:themeFill="accent1" w:themeFillShade="BF"/>
          </w:tcPr>
          <w:p w:rsidR="00F84F6A" w:rsidRPr="007B7FE8" w:rsidRDefault="00F84F6A" w:rsidP="00F84F6A">
            <w:pPr>
              <w:spacing w:before="20" w:after="20"/>
              <w:ind w:left="0"/>
              <w:jc w:val="center"/>
              <w:rPr>
                <w:b/>
                <w:bCs/>
                <w:color w:val="FFFFFF" w:themeColor="background1"/>
                <w:sz w:val="16"/>
                <w:szCs w:val="16"/>
              </w:rPr>
            </w:pPr>
            <w:r w:rsidRPr="007B7FE8">
              <w:rPr>
                <w:b/>
                <w:bCs/>
                <w:color w:val="FFFFFF" w:themeColor="background1"/>
                <w:sz w:val="16"/>
                <w:szCs w:val="16"/>
              </w:rPr>
              <w:t>Type</w:t>
            </w:r>
          </w:p>
        </w:tc>
        <w:tc>
          <w:tcPr>
            <w:tcW w:w="1370" w:type="dxa"/>
            <w:shd w:val="clear" w:color="auto" w:fill="2E74B5" w:themeFill="accent1" w:themeFillShade="BF"/>
          </w:tcPr>
          <w:p w:rsidR="00F84F6A" w:rsidRPr="007B7FE8" w:rsidRDefault="00F84F6A" w:rsidP="00F84F6A">
            <w:pPr>
              <w:spacing w:after="0"/>
              <w:ind w:left="0"/>
              <w:rPr>
                <w:b/>
                <w:color w:val="FFFFFF" w:themeColor="background1"/>
                <w:sz w:val="16"/>
                <w:szCs w:val="16"/>
              </w:rPr>
            </w:pPr>
            <w:r w:rsidRPr="007B7FE8">
              <w:rPr>
                <w:b/>
                <w:color w:val="FFFFFF" w:themeColor="background1"/>
                <w:sz w:val="16"/>
                <w:szCs w:val="16"/>
              </w:rPr>
              <w:t>AMP6 Performance</w:t>
            </w:r>
          </w:p>
        </w:tc>
        <w:tc>
          <w:tcPr>
            <w:tcW w:w="1654" w:type="dxa"/>
            <w:shd w:val="clear" w:color="auto" w:fill="2E74B5" w:themeFill="accent1" w:themeFillShade="BF"/>
          </w:tcPr>
          <w:p w:rsidR="00F84F6A" w:rsidRPr="007B7FE8" w:rsidRDefault="00F84F6A" w:rsidP="00F84F6A">
            <w:pPr>
              <w:spacing w:after="0"/>
              <w:ind w:left="0"/>
              <w:rPr>
                <w:b/>
                <w:color w:val="FFFFFF" w:themeColor="background1"/>
                <w:sz w:val="16"/>
                <w:szCs w:val="16"/>
              </w:rPr>
            </w:pPr>
            <w:r w:rsidRPr="007B7FE8">
              <w:rPr>
                <w:b/>
                <w:color w:val="FFFFFF" w:themeColor="background1"/>
                <w:sz w:val="16"/>
                <w:szCs w:val="16"/>
              </w:rPr>
              <w:t>2024/25 Target</w:t>
            </w:r>
          </w:p>
        </w:tc>
        <w:tc>
          <w:tcPr>
            <w:tcW w:w="1796" w:type="dxa"/>
            <w:shd w:val="clear" w:color="auto" w:fill="2E74B5" w:themeFill="accent1" w:themeFillShade="BF"/>
          </w:tcPr>
          <w:p w:rsidR="00F84F6A" w:rsidRPr="007B7FE8" w:rsidRDefault="00F84F6A" w:rsidP="00F84F6A">
            <w:pPr>
              <w:spacing w:after="0"/>
              <w:ind w:left="0"/>
              <w:rPr>
                <w:b/>
                <w:color w:val="FFFFFF" w:themeColor="background1"/>
                <w:sz w:val="16"/>
                <w:szCs w:val="16"/>
              </w:rPr>
            </w:pPr>
            <w:r w:rsidRPr="007B7FE8">
              <w:rPr>
                <w:b/>
                <w:color w:val="FFFFFF" w:themeColor="background1"/>
                <w:sz w:val="16"/>
                <w:szCs w:val="16"/>
              </w:rPr>
              <w:t>2034/35 Target</w:t>
            </w:r>
          </w:p>
        </w:tc>
        <w:tc>
          <w:tcPr>
            <w:tcW w:w="850" w:type="dxa"/>
            <w:shd w:val="clear" w:color="auto" w:fill="2E74B5" w:themeFill="accent1" w:themeFillShade="BF"/>
          </w:tcPr>
          <w:p w:rsidR="00F84F6A" w:rsidRPr="007B7FE8" w:rsidRDefault="00F84F6A" w:rsidP="00F84F6A">
            <w:pPr>
              <w:spacing w:after="0"/>
              <w:ind w:left="0"/>
              <w:jc w:val="center"/>
              <w:rPr>
                <w:b/>
                <w:color w:val="FFFFFF" w:themeColor="background1"/>
                <w:sz w:val="16"/>
                <w:szCs w:val="16"/>
              </w:rPr>
            </w:pPr>
            <w:r w:rsidRPr="007B7FE8">
              <w:rPr>
                <w:b/>
                <w:color w:val="FFFFFF" w:themeColor="background1"/>
                <w:sz w:val="16"/>
                <w:szCs w:val="16"/>
              </w:rPr>
              <w:t>Reward/Penalty</w:t>
            </w:r>
          </w:p>
        </w:tc>
      </w:tr>
      <w:tr w:rsidR="00FE5587" w:rsidRPr="007B7FE8" w:rsidTr="007B7FE8">
        <w:tc>
          <w:tcPr>
            <w:tcW w:w="2405" w:type="dxa"/>
            <w:vMerge w:val="restart"/>
          </w:tcPr>
          <w:p w:rsidR="00FE5587" w:rsidRPr="007B7FE8" w:rsidRDefault="00FE5587" w:rsidP="00732F33">
            <w:pPr>
              <w:spacing w:before="20" w:after="20"/>
              <w:ind w:left="0"/>
              <w:rPr>
                <w:sz w:val="16"/>
                <w:szCs w:val="16"/>
              </w:rPr>
            </w:pPr>
            <w:r w:rsidRPr="007B7FE8">
              <w:rPr>
                <w:sz w:val="16"/>
                <w:szCs w:val="16"/>
              </w:rPr>
              <w:t>Biodiversity</w:t>
            </w:r>
          </w:p>
        </w:tc>
        <w:tc>
          <w:tcPr>
            <w:tcW w:w="850" w:type="dxa"/>
            <w:vMerge w:val="restart"/>
          </w:tcPr>
          <w:p w:rsidR="00FE5587" w:rsidRPr="007B7FE8" w:rsidRDefault="00FE5587" w:rsidP="00732F33">
            <w:pPr>
              <w:spacing w:before="20" w:after="20"/>
              <w:ind w:left="0"/>
              <w:jc w:val="center"/>
              <w:rPr>
                <w:sz w:val="16"/>
                <w:szCs w:val="16"/>
              </w:rPr>
            </w:pPr>
            <w:r w:rsidRPr="007B7FE8">
              <w:rPr>
                <w:sz w:val="16"/>
                <w:szCs w:val="16"/>
              </w:rPr>
              <w:t>B</w:t>
            </w:r>
          </w:p>
        </w:tc>
        <w:tc>
          <w:tcPr>
            <w:tcW w:w="1370" w:type="dxa"/>
          </w:tcPr>
          <w:p w:rsidR="00FE5587" w:rsidRPr="007B7FE8" w:rsidRDefault="00AC3892" w:rsidP="00FE5587">
            <w:pPr>
              <w:spacing w:after="0"/>
              <w:ind w:left="0"/>
              <w:jc w:val="left"/>
              <w:rPr>
                <w:sz w:val="16"/>
                <w:szCs w:val="16"/>
              </w:rPr>
            </w:pPr>
            <w:r>
              <w:rPr>
                <w:sz w:val="16"/>
                <w:szCs w:val="16"/>
              </w:rPr>
              <w:t>n/a</w:t>
            </w:r>
          </w:p>
        </w:tc>
        <w:tc>
          <w:tcPr>
            <w:tcW w:w="1654" w:type="dxa"/>
          </w:tcPr>
          <w:p w:rsidR="00FE5587" w:rsidRPr="007B7FE8" w:rsidRDefault="00FE5587" w:rsidP="007B7FE8">
            <w:pPr>
              <w:spacing w:after="0"/>
              <w:ind w:left="0"/>
              <w:jc w:val="left"/>
              <w:rPr>
                <w:sz w:val="16"/>
                <w:szCs w:val="16"/>
              </w:rPr>
            </w:pPr>
            <w:r w:rsidRPr="007B7FE8">
              <w:rPr>
                <w:sz w:val="16"/>
                <w:szCs w:val="16"/>
              </w:rPr>
              <w:t>Grant Scheme take up</w:t>
            </w:r>
          </w:p>
        </w:tc>
        <w:tc>
          <w:tcPr>
            <w:tcW w:w="1796" w:type="dxa"/>
          </w:tcPr>
          <w:p w:rsidR="00FE5587" w:rsidRPr="007B7FE8" w:rsidRDefault="00FE5587" w:rsidP="007B7FE8">
            <w:pPr>
              <w:spacing w:after="0"/>
              <w:ind w:left="0"/>
              <w:jc w:val="left"/>
              <w:rPr>
                <w:sz w:val="16"/>
                <w:szCs w:val="16"/>
              </w:rPr>
            </w:pPr>
            <w:r w:rsidRPr="007B7FE8">
              <w:rPr>
                <w:sz w:val="16"/>
                <w:szCs w:val="16"/>
              </w:rPr>
              <w:t>Grant Scheme take up</w:t>
            </w:r>
          </w:p>
        </w:tc>
        <w:tc>
          <w:tcPr>
            <w:tcW w:w="850" w:type="dxa"/>
          </w:tcPr>
          <w:p w:rsidR="00FE5587" w:rsidRPr="007B7FE8" w:rsidRDefault="00FE5587" w:rsidP="00FE5587">
            <w:pPr>
              <w:spacing w:after="0"/>
              <w:ind w:left="0"/>
              <w:jc w:val="center"/>
              <w:rPr>
                <w:sz w:val="16"/>
                <w:szCs w:val="16"/>
              </w:rPr>
            </w:pPr>
            <w:r w:rsidRPr="007B7FE8">
              <w:rPr>
                <w:sz w:val="16"/>
                <w:szCs w:val="16"/>
              </w:rPr>
              <w:t>R</w:t>
            </w:r>
          </w:p>
        </w:tc>
      </w:tr>
      <w:tr w:rsidR="00FE5587" w:rsidRPr="007B7FE8" w:rsidTr="007B7FE8">
        <w:tc>
          <w:tcPr>
            <w:tcW w:w="2405" w:type="dxa"/>
            <w:vMerge/>
          </w:tcPr>
          <w:p w:rsidR="00FE5587" w:rsidRPr="007B7FE8" w:rsidRDefault="00FE5587" w:rsidP="00FE5587">
            <w:pPr>
              <w:spacing w:before="20" w:after="20"/>
              <w:ind w:left="0"/>
              <w:rPr>
                <w:sz w:val="16"/>
                <w:szCs w:val="16"/>
              </w:rPr>
            </w:pPr>
          </w:p>
        </w:tc>
        <w:tc>
          <w:tcPr>
            <w:tcW w:w="850" w:type="dxa"/>
            <w:vMerge/>
          </w:tcPr>
          <w:p w:rsidR="00FE5587" w:rsidRPr="007B7FE8" w:rsidRDefault="00FE5587" w:rsidP="00FE5587">
            <w:pPr>
              <w:spacing w:before="20" w:after="20"/>
              <w:ind w:left="0"/>
              <w:jc w:val="center"/>
              <w:rPr>
                <w:sz w:val="16"/>
                <w:szCs w:val="16"/>
              </w:rPr>
            </w:pPr>
          </w:p>
        </w:tc>
        <w:tc>
          <w:tcPr>
            <w:tcW w:w="1370" w:type="dxa"/>
          </w:tcPr>
          <w:p w:rsidR="00FE5587" w:rsidRPr="007B7FE8" w:rsidRDefault="00FE5587" w:rsidP="00FE5587">
            <w:pPr>
              <w:spacing w:after="0"/>
              <w:ind w:left="0"/>
              <w:jc w:val="left"/>
              <w:rPr>
                <w:sz w:val="16"/>
                <w:szCs w:val="16"/>
              </w:rPr>
            </w:pPr>
            <w:r w:rsidRPr="007B7FE8">
              <w:rPr>
                <w:sz w:val="16"/>
                <w:szCs w:val="16"/>
              </w:rPr>
              <w:t>Sites assessed in good stewardship by Natural England</w:t>
            </w:r>
          </w:p>
        </w:tc>
        <w:tc>
          <w:tcPr>
            <w:tcW w:w="1654" w:type="dxa"/>
          </w:tcPr>
          <w:p w:rsidR="00FE5587" w:rsidRPr="007B7FE8" w:rsidRDefault="00FE5587" w:rsidP="00FE5587">
            <w:pPr>
              <w:spacing w:after="0"/>
              <w:ind w:left="0"/>
              <w:jc w:val="left"/>
              <w:rPr>
                <w:sz w:val="16"/>
                <w:szCs w:val="16"/>
              </w:rPr>
            </w:pPr>
            <w:r w:rsidRPr="007B7FE8">
              <w:rPr>
                <w:sz w:val="16"/>
                <w:szCs w:val="16"/>
              </w:rPr>
              <w:t>Our sites assessed as good stewardship by Natural England</w:t>
            </w:r>
          </w:p>
        </w:tc>
        <w:tc>
          <w:tcPr>
            <w:tcW w:w="1796" w:type="dxa"/>
          </w:tcPr>
          <w:p w:rsidR="00FE5587" w:rsidRPr="007B7FE8" w:rsidRDefault="00FE5587" w:rsidP="00FE5587">
            <w:pPr>
              <w:spacing w:after="0"/>
              <w:ind w:left="0"/>
              <w:jc w:val="left"/>
              <w:rPr>
                <w:sz w:val="16"/>
                <w:szCs w:val="16"/>
              </w:rPr>
            </w:pPr>
            <w:r w:rsidRPr="007B7FE8">
              <w:rPr>
                <w:sz w:val="16"/>
                <w:szCs w:val="16"/>
              </w:rPr>
              <w:t>Our sites assessed as good stewardship by Natural England</w:t>
            </w:r>
          </w:p>
        </w:tc>
        <w:tc>
          <w:tcPr>
            <w:tcW w:w="850" w:type="dxa"/>
          </w:tcPr>
          <w:p w:rsidR="00FE5587" w:rsidRPr="007B7FE8" w:rsidRDefault="00FE5587" w:rsidP="00FE5587">
            <w:pPr>
              <w:spacing w:after="0"/>
              <w:ind w:left="0"/>
              <w:jc w:val="center"/>
              <w:rPr>
                <w:sz w:val="16"/>
                <w:szCs w:val="16"/>
              </w:rPr>
            </w:pPr>
            <w:r>
              <w:rPr>
                <w:sz w:val="16"/>
                <w:szCs w:val="16"/>
              </w:rPr>
              <w:t>P</w:t>
            </w:r>
          </w:p>
        </w:tc>
      </w:tr>
      <w:tr w:rsidR="00FE5587" w:rsidRPr="007B7FE8" w:rsidTr="007B7FE8">
        <w:tc>
          <w:tcPr>
            <w:tcW w:w="2405" w:type="dxa"/>
          </w:tcPr>
          <w:p w:rsidR="00FE5587" w:rsidRPr="007B7FE8" w:rsidRDefault="00FE5587" w:rsidP="00FE5587">
            <w:pPr>
              <w:spacing w:before="20" w:after="20"/>
              <w:ind w:left="0"/>
              <w:rPr>
                <w:sz w:val="16"/>
                <w:szCs w:val="16"/>
              </w:rPr>
            </w:pPr>
            <w:r w:rsidRPr="007B7FE8">
              <w:rPr>
                <w:sz w:val="16"/>
                <w:szCs w:val="16"/>
              </w:rPr>
              <w:t>Catchment Management</w:t>
            </w:r>
          </w:p>
        </w:tc>
        <w:tc>
          <w:tcPr>
            <w:tcW w:w="850" w:type="dxa"/>
          </w:tcPr>
          <w:p w:rsidR="00FE5587" w:rsidRPr="007B7FE8" w:rsidRDefault="00FE5587" w:rsidP="00FE5587">
            <w:pPr>
              <w:spacing w:before="20" w:after="20"/>
              <w:ind w:left="0"/>
              <w:jc w:val="center"/>
              <w:rPr>
                <w:sz w:val="16"/>
                <w:szCs w:val="16"/>
              </w:rPr>
            </w:pPr>
            <w:r w:rsidRPr="007B7FE8">
              <w:rPr>
                <w:sz w:val="16"/>
                <w:szCs w:val="16"/>
              </w:rPr>
              <w:t>B</w:t>
            </w:r>
          </w:p>
        </w:tc>
        <w:tc>
          <w:tcPr>
            <w:tcW w:w="1370" w:type="dxa"/>
          </w:tcPr>
          <w:p w:rsidR="00FE5587" w:rsidRPr="007B7FE8" w:rsidRDefault="00FE5587" w:rsidP="00FE5587">
            <w:pPr>
              <w:spacing w:after="0"/>
              <w:ind w:left="0"/>
              <w:jc w:val="left"/>
              <w:rPr>
                <w:sz w:val="16"/>
                <w:szCs w:val="16"/>
              </w:rPr>
            </w:pPr>
            <w:r w:rsidRPr="007B7FE8">
              <w:rPr>
                <w:sz w:val="16"/>
                <w:szCs w:val="16"/>
              </w:rPr>
              <w:t>n/a</w:t>
            </w:r>
          </w:p>
        </w:tc>
        <w:tc>
          <w:tcPr>
            <w:tcW w:w="1654" w:type="dxa"/>
          </w:tcPr>
          <w:p w:rsidR="00FE5587" w:rsidRPr="007B7FE8" w:rsidRDefault="00FE5587" w:rsidP="00FE5587">
            <w:pPr>
              <w:spacing w:before="20" w:after="20"/>
              <w:ind w:left="0"/>
              <w:jc w:val="left"/>
              <w:rPr>
                <w:sz w:val="16"/>
                <w:szCs w:val="16"/>
              </w:rPr>
            </w:pPr>
            <w:r w:rsidRPr="007B7FE8">
              <w:rPr>
                <w:sz w:val="16"/>
                <w:szCs w:val="16"/>
              </w:rPr>
              <w:t>Engagement with 50 out of 75 farmers in non-priority zones</w:t>
            </w:r>
          </w:p>
        </w:tc>
        <w:tc>
          <w:tcPr>
            <w:tcW w:w="1796" w:type="dxa"/>
          </w:tcPr>
          <w:p w:rsidR="00FE5587" w:rsidRPr="007B7FE8" w:rsidRDefault="00FE5587" w:rsidP="00FE5587">
            <w:pPr>
              <w:spacing w:after="0"/>
              <w:ind w:left="0"/>
              <w:jc w:val="left"/>
              <w:rPr>
                <w:sz w:val="16"/>
                <w:szCs w:val="16"/>
              </w:rPr>
            </w:pPr>
            <w:r w:rsidRPr="007B7FE8">
              <w:rPr>
                <w:sz w:val="16"/>
                <w:szCs w:val="16"/>
              </w:rPr>
              <w:t>Engagement with all 75 farmers in non-priority zones</w:t>
            </w:r>
          </w:p>
        </w:tc>
        <w:tc>
          <w:tcPr>
            <w:tcW w:w="850" w:type="dxa"/>
          </w:tcPr>
          <w:p w:rsidR="00FE5587" w:rsidRPr="007B7FE8" w:rsidRDefault="00FE5587" w:rsidP="00FE5587">
            <w:pPr>
              <w:spacing w:after="0"/>
              <w:ind w:left="0"/>
              <w:jc w:val="center"/>
              <w:rPr>
                <w:sz w:val="16"/>
                <w:szCs w:val="16"/>
              </w:rPr>
            </w:pPr>
            <w:r w:rsidRPr="007B7FE8">
              <w:rPr>
                <w:sz w:val="16"/>
                <w:szCs w:val="16"/>
              </w:rPr>
              <w:t>R</w:t>
            </w:r>
          </w:p>
        </w:tc>
      </w:tr>
      <w:tr w:rsidR="004157FD" w:rsidRPr="007B7FE8" w:rsidTr="007B7FE8">
        <w:tc>
          <w:tcPr>
            <w:tcW w:w="2405" w:type="dxa"/>
          </w:tcPr>
          <w:p w:rsidR="004157FD" w:rsidRPr="007B7FE8" w:rsidRDefault="004157FD" w:rsidP="004157FD">
            <w:pPr>
              <w:spacing w:before="20" w:after="20"/>
              <w:ind w:left="0"/>
              <w:jc w:val="left"/>
              <w:rPr>
                <w:sz w:val="16"/>
                <w:szCs w:val="16"/>
              </w:rPr>
            </w:pPr>
            <w:r w:rsidRPr="007B7FE8">
              <w:rPr>
                <w:sz w:val="16"/>
                <w:szCs w:val="16"/>
              </w:rPr>
              <w:t xml:space="preserve">Abstraction Incentive Mechanism </w:t>
            </w:r>
            <w:r>
              <w:rPr>
                <w:sz w:val="16"/>
                <w:szCs w:val="16"/>
              </w:rPr>
              <w:t>(AIM)</w:t>
            </w:r>
          </w:p>
        </w:tc>
        <w:tc>
          <w:tcPr>
            <w:tcW w:w="850" w:type="dxa"/>
          </w:tcPr>
          <w:p w:rsidR="004157FD" w:rsidRPr="007B7FE8" w:rsidRDefault="004157FD" w:rsidP="004157FD">
            <w:pPr>
              <w:spacing w:before="20" w:after="20"/>
              <w:ind w:left="0"/>
              <w:jc w:val="center"/>
              <w:rPr>
                <w:sz w:val="16"/>
                <w:szCs w:val="16"/>
              </w:rPr>
            </w:pPr>
            <w:r w:rsidRPr="007B7FE8">
              <w:rPr>
                <w:sz w:val="16"/>
                <w:szCs w:val="16"/>
              </w:rPr>
              <w:t>B</w:t>
            </w:r>
          </w:p>
        </w:tc>
        <w:tc>
          <w:tcPr>
            <w:tcW w:w="1370" w:type="dxa"/>
          </w:tcPr>
          <w:p w:rsidR="004157FD" w:rsidRPr="007B7FE8" w:rsidRDefault="004157FD" w:rsidP="004157FD">
            <w:pPr>
              <w:spacing w:after="0"/>
              <w:ind w:left="0"/>
              <w:jc w:val="left"/>
              <w:rPr>
                <w:sz w:val="16"/>
                <w:szCs w:val="16"/>
              </w:rPr>
            </w:pPr>
            <w:r>
              <w:rPr>
                <w:sz w:val="16"/>
                <w:szCs w:val="16"/>
              </w:rPr>
              <w:t>Management of the River Hamble</w:t>
            </w:r>
          </w:p>
        </w:tc>
        <w:tc>
          <w:tcPr>
            <w:tcW w:w="1654" w:type="dxa"/>
          </w:tcPr>
          <w:p w:rsidR="004157FD" w:rsidRPr="007B7FE8" w:rsidRDefault="004157FD" w:rsidP="004157FD">
            <w:pPr>
              <w:spacing w:after="0"/>
              <w:ind w:left="0"/>
              <w:jc w:val="left"/>
              <w:rPr>
                <w:sz w:val="16"/>
                <w:szCs w:val="16"/>
              </w:rPr>
            </w:pPr>
            <w:r>
              <w:rPr>
                <w:sz w:val="16"/>
                <w:szCs w:val="16"/>
              </w:rPr>
              <w:t>Management of the River Hamble</w:t>
            </w:r>
          </w:p>
        </w:tc>
        <w:tc>
          <w:tcPr>
            <w:tcW w:w="1796" w:type="dxa"/>
          </w:tcPr>
          <w:p w:rsidR="004157FD" w:rsidRPr="007B7FE8" w:rsidRDefault="004157FD" w:rsidP="004157FD">
            <w:pPr>
              <w:spacing w:after="0"/>
              <w:ind w:left="0"/>
              <w:jc w:val="left"/>
              <w:rPr>
                <w:sz w:val="16"/>
                <w:szCs w:val="16"/>
              </w:rPr>
            </w:pPr>
            <w:r>
              <w:rPr>
                <w:sz w:val="16"/>
                <w:szCs w:val="16"/>
              </w:rPr>
              <w:t>Management of the River Hamble</w:t>
            </w:r>
          </w:p>
        </w:tc>
        <w:tc>
          <w:tcPr>
            <w:tcW w:w="850" w:type="dxa"/>
          </w:tcPr>
          <w:p w:rsidR="004157FD" w:rsidRPr="007B7FE8" w:rsidRDefault="004157FD" w:rsidP="004157FD">
            <w:pPr>
              <w:spacing w:after="0"/>
              <w:ind w:left="0"/>
              <w:jc w:val="center"/>
              <w:rPr>
                <w:sz w:val="16"/>
                <w:szCs w:val="16"/>
              </w:rPr>
            </w:pPr>
            <w:r w:rsidRPr="007B7FE8">
              <w:rPr>
                <w:sz w:val="16"/>
                <w:szCs w:val="16"/>
              </w:rPr>
              <w:t>R/P</w:t>
            </w:r>
          </w:p>
        </w:tc>
      </w:tr>
      <w:tr w:rsidR="004157FD" w:rsidRPr="007B7FE8" w:rsidTr="007B7FE8">
        <w:tc>
          <w:tcPr>
            <w:tcW w:w="2405" w:type="dxa"/>
          </w:tcPr>
          <w:p w:rsidR="004157FD" w:rsidRPr="007B7FE8" w:rsidRDefault="004157FD" w:rsidP="004157FD">
            <w:pPr>
              <w:spacing w:before="20" w:after="20"/>
              <w:ind w:left="0"/>
              <w:rPr>
                <w:sz w:val="16"/>
                <w:szCs w:val="16"/>
              </w:rPr>
            </w:pPr>
            <w:r w:rsidRPr="007B7FE8">
              <w:rPr>
                <w:sz w:val="16"/>
                <w:szCs w:val="16"/>
              </w:rPr>
              <w:t xml:space="preserve">Carbon </w:t>
            </w:r>
            <w:r>
              <w:rPr>
                <w:sz w:val="16"/>
                <w:szCs w:val="16"/>
              </w:rPr>
              <w:t>tCO</w:t>
            </w:r>
            <w:r w:rsidRPr="004157FD">
              <w:rPr>
                <w:sz w:val="16"/>
                <w:szCs w:val="16"/>
                <w:vertAlign w:val="subscript"/>
              </w:rPr>
              <w:t>2</w:t>
            </w:r>
            <w:r>
              <w:rPr>
                <w:sz w:val="16"/>
                <w:szCs w:val="16"/>
              </w:rPr>
              <w:t xml:space="preserve"> per Ml/d</w:t>
            </w:r>
          </w:p>
        </w:tc>
        <w:tc>
          <w:tcPr>
            <w:tcW w:w="850" w:type="dxa"/>
          </w:tcPr>
          <w:p w:rsidR="004157FD" w:rsidRPr="007B7FE8" w:rsidRDefault="004157FD" w:rsidP="004157FD">
            <w:pPr>
              <w:spacing w:before="20" w:after="20"/>
              <w:ind w:left="0"/>
              <w:jc w:val="center"/>
              <w:rPr>
                <w:sz w:val="16"/>
                <w:szCs w:val="16"/>
              </w:rPr>
            </w:pPr>
            <w:r w:rsidRPr="007B7FE8">
              <w:rPr>
                <w:sz w:val="16"/>
                <w:szCs w:val="16"/>
              </w:rPr>
              <w:t>B</w:t>
            </w:r>
          </w:p>
        </w:tc>
        <w:tc>
          <w:tcPr>
            <w:tcW w:w="1370" w:type="dxa"/>
          </w:tcPr>
          <w:p w:rsidR="004157FD" w:rsidRPr="007B7FE8" w:rsidRDefault="004157FD" w:rsidP="004157FD">
            <w:pPr>
              <w:spacing w:after="0"/>
              <w:ind w:left="0"/>
              <w:jc w:val="left"/>
              <w:rPr>
                <w:sz w:val="16"/>
                <w:szCs w:val="16"/>
              </w:rPr>
            </w:pPr>
            <w:r w:rsidRPr="007B7FE8">
              <w:rPr>
                <w:sz w:val="16"/>
                <w:szCs w:val="16"/>
              </w:rPr>
              <w:t>UQ</w:t>
            </w:r>
          </w:p>
        </w:tc>
        <w:tc>
          <w:tcPr>
            <w:tcW w:w="1654" w:type="dxa"/>
          </w:tcPr>
          <w:p w:rsidR="004157FD" w:rsidRPr="007B7FE8" w:rsidRDefault="004157FD" w:rsidP="004157FD">
            <w:pPr>
              <w:spacing w:after="0"/>
              <w:ind w:left="0"/>
              <w:jc w:val="left"/>
              <w:rPr>
                <w:sz w:val="16"/>
                <w:szCs w:val="16"/>
              </w:rPr>
            </w:pPr>
            <w:r w:rsidRPr="007B7FE8">
              <w:rPr>
                <w:sz w:val="16"/>
                <w:szCs w:val="16"/>
              </w:rPr>
              <w:t>UQ</w:t>
            </w:r>
          </w:p>
        </w:tc>
        <w:tc>
          <w:tcPr>
            <w:tcW w:w="1796" w:type="dxa"/>
          </w:tcPr>
          <w:p w:rsidR="004157FD" w:rsidRPr="007B7FE8" w:rsidRDefault="004157FD" w:rsidP="004157FD">
            <w:pPr>
              <w:spacing w:after="0"/>
              <w:ind w:left="0"/>
              <w:jc w:val="left"/>
              <w:rPr>
                <w:sz w:val="16"/>
                <w:szCs w:val="16"/>
              </w:rPr>
            </w:pPr>
            <w:r w:rsidRPr="007B7FE8">
              <w:rPr>
                <w:sz w:val="16"/>
                <w:szCs w:val="16"/>
              </w:rPr>
              <w:t>UQ</w:t>
            </w:r>
          </w:p>
        </w:tc>
        <w:tc>
          <w:tcPr>
            <w:tcW w:w="850" w:type="dxa"/>
          </w:tcPr>
          <w:p w:rsidR="004157FD" w:rsidRPr="007B7FE8" w:rsidRDefault="004157FD" w:rsidP="004157FD">
            <w:pPr>
              <w:spacing w:after="0"/>
              <w:ind w:left="0"/>
              <w:jc w:val="center"/>
              <w:rPr>
                <w:sz w:val="16"/>
                <w:szCs w:val="16"/>
              </w:rPr>
            </w:pPr>
            <w:r w:rsidRPr="007B7FE8">
              <w:rPr>
                <w:sz w:val="16"/>
                <w:szCs w:val="16"/>
              </w:rPr>
              <w:t>REP</w:t>
            </w:r>
          </w:p>
        </w:tc>
      </w:tr>
    </w:tbl>
    <w:p w:rsidR="00486865" w:rsidRDefault="00486865" w:rsidP="00486865">
      <w:pPr>
        <w:rPr>
          <w:sz w:val="14"/>
          <w:szCs w:val="14"/>
        </w:rPr>
      </w:pPr>
      <w:bookmarkStart w:id="79" w:name="_Toc522199987"/>
      <w:bookmarkStart w:id="80" w:name="_Toc522200084"/>
      <w:r w:rsidRPr="00F84F6A">
        <w:rPr>
          <w:sz w:val="14"/>
          <w:szCs w:val="14"/>
        </w:rPr>
        <w:t>Key: C= Co</w:t>
      </w:r>
      <w:r>
        <w:rPr>
          <w:sz w:val="14"/>
          <w:szCs w:val="14"/>
        </w:rPr>
        <w:t>mmon B=Bespoke P=Penalty Only R = Reward Only R/P = Reward/Penalty REP = Reputational ER/EP = Enhanced Reward/Penalty UQ = Upper Quartile</w:t>
      </w:r>
    </w:p>
    <w:p w:rsidR="00830616" w:rsidRPr="00F36A06" w:rsidRDefault="00830616" w:rsidP="000C6953">
      <w:pPr>
        <w:pStyle w:val="Heading3"/>
      </w:pPr>
      <w:bookmarkStart w:id="81" w:name="_Toc523651266"/>
      <w:r w:rsidRPr="00F36A06">
        <w:t>Engaging with Customers</w:t>
      </w:r>
      <w:bookmarkEnd w:id="79"/>
      <w:bookmarkEnd w:id="80"/>
      <w:bookmarkEnd w:id="81"/>
      <w:r w:rsidRPr="00F36A06">
        <w:t xml:space="preserve"> </w:t>
      </w:r>
    </w:p>
    <w:tbl>
      <w:tblPr>
        <w:tblStyle w:val="TableGrid30"/>
        <w:tblW w:w="8862" w:type="dxa"/>
        <w:tblInd w:w="846" w:type="dxa"/>
        <w:tblLook w:val="04A0" w:firstRow="1" w:lastRow="0" w:firstColumn="1" w:lastColumn="0" w:noHBand="0" w:noVBand="1"/>
      </w:tblPr>
      <w:tblGrid>
        <w:gridCol w:w="2851"/>
        <w:gridCol w:w="3005"/>
        <w:gridCol w:w="3006"/>
      </w:tblGrid>
      <w:tr w:rsidR="00EA5670" w:rsidRPr="00B44ED5" w:rsidTr="00212458">
        <w:tc>
          <w:tcPr>
            <w:tcW w:w="2851" w:type="dxa"/>
            <w:shd w:val="clear" w:color="auto" w:fill="2E74B5" w:themeFill="accent1" w:themeFillShade="BF"/>
          </w:tcPr>
          <w:p w:rsidR="00EA5670" w:rsidRPr="00B44ED5" w:rsidRDefault="00EA5670" w:rsidP="00B44ED5">
            <w:pPr>
              <w:tabs>
                <w:tab w:val="clear" w:pos="851"/>
              </w:tabs>
              <w:spacing w:before="20" w:after="20"/>
              <w:ind w:left="0"/>
              <w:jc w:val="left"/>
              <w:rPr>
                <w:rFonts w:cs="Arial"/>
                <w:b/>
                <w:color w:val="FFFFFF" w:themeColor="background1"/>
                <w:sz w:val="16"/>
                <w:szCs w:val="16"/>
              </w:rPr>
            </w:pPr>
            <w:r w:rsidRPr="00B44ED5">
              <w:rPr>
                <w:rFonts w:cs="Arial"/>
                <w:b/>
                <w:color w:val="FFFFFF" w:themeColor="background1"/>
                <w:sz w:val="16"/>
                <w:szCs w:val="16"/>
              </w:rPr>
              <w:t>Research</w:t>
            </w:r>
          </w:p>
        </w:tc>
        <w:tc>
          <w:tcPr>
            <w:tcW w:w="3005" w:type="dxa"/>
            <w:shd w:val="clear" w:color="auto" w:fill="2E74B5" w:themeFill="accent1" w:themeFillShade="BF"/>
          </w:tcPr>
          <w:p w:rsidR="00EA5670" w:rsidRPr="00B44ED5" w:rsidRDefault="00EA5670" w:rsidP="00B44ED5">
            <w:pPr>
              <w:tabs>
                <w:tab w:val="clear" w:pos="851"/>
              </w:tabs>
              <w:spacing w:before="20" w:after="20"/>
              <w:ind w:left="0"/>
              <w:jc w:val="left"/>
              <w:rPr>
                <w:rFonts w:cs="Arial"/>
                <w:b/>
                <w:color w:val="FFFFFF" w:themeColor="background1"/>
                <w:sz w:val="16"/>
                <w:szCs w:val="16"/>
              </w:rPr>
            </w:pPr>
            <w:r w:rsidRPr="00B44ED5">
              <w:rPr>
                <w:rFonts w:cs="Arial"/>
                <w:b/>
                <w:color w:val="FFFFFF" w:themeColor="background1"/>
                <w:sz w:val="16"/>
                <w:szCs w:val="16"/>
              </w:rPr>
              <w:t>Insight</w:t>
            </w:r>
          </w:p>
        </w:tc>
        <w:tc>
          <w:tcPr>
            <w:tcW w:w="3006" w:type="dxa"/>
            <w:shd w:val="clear" w:color="auto" w:fill="2E74B5" w:themeFill="accent1" w:themeFillShade="BF"/>
          </w:tcPr>
          <w:p w:rsidR="00EA5670" w:rsidRPr="00B44ED5" w:rsidRDefault="00EA5670" w:rsidP="00B44ED5">
            <w:pPr>
              <w:tabs>
                <w:tab w:val="clear" w:pos="851"/>
              </w:tabs>
              <w:spacing w:before="20" w:after="20"/>
              <w:ind w:left="0"/>
              <w:jc w:val="left"/>
              <w:rPr>
                <w:rFonts w:cs="Arial"/>
                <w:b/>
                <w:color w:val="FFFFFF" w:themeColor="background1"/>
                <w:sz w:val="16"/>
                <w:szCs w:val="16"/>
              </w:rPr>
            </w:pPr>
            <w:r w:rsidRPr="00B44ED5">
              <w:rPr>
                <w:rFonts w:cs="Arial"/>
                <w:b/>
                <w:color w:val="FFFFFF" w:themeColor="background1"/>
                <w:sz w:val="16"/>
                <w:szCs w:val="16"/>
              </w:rPr>
              <w:t>Impact on the business plan</w:t>
            </w:r>
          </w:p>
        </w:tc>
      </w:tr>
      <w:tr w:rsidR="00EA5670" w:rsidRPr="00B44ED5" w:rsidTr="00212458">
        <w:tc>
          <w:tcPr>
            <w:tcW w:w="2851"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Accent – Baseline research </w:t>
            </w:r>
            <w:r w:rsidR="00762933">
              <w:rPr>
                <w:rFonts w:cs="Arial"/>
                <w:sz w:val="16"/>
                <w:szCs w:val="16"/>
              </w:rPr>
              <w:t>focus groups (Appendix 2.3)</w:t>
            </w:r>
          </w:p>
        </w:tc>
        <w:tc>
          <w:tcPr>
            <w:tcW w:w="3005"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Renewable energy to reduce costs and more ambition to improve.</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More information on costs of improving the environment. </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Information to reduce pollution needed. </w:t>
            </w:r>
          </w:p>
        </w:tc>
        <w:tc>
          <w:tcPr>
            <w:tcW w:w="3006"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There is support for going beyond our statutory duties.</w:t>
            </w:r>
          </w:p>
        </w:tc>
      </w:tr>
      <w:tr w:rsidR="00EA5670" w:rsidRPr="00B44ED5" w:rsidTr="00212458">
        <w:tc>
          <w:tcPr>
            <w:tcW w:w="2851"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ICS Consulting research- Survey work on Outcome priorities, Performance Commitment targets &amp; rewards &amp; penalties </w:t>
            </w:r>
            <w:r w:rsidR="00762933">
              <w:rPr>
                <w:rFonts w:cs="Arial"/>
                <w:sz w:val="16"/>
                <w:szCs w:val="16"/>
              </w:rPr>
              <w:t>(Appendix 2.17)</w:t>
            </w:r>
          </w:p>
        </w:tc>
        <w:tc>
          <w:tcPr>
            <w:tcW w:w="3005"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Outcome ranked low in priority however younger demographic vote it a lot higher.</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The environmental measures attract support for a symmetric penalty/reward structure.</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Outperformance in this outcome allows us to get a larger potential of financial rewards. </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Collaboration is widely supported. </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AIM was highly supported. Would pay more to continue this work. </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Need to promote what we are doing.</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Carbon reduction is a positive measure. </w:t>
            </w:r>
          </w:p>
          <w:p w:rsidR="00EA5670" w:rsidRPr="00B44ED5" w:rsidRDefault="00EA5670" w:rsidP="00B44ED5">
            <w:pPr>
              <w:tabs>
                <w:tab w:val="clear" w:pos="851"/>
              </w:tabs>
              <w:spacing w:before="20" w:after="20"/>
              <w:ind w:left="0"/>
              <w:jc w:val="left"/>
              <w:rPr>
                <w:rFonts w:cs="Arial"/>
                <w:sz w:val="16"/>
                <w:szCs w:val="16"/>
              </w:rPr>
            </w:pPr>
          </w:p>
        </w:tc>
        <w:tc>
          <w:tcPr>
            <w:tcW w:w="3006"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Setting the rewards and penalties.</w:t>
            </w:r>
          </w:p>
          <w:p w:rsidR="00EA5670" w:rsidRPr="00B44ED5" w:rsidRDefault="00EA5670" w:rsidP="00B44ED5">
            <w:pPr>
              <w:tabs>
                <w:tab w:val="clear" w:pos="851"/>
              </w:tabs>
              <w:spacing w:before="20" w:after="20"/>
              <w:ind w:left="0"/>
              <w:jc w:val="left"/>
              <w:rPr>
                <w:rFonts w:cs="Arial"/>
                <w:sz w:val="16"/>
                <w:szCs w:val="16"/>
              </w:rPr>
            </w:pPr>
          </w:p>
          <w:p w:rsidR="00EA5670" w:rsidRPr="00B44ED5" w:rsidRDefault="004E0666" w:rsidP="00B44ED5">
            <w:pPr>
              <w:tabs>
                <w:tab w:val="clear" w:pos="851"/>
              </w:tabs>
              <w:spacing w:before="20" w:after="20"/>
              <w:ind w:left="0"/>
              <w:jc w:val="left"/>
              <w:rPr>
                <w:rFonts w:cs="Arial"/>
                <w:sz w:val="16"/>
                <w:szCs w:val="16"/>
              </w:rPr>
            </w:pPr>
            <w:r>
              <w:rPr>
                <w:rFonts w:cs="Arial"/>
                <w:sz w:val="16"/>
                <w:szCs w:val="16"/>
              </w:rPr>
              <w:t>This is seen as a</w:t>
            </w:r>
            <w:r w:rsidR="00EA5670" w:rsidRPr="00B44ED5">
              <w:rPr>
                <w:rFonts w:cs="Arial"/>
                <w:sz w:val="16"/>
                <w:szCs w:val="16"/>
              </w:rPr>
              <w:t xml:space="preserve"> value</w:t>
            </w:r>
            <w:r>
              <w:rPr>
                <w:rFonts w:cs="Arial"/>
                <w:sz w:val="16"/>
                <w:szCs w:val="16"/>
              </w:rPr>
              <w:t xml:space="preserve"> added</w:t>
            </w:r>
            <w:r w:rsidR="00EA5670" w:rsidRPr="00B44ED5">
              <w:rPr>
                <w:rFonts w:cs="Arial"/>
                <w:sz w:val="16"/>
                <w:szCs w:val="16"/>
              </w:rPr>
              <w:t xml:space="preserve"> service rather than a core activity.  Whilst a relatively low priority, it was seen as an area where outperformance is valued and should be rewarded.</w:t>
            </w:r>
          </w:p>
          <w:p w:rsidR="00EA5670" w:rsidRPr="00B44ED5" w:rsidRDefault="00EA5670" w:rsidP="00B44ED5">
            <w:pPr>
              <w:tabs>
                <w:tab w:val="clear" w:pos="851"/>
              </w:tabs>
              <w:spacing w:before="20" w:after="20"/>
              <w:ind w:left="0"/>
              <w:jc w:val="left"/>
              <w:rPr>
                <w:rFonts w:cs="Arial"/>
                <w:sz w:val="16"/>
                <w:szCs w:val="16"/>
              </w:rPr>
            </w:pP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We have co-created our bespoke environmental Performance Commitments with stakeholders.</w:t>
            </w:r>
          </w:p>
        </w:tc>
      </w:tr>
      <w:tr w:rsidR="00EA5670" w:rsidRPr="00B44ED5" w:rsidTr="00212458">
        <w:tc>
          <w:tcPr>
            <w:tcW w:w="2851"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Future Issues- Student Survey </w:t>
            </w:r>
            <w:r w:rsidR="00762933">
              <w:rPr>
                <w:rFonts w:cs="Arial"/>
                <w:sz w:val="16"/>
                <w:szCs w:val="16"/>
              </w:rPr>
              <w:t>(Appendix 2.11)</w:t>
            </w:r>
          </w:p>
        </w:tc>
        <w:tc>
          <w:tcPr>
            <w:tcW w:w="3005"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Nature voted highly.</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Environmental projects voted most favourable if we had funding. </w:t>
            </w:r>
          </w:p>
        </w:tc>
        <w:tc>
          <w:tcPr>
            <w:tcW w:w="3006" w:type="dxa"/>
          </w:tcPr>
          <w:p w:rsidR="00EA5670" w:rsidRPr="00B44ED5" w:rsidRDefault="00212458" w:rsidP="00486865">
            <w:pPr>
              <w:tabs>
                <w:tab w:val="clear" w:pos="851"/>
              </w:tabs>
              <w:spacing w:before="20" w:after="20"/>
              <w:ind w:left="0"/>
              <w:jc w:val="left"/>
              <w:rPr>
                <w:rFonts w:cs="Arial"/>
                <w:sz w:val="16"/>
                <w:szCs w:val="16"/>
              </w:rPr>
            </w:pPr>
            <w:r>
              <w:rPr>
                <w:rFonts w:cs="Arial"/>
                <w:sz w:val="16"/>
                <w:szCs w:val="16"/>
              </w:rPr>
              <w:t xml:space="preserve">This supported rewards for </w:t>
            </w:r>
            <w:r w:rsidR="00486865">
              <w:rPr>
                <w:rFonts w:cs="Arial"/>
                <w:sz w:val="16"/>
                <w:szCs w:val="16"/>
              </w:rPr>
              <w:t>B</w:t>
            </w:r>
            <w:r>
              <w:rPr>
                <w:rFonts w:cs="Arial"/>
                <w:sz w:val="16"/>
                <w:szCs w:val="16"/>
              </w:rPr>
              <w:t xml:space="preserve">iodiversity and </w:t>
            </w:r>
            <w:r w:rsidR="00486865">
              <w:rPr>
                <w:rFonts w:cs="Arial"/>
                <w:sz w:val="16"/>
                <w:szCs w:val="16"/>
              </w:rPr>
              <w:t>C</w:t>
            </w:r>
            <w:r>
              <w:rPr>
                <w:rFonts w:cs="Arial"/>
                <w:sz w:val="16"/>
                <w:szCs w:val="16"/>
              </w:rPr>
              <w:t xml:space="preserve">atchment </w:t>
            </w:r>
            <w:r w:rsidR="00486865">
              <w:rPr>
                <w:rFonts w:cs="Arial"/>
                <w:sz w:val="16"/>
                <w:szCs w:val="16"/>
              </w:rPr>
              <w:t>M</w:t>
            </w:r>
            <w:r>
              <w:rPr>
                <w:rFonts w:cs="Arial"/>
                <w:sz w:val="16"/>
                <w:szCs w:val="16"/>
              </w:rPr>
              <w:t>anagement.</w:t>
            </w:r>
          </w:p>
        </w:tc>
      </w:tr>
      <w:tr w:rsidR="00EA5670" w:rsidRPr="00B44ED5" w:rsidTr="00212458">
        <w:tc>
          <w:tcPr>
            <w:tcW w:w="2851"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Employee engagement </w:t>
            </w:r>
            <w:r w:rsidR="00762933">
              <w:rPr>
                <w:rFonts w:cs="Arial"/>
                <w:sz w:val="16"/>
                <w:szCs w:val="16"/>
              </w:rPr>
              <w:t>(Appendix 2.9)</w:t>
            </w:r>
          </w:p>
        </w:tc>
        <w:tc>
          <w:tcPr>
            <w:tcW w:w="3005"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More promotion on what we are doing and our efforts and achievements. </w:t>
            </w:r>
          </w:p>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Pro-active attitude to improving biodiversity.</w:t>
            </w:r>
          </w:p>
        </w:tc>
        <w:tc>
          <w:tcPr>
            <w:tcW w:w="3006" w:type="dxa"/>
          </w:tcPr>
          <w:p w:rsidR="00EA5670" w:rsidRPr="00B44ED5" w:rsidRDefault="00212458" w:rsidP="00212458">
            <w:pPr>
              <w:tabs>
                <w:tab w:val="clear" w:pos="851"/>
              </w:tabs>
              <w:spacing w:before="20" w:after="20"/>
              <w:ind w:left="0"/>
              <w:jc w:val="left"/>
              <w:rPr>
                <w:rFonts w:cs="Arial"/>
                <w:sz w:val="16"/>
                <w:szCs w:val="16"/>
              </w:rPr>
            </w:pPr>
            <w:r>
              <w:rPr>
                <w:rFonts w:cs="Arial"/>
                <w:sz w:val="16"/>
                <w:szCs w:val="16"/>
              </w:rPr>
              <w:t xml:space="preserve">Reinforced focus groups’ opinion that this is a good news story that should be promoted. </w:t>
            </w:r>
          </w:p>
        </w:tc>
      </w:tr>
      <w:tr w:rsidR="00EA5670" w:rsidRPr="00B44ED5" w:rsidTr="00212458">
        <w:tc>
          <w:tcPr>
            <w:tcW w:w="2851"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Future issues- school engagement </w:t>
            </w:r>
            <w:r w:rsidR="00762933">
              <w:rPr>
                <w:rFonts w:cs="Arial"/>
                <w:sz w:val="16"/>
                <w:szCs w:val="16"/>
              </w:rPr>
              <w:t>(Appendix 2.12, 2.13)</w:t>
            </w:r>
          </w:p>
        </w:tc>
        <w:tc>
          <w:tcPr>
            <w:tcW w:w="3005" w:type="dxa"/>
          </w:tcPr>
          <w:p w:rsidR="00EA5670" w:rsidRPr="00B44ED5" w:rsidRDefault="00EA5670" w:rsidP="00B44ED5">
            <w:pPr>
              <w:tabs>
                <w:tab w:val="clear" w:pos="851"/>
              </w:tabs>
              <w:spacing w:before="20" w:after="20"/>
              <w:ind w:left="0"/>
              <w:jc w:val="left"/>
              <w:rPr>
                <w:rFonts w:cs="Arial"/>
                <w:sz w:val="16"/>
                <w:szCs w:val="16"/>
              </w:rPr>
            </w:pPr>
            <w:r w:rsidRPr="00B44ED5">
              <w:rPr>
                <w:rFonts w:cs="Arial"/>
                <w:sz w:val="16"/>
                <w:szCs w:val="16"/>
              </w:rPr>
              <w:t xml:space="preserve">Water abstraction should not do more harm to the environment. </w:t>
            </w:r>
          </w:p>
        </w:tc>
        <w:tc>
          <w:tcPr>
            <w:tcW w:w="3006" w:type="dxa"/>
          </w:tcPr>
          <w:p w:rsidR="00EA5670" w:rsidRPr="00B44ED5" w:rsidRDefault="00212458" w:rsidP="00B44ED5">
            <w:pPr>
              <w:tabs>
                <w:tab w:val="clear" w:pos="851"/>
              </w:tabs>
              <w:spacing w:before="20" w:after="20"/>
              <w:ind w:left="0"/>
              <w:jc w:val="left"/>
              <w:rPr>
                <w:rFonts w:cs="Arial"/>
                <w:sz w:val="16"/>
                <w:szCs w:val="16"/>
              </w:rPr>
            </w:pPr>
            <w:r>
              <w:rPr>
                <w:rFonts w:cs="Arial"/>
                <w:sz w:val="16"/>
                <w:szCs w:val="16"/>
              </w:rPr>
              <w:t xml:space="preserve">Engagement with future customers informed our triangulation. </w:t>
            </w:r>
          </w:p>
        </w:tc>
      </w:tr>
    </w:tbl>
    <w:p w:rsidR="00F84F6A" w:rsidRDefault="00F84F6A" w:rsidP="007B7FE8">
      <w:pPr>
        <w:spacing w:after="0"/>
        <w:rPr>
          <w:rFonts w:cs="Arial"/>
        </w:rPr>
      </w:pPr>
    </w:p>
    <w:p w:rsidR="006F1932" w:rsidRPr="009349B8" w:rsidRDefault="00D37A94" w:rsidP="006F1932">
      <w:pPr>
        <w:rPr>
          <w:rFonts w:cs="Arial"/>
          <w:b/>
          <w:bCs/>
        </w:rPr>
      </w:pPr>
      <w:r>
        <w:rPr>
          <w:rFonts w:cs="Arial"/>
          <w:b/>
          <w:bCs/>
        </w:rPr>
        <w:t>What customers said</w:t>
      </w:r>
    </w:p>
    <w:p w:rsidR="00487950" w:rsidRPr="00487950" w:rsidRDefault="00487950" w:rsidP="00487950">
      <w:pPr>
        <w:rPr>
          <w:rFonts w:cs="Arial"/>
        </w:rPr>
      </w:pPr>
      <w:r w:rsidRPr="00487950">
        <w:rPr>
          <w:rFonts w:cs="Arial"/>
        </w:rPr>
        <w:t>The environment is a very high profile issue with specific customer groups, but not the generality of our customer base.</w:t>
      </w:r>
      <w:r w:rsidR="009E1269">
        <w:rPr>
          <w:rFonts w:cs="Arial"/>
        </w:rPr>
        <w:t xml:space="preserve">  </w:t>
      </w:r>
      <w:r w:rsidRPr="00487950">
        <w:rPr>
          <w:rFonts w:cs="Arial"/>
        </w:rPr>
        <w:t xml:space="preserve">Our ODI research has ranked the environment as the “least important” of the outcomes when compared with others we are proposing.  However, closer analysis identifies that it is very important to our millennial demographic and future customers (from engagement with those in secondary education). </w:t>
      </w:r>
    </w:p>
    <w:p w:rsidR="00487950" w:rsidRPr="00487950" w:rsidRDefault="00487950" w:rsidP="00487950">
      <w:pPr>
        <w:rPr>
          <w:rFonts w:cs="Arial"/>
        </w:rPr>
      </w:pPr>
      <w:r w:rsidRPr="00487950">
        <w:rPr>
          <w:rFonts w:cs="Arial"/>
        </w:rPr>
        <w:t xml:space="preserve">Many customers were unaware that we have specific programmes to improve the local environment where we abstract </w:t>
      </w:r>
      <w:r w:rsidR="004E0666" w:rsidRPr="00487950">
        <w:rPr>
          <w:rFonts w:cs="Arial"/>
        </w:rPr>
        <w:t>water.</w:t>
      </w:r>
      <w:r w:rsidRPr="00487950">
        <w:rPr>
          <w:rFonts w:cs="Arial"/>
        </w:rPr>
        <w:t xml:space="preserve">   This highlights the need to inform customers, using appropriate channels, of the activities and outcomes we do undertake to improve the local environment.</w:t>
      </w:r>
      <w:r w:rsidR="009E1269">
        <w:rPr>
          <w:rFonts w:cs="Arial"/>
        </w:rPr>
        <w:t xml:space="preserve">  </w:t>
      </w:r>
      <w:r w:rsidRPr="00487950">
        <w:rPr>
          <w:rFonts w:cs="Arial"/>
        </w:rPr>
        <w:t>In general terms, when we talk further to them, customers are impressed with the environmental programme we have delivered and are willing to support future programmes.</w:t>
      </w:r>
    </w:p>
    <w:p w:rsidR="00487950" w:rsidRPr="00487950" w:rsidRDefault="00487950" w:rsidP="00487950">
      <w:pPr>
        <w:rPr>
          <w:rFonts w:cs="Arial"/>
        </w:rPr>
      </w:pPr>
      <w:r w:rsidRPr="00487950">
        <w:rPr>
          <w:rFonts w:cs="Arial"/>
        </w:rPr>
        <w:t xml:space="preserve">Our engagement has also included a number of NGOs who have specific interest in this area. Their input has helped shaped both our </w:t>
      </w:r>
      <w:r w:rsidR="00486865">
        <w:rPr>
          <w:rFonts w:cs="Arial"/>
        </w:rPr>
        <w:t>C</w:t>
      </w:r>
      <w:r w:rsidRPr="00487950">
        <w:rPr>
          <w:rFonts w:cs="Arial"/>
        </w:rPr>
        <w:t xml:space="preserve">atchment </w:t>
      </w:r>
      <w:r w:rsidR="00486865">
        <w:rPr>
          <w:rFonts w:cs="Arial"/>
        </w:rPr>
        <w:t>M</w:t>
      </w:r>
      <w:r w:rsidRPr="00487950">
        <w:rPr>
          <w:rFonts w:cs="Arial"/>
        </w:rPr>
        <w:t>anagement and biodiversity plans in particular. They also asked us to consider joint funding of schemes, which would enhance the local environment.  This is in line with customers desire to improve the countryside we live in, and we will establish a grant scheme which will fund suitable, water related schemes.</w:t>
      </w:r>
    </w:p>
    <w:p w:rsidR="00487950" w:rsidRPr="00487950" w:rsidRDefault="00487950" w:rsidP="00487950">
      <w:pPr>
        <w:rPr>
          <w:rFonts w:cs="Arial"/>
        </w:rPr>
      </w:pPr>
      <w:r w:rsidRPr="00487950">
        <w:rPr>
          <w:rFonts w:cs="Arial"/>
        </w:rPr>
        <w:t xml:space="preserve">Customers have encouraged us to go further than the legal minimum and expressed a willingness to pay </w:t>
      </w:r>
      <w:r w:rsidR="004E0666" w:rsidRPr="00487950">
        <w:rPr>
          <w:rFonts w:cs="Arial"/>
        </w:rPr>
        <w:t>for additional benefits</w:t>
      </w:r>
      <w:r w:rsidRPr="00487950">
        <w:rPr>
          <w:rFonts w:cs="Arial"/>
        </w:rPr>
        <w:t>.  Whilst a low overall priority</w:t>
      </w:r>
      <w:r w:rsidR="004E0666">
        <w:rPr>
          <w:rFonts w:cs="Arial"/>
        </w:rPr>
        <w:t>, it is one where out-</w:t>
      </w:r>
      <w:r w:rsidRPr="00487950">
        <w:rPr>
          <w:rFonts w:cs="Arial"/>
        </w:rPr>
        <w:t xml:space="preserve">performance is especially valued.  They see this as added value, rather than business as usual for us. </w:t>
      </w:r>
      <w:r w:rsidR="009E1269">
        <w:rPr>
          <w:rFonts w:cs="Arial"/>
        </w:rPr>
        <w:t xml:space="preserve"> </w:t>
      </w:r>
      <w:r w:rsidR="004E0666" w:rsidRPr="00487950">
        <w:rPr>
          <w:rFonts w:cs="Arial"/>
        </w:rPr>
        <w:t>Therefore,</w:t>
      </w:r>
      <w:r w:rsidRPr="00487950">
        <w:rPr>
          <w:rFonts w:cs="Arial"/>
        </w:rPr>
        <w:t xml:space="preserve"> our </w:t>
      </w:r>
      <w:r w:rsidR="00F83A1C">
        <w:rPr>
          <w:rFonts w:cs="Arial"/>
        </w:rPr>
        <w:t>c</w:t>
      </w:r>
      <w:r w:rsidRPr="00487950">
        <w:rPr>
          <w:rFonts w:cs="Arial"/>
        </w:rPr>
        <w:t xml:space="preserve">atchment </w:t>
      </w:r>
      <w:r w:rsidR="00F83A1C">
        <w:rPr>
          <w:rFonts w:cs="Arial"/>
        </w:rPr>
        <w:t>m</w:t>
      </w:r>
      <w:r w:rsidRPr="00487950">
        <w:rPr>
          <w:rFonts w:cs="Arial"/>
        </w:rPr>
        <w:t xml:space="preserve">anagement programme will also engage with farmers more generally in our area to enhance the biodiversity of the region whilst fulfilling our legal requirement of continuing to engage in our priority zones, to ensure the practices farmers adopt do not have detrimental effect on the raw water we rely on to supply customers.  </w:t>
      </w:r>
      <w:r w:rsidR="00AF5729">
        <w:rPr>
          <w:rFonts w:cs="Arial"/>
        </w:rPr>
        <w:t>See Appendix 9.4.7.</w:t>
      </w:r>
    </w:p>
    <w:p w:rsidR="00487950" w:rsidRPr="00487950" w:rsidRDefault="00487950" w:rsidP="00487950">
      <w:pPr>
        <w:rPr>
          <w:rFonts w:cs="Arial"/>
        </w:rPr>
      </w:pPr>
      <w:r w:rsidRPr="00487950">
        <w:rPr>
          <w:rFonts w:cs="Arial"/>
        </w:rPr>
        <w:t>Customers agreed that it was more efficient to work with farmers to ensure raw water quality does not deteriorate rather than invest in more complex treatment processes</w:t>
      </w:r>
      <w:r w:rsidR="004E0666">
        <w:rPr>
          <w:rFonts w:cs="Arial"/>
        </w:rPr>
        <w:t>,</w:t>
      </w:r>
      <w:r w:rsidRPr="00487950">
        <w:rPr>
          <w:rFonts w:cs="Arial"/>
        </w:rPr>
        <w:t xml:space="preserve"> which are generally more energy intensive.  We will also engage with farmers more generally in our area to enhance the biodiversity of the region.</w:t>
      </w:r>
    </w:p>
    <w:p w:rsidR="00487950" w:rsidRPr="00487950" w:rsidRDefault="00487950" w:rsidP="00487950">
      <w:pPr>
        <w:rPr>
          <w:rFonts w:cs="Arial"/>
        </w:rPr>
      </w:pPr>
      <w:r w:rsidRPr="00487950">
        <w:rPr>
          <w:rFonts w:cs="Arial"/>
        </w:rPr>
        <w:t>There was also a strong customer appetite to reduce the impact of our abstraction on local rivers.  The Company explicitly extracts from one river, the Itchen though many of its water sources are indeed located close to a number of rivers in the area. Working with</w:t>
      </w:r>
      <w:r w:rsidR="00A407A5">
        <w:rPr>
          <w:rFonts w:cs="Arial"/>
        </w:rPr>
        <w:t xml:space="preserve"> the</w:t>
      </w:r>
      <w:r w:rsidRPr="00487950">
        <w:rPr>
          <w:rFonts w:cs="Arial"/>
        </w:rPr>
        <w:t xml:space="preserve"> Environment Agency in particular, we have developed our Abstraction Incentive Mechanism, AIM, which fulfils this customer expectation.</w:t>
      </w:r>
    </w:p>
    <w:p w:rsidR="00487950" w:rsidRDefault="00487950" w:rsidP="00487950">
      <w:pPr>
        <w:rPr>
          <w:rFonts w:cs="Arial"/>
        </w:rPr>
      </w:pPr>
      <w:r w:rsidRPr="00487950">
        <w:rPr>
          <w:rFonts w:cs="Arial"/>
        </w:rPr>
        <w:t xml:space="preserve">Finally, we will continue to look at the operations of our business, in particular the carbon we create </w:t>
      </w:r>
      <w:r w:rsidR="004E0666" w:rsidRPr="00487950">
        <w:rPr>
          <w:rFonts w:cs="Arial"/>
        </w:rPr>
        <w:t>because</w:t>
      </w:r>
      <w:r w:rsidRPr="00487950">
        <w:rPr>
          <w:rFonts w:cs="Arial"/>
        </w:rPr>
        <w:t xml:space="preserve"> </w:t>
      </w:r>
      <w:r w:rsidR="004E0666">
        <w:rPr>
          <w:rFonts w:cs="Arial"/>
        </w:rPr>
        <w:t>of treatment and pumping and</w:t>
      </w:r>
      <w:r w:rsidRPr="00487950">
        <w:rPr>
          <w:rFonts w:cs="Arial"/>
        </w:rPr>
        <w:t xml:space="preserve"> also travel of our staff.  Currently we have the lowest volume of carbon per unit of water delivered within the industry.  Our customers have challenged us to maintain this position.</w:t>
      </w:r>
    </w:p>
    <w:p w:rsidR="00762933" w:rsidRPr="00487950" w:rsidRDefault="00762933" w:rsidP="00487950">
      <w:pPr>
        <w:rPr>
          <w:rFonts w:cs="Arial"/>
        </w:rPr>
      </w:pPr>
      <w:r>
        <w:rPr>
          <w:rFonts w:cs="Arial"/>
        </w:rPr>
        <w:t>A summary of Customer Engagement and Triangulation can be found in Appendix 2.1.</w:t>
      </w:r>
    </w:p>
    <w:p w:rsidR="008B3495" w:rsidRDefault="008B3495">
      <w:pPr>
        <w:tabs>
          <w:tab w:val="clear" w:pos="851"/>
        </w:tabs>
        <w:spacing w:after="0"/>
        <w:ind w:left="0"/>
        <w:jc w:val="left"/>
        <w:rPr>
          <w:rFonts w:cs="Arial"/>
        </w:rPr>
      </w:pPr>
      <w:r>
        <w:rPr>
          <w:rFonts w:cs="Arial"/>
        </w:rPr>
        <w:br w:type="page"/>
      </w:r>
    </w:p>
    <w:p w:rsidR="006F1932" w:rsidRPr="009349B8" w:rsidRDefault="006F1932" w:rsidP="006F1932">
      <w:pPr>
        <w:rPr>
          <w:rFonts w:cs="Arial"/>
          <w:b/>
        </w:rPr>
      </w:pPr>
      <w:r>
        <w:rPr>
          <w:rFonts w:cs="Arial"/>
          <w:b/>
        </w:rPr>
        <w:t>Our Duties</w:t>
      </w:r>
      <w:r w:rsidR="005D4761">
        <w:rPr>
          <w:rFonts w:cs="Arial"/>
          <w:b/>
        </w:rPr>
        <w:t>,</w:t>
      </w:r>
      <w:r>
        <w:rPr>
          <w:rFonts w:cs="Arial"/>
          <w:b/>
        </w:rPr>
        <w:t xml:space="preserve"> Responsibilities and Expec</w:t>
      </w:r>
      <w:r w:rsidR="005D4761">
        <w:rPr>
          <w:rFonts w:cs="Arial"/>
          <w:b/>
        </w:rPr>
        <w:t>tations</w:t>
      </w:r>
    </w:p>
    <w:p w:rsidR="00487950" w:rsidRPr="00487950" w:rsidRDefault="00487950" w:rsidP="00487950">
      <w:pPr>
        <w:rPr>
          <w:rFonts w:cs="Arial"/>
        </w:rPr>
      </w:pPr>
      <w:r w:rsidRPr="00487950">
        <w:rPr>
          <w:rFonts w:cs="Arial"/>
        </w:rPr>
        <w:t xml:space="preserve">The Company has a number of statutory obligation in relation to protecting and promoting a resilient environment together with a number </w:t>
      </w:r>
      <w:r w:rsidR="004E0666">
        <w:rPr>
          <w:rFonts w:cs="Arial"/>
        </w:rPr>
        <w:t xml:space="preserve">of </w:t>
      </w:r>
      <w:r w:rsidRPr="00487950">
        <w:rPr>
          <w:rFonts w:cs="Arial"/>
        </w:rPr>
        <w:t xml:space="preserve">activities that are expected of us. The Environment Agency and Natural England set out these requirements in “Water Industry </w:t>
      </w:r>
      <w:r w:rsidR="00A407A5">
        <w:rPr>
          <w:rFonts w:cs="Arial"/>
        </w:rPr>
        <w:t>S</w:t>
      </w:r>
      <w:r w:rsidRPr="00487950">
        <w:rPr>
          <w:rFonts w:cs="Arial"/>
        </w:rPr>
        <w:t xml:space="preserve">trategic </w:t>
      </w:r>
      <w:r w:rsidR="00A407A5">
        <w:rPr>
          <w:rFonts w:cs="Arial"/>
        </w:rPr>
        <w:t>E</w:t>
      </w:r>
      <w:r w:rsidRPr="00487950">
        <w:rPr>
          <w:rFonts w:cs="Arial"/>
        </w:rPr>
        <w:t xml:space="preserve">nvironmental </w:t>
      </w:r>
      <w:r w:rsidR="00A407A5">
        <w:rPr>
          <w:rFonts w:cs="Arial"/>
        </w:rPr>
        <w:t>R</w:t>
      </w:r>
      <w:r w:rsidRPr="00487950">
        <w:rPr>
          <w:rFonts w:cs="Arial"/>
        </w:rPr>
        <w:t xml:space="preserve">equirements </w:t>
      </w:r>
      <w:r w:rsidR="00486865">
        <w:rPr>
          <w:rFonts w:cs="Arial"/>
        </w:rPr>
        <w:t>(</w:t>
      </w:r>
      <w:r w:rsidRPr="00487950">
        <w:rPr>
          <w:rFonts w:cs="Arial"/>
        </w:rPr>
        <w:t>WISER)”</w:t>
      </w:r>
      <w:r w:rsidR="00486865">
        <w:rPr>
          <w:rFonts w:cs="Arial"/>
        </w:rPr>
        <w:t xml:space="preserve">. </w:t>
      </w:r>
      <w:r w:rsidRPr="00487950">
        <w:rPr>
          <w:rFonts w:cs="Arial"/>
        </w:rPr>
        <w:t xml:space="preserve"> Matters relating to Water Resources and security of supply are dealt with in </w:t>
      </w:r>
      <w:r w:rsidR="00212458">
        <w:rPr>
          <w:rFonts w:cs="Arial"/>
        </w:rPr>
        <w:t xml:space="preserve">Sections </w:t>
      </w:r>
      <w:r w:rsidR="00212458" w:rsidRPr="005D4761">
        <w:rPr>
          <w:rFonts w:cs="Arial"/>
        </w:rPr>
        <w:t>3.5 and 3.6</w:t>
      </w:r>
      <w:r w:rsidRPr="00487950">
        <w:rPr>
          <w:rFonts w:cs="Arial"/>
        </w:rPr>
        <w:t xml:space="preserve"> of the plan, and there is a full explanation of how all the </w:t>
      </w:r>
      <w:r w:rsidR="004E0666">
        <w:rPr>
          <w:rFonts w:cs="Arial"/>
        </w:rPr>
        <w:t xml:space="preserve">WISER expectations are met in </w:t>
      </w:r>
      <w:r w:rsidR="00427C3F" w:rsidRPr="00011015">
        <w:rPr>
          <w:rFonts w:cs="Arial"/>
        </w:rPr>
        <w:t>Appendix</w:t>
      </w:r>
      <w:r w:rsidRPr="00011015">
        <w:rPr>
          <w:rFonts w:cs="Arial"/>
        </w:rPr>
        <w:t xml:space="preserve"> </w:t>
      </w:r>
      <w:r w:rsidR="00011015" w:rsidRPr="00011015">
        <w:rPr>
          <w:rFonts w:cs="Arial"/>
        </w:rPr>
        <w:t>3.8</w:t>
      </w:r>
      <w:r w:rsidR="004E0666">
        <w:rPr>
          <w:rFonts w:cs="Arial"/>
        </w:rPr>
        <w:t>.</w:t>
      </w:r>
      <w:r w:rsidRPr="00487950">
        <w:rPr>
          <w:rFonts w:cs="Arial"/>
        </w:rPr>
        <w:t xml:space="preserve"> We have also agreed a series of actions with the </w:t>
      </w:r>
      <w:r w:rsidR="004E0666" w:rsidRPr="00487950">
        <w:rPr>
          <w:rFonts w:cs="Arial"/>
        </w:rPr>
        <w:t>Environment</w:t>
      </w:r>
      <w:r w:rsidRPr="00487950">
        <w:rPr>
          <w:rFonts w:cs="Arial"/>
        </w:rPr>
        <w:t xml:space="preserve"> Agency under the Water Industry</w:t>
      </w:r>
      <w:r w:rsidR="00A407A5">
        <w:rPr>
          <w:rFonts w:cs="Arial"/>
        </w:rPr>
        <w:t xml:space="preserve"> National</w:t>
      </w:r>
      <w:r w:rsidRPr="00487950">
        <w:rPr>
          <w:rFonts w:cs="Arial"/>
        </w:rPr>
        <w:t xml:space="preserve"> Environment Programme (WINEP), the majority of which are fulfilled by the actions detailed below. A full list of WINEP schemes is contained in </w:t>
      </w:r>
      <w:r w:rsidR="00427C3F" w:rsidRPr="00011015">
        <w:rPr>
          <w:rFonts w:cs="Arial"/>
        </w:rPr>
        <w:t>Appendix</w:t>
      </w:r>
      <w:r w:rsidRPr="00011015">
        <w:rPr>
          <w:rFonts w:cs="Arial"/>
        </w:rPr>
        <w:t xml:space="preserve"> </w:t>
      </w:r>
      <w:r w:rsidR="00011015">
        <w:rPr>
          <w:rFonts w:cs="Arial"/>
        </w:rPr>
        <w:t>3.7</w:t>
      </w:r>
      <w:r w:rsidR="004E0666">
        <w:rPr>
          <w:rFonts w:cs="Arial"/>
        </w:rPr>
        <w:t>.</w:t>
      </w:r>
    </w:p>
    <w:p w:rsidR="00487950" w:rsidRPr="00487950" w:rsidRDefault="00487950" w:rsidP="00487950">
      <w:pPr>
        <w:rPr>
          <w:rFonts w:cs="Arial"/>
        </w:rPr>
      </w:pPr>
      <w:r w:rsidRPr="00487950">
        <w:rPr>
          <w:rFonts w:cs="Arial"/>
        </w:rPr>
        <w:t>The customer support for this outcome is associated with enhancing our ‘business as usual’ activity</w:t>
      </w:r>
      <w:r w:rsidR="00212458">
        <w:rPr>
          <w:rFonts w:cs="Arial"/>
        </w:rPr>
        <w:t>.</w:t>
      </w:r>
      <w:r w:rsidRPr="00487950">
        <w:rPr>
          <w:rFonts w:cs="Arial"/>
        </w:rPr>
        <w:t xml:space="preserve"> This section specifically considers four areas of business as usual activity where we will be delivering environmental improvements – biodiversity, </w:t>
      </w:r>
      <w:r w:rsidR="00486865">
        <w:rPr>
          <w:rFonts w:cs="Arial"/>
        </w:rPr>
        <w:t>C</w:t>
      </w:r>
      <w:r w:rsidRPr="00487950">
        <w:rPr>
          <w:rFonts w:cs="Arial"/>
        </w:rPr>
        <w:t xml:space="preserve">atchment </w:t>
      </w:r>
      <w:r w:rsidR="00486865">
        <w:rPr>
          <w:rFonts w:cs="Arial"/>
        </w:rPr>
        <w:t>M</w:t>
      </w:r>
      <w:r w:rsidRPr="00487950">
        <w:rPr>
          <w:rFonts w:cs="Arial"/>
        </w:rPr>
        <w:t xml:space="preserve">anagement, the management of a sustainable abstraction regime and carbon reduction. There </w:t>
      </w:r>
      <w:r w:rsidR="004E0666">
        <w:rPr>
          <w:rFonts w:cs="Arial"/>
        </w:rPr>
        <w:t>is also an activity to protect e</w:t>
      </w:r>
      <w:r w:rsidRPr="00487950">
        <w:rPr>
          <w:rFonts w:cs="Arial"/>
        </w:rPr>
        <w:t>els, at a river source</w:t>
      </w:r>
      <w:r w:rsidR="004E0666">
        <w:rPr>
          <w:rFonts w:cs="Arial"/>
        </w:rPr>
        <w:t>,</w:t>
      </w:r>
      <w:r w:rsidRPr="00487950">
        <w:rPr>
          <w:rFonts w:cs="Arial"/>
        </w:rPr>
        <w:t xml:space="preserve"> which is required under Environment regulations.</w:t>
      </w:r>
    </w:p>
    <w:p w:rsidR="00C07CAE" w:rsidRDefault="00C07CAE" w:rsidP="00B44ED5">
      <w:pPr>
        <w:pStyle w:val="Heading3"/>
      </w:pPr>
      <w:bookmarkStart w:id="82" w:name="_Toc522199988"/>
      <w:bookmarkStart w:id="83" w:name="_Toc522200085"/>
      <w:bookmarkStart w:id="84" w:name="_Toc523651267"/>
      <w:r w:rsidRPr="00AB4954">
        <w:t>Delivering outcomes for customers</w:t>
      </w:r>
      <w:bookmarkEnd w:id="82"/>
      <w:bookmarkEnd w:id="83"/>
      <w:bookmarkEnd w:id="84"/>
    </w:p>
    <w:p w:rsidR="00D37A94" w:rsidRPr="00D37A94" w:rsidRDefault="00212458" w:rsidP="00D37A94">
      <w:r>
        <w:t>Four Performance C</w:t>
      </w:r>
      <w:r w:rsidR="00D37A94">
        <w:t>ommitments underpin this outcome.</w:t>
      </w:r>
    </w:p>
    <w:p w:rsidR="00487950" w:rsidRPr="009349B8" w:rsidRDefault="00800C5D" w:rsidP="00487950">
      <w:pPr>
        <w:rPr>
          <w:rFonts w:cs="Arial"/>
          <w:b/>
        </w:rPr>
      </w:pPr>
      <w:r>
        <w:rPr>
          <w:rFonts w:cs="Arial"/>
          <w:b/>
        </w:rPr>
        <w:t>1.</w:t>
      </w:r>
      <w:r>
        <w:rPr>
          <w:rFonts w:cs="Arial"/>
          <w:b/>
        </w:rPr>
        <w:tab/>
      </w:r>
      <w:r w:rsidR="00487950" w:rsidRPr="009349B8">
        <w:rPr>
          <w:rFonts w:cs="Arial"/>
          <w:b/>
        </w:rPr>
        <w:t>Biodiversity</w:t>
      </w:r>
    </w:p>
    <w:tbl>
      <w:tblPr>
        <w:tblStyle w:val="TableGrid"/>
        <w:tblW w:w="8783" w:type="dxa"/>
        <w:tblInd w:w="851" w:type="dxa"/>
        <w:tblLayout w:type="fixed"/>
        <w:tblLook w:val="04A0" w:firstRow="1" w:lastRow="0" w:firstColumn="1" w:lastColumn="0" w:noHBand="0" w:noVBand="1"/>
      </w:tblPr>
      <w:tblGrid>
        <w:gridCol w:w="2263"/>
        <w:gridCol w:w="709"/>
        <w:gridCol w:w="1701"/>
        <w:gridCol w:w="1606"/>
        <w:gridCol w:w="1654"/>
        <w:gridCol w:w="850"/>
      </w:tblGrid>
      <w:tr w:rsidR="00800C5D" w:rsidRPr="007B7FE8" w:rsidTr="00A407A5">
        <w:tc>
          <w:tcPr>
            <w:tcW w:w="2263" w:type="dxa"/>
            <w:shd w:val="clear" w:color="auto" w:fill="2E74B5" w:themeFill="accent1" w:themeFillShade="BF"/>
          </w:tcPr>
          <w:p w:rsidR="00800C5D" w:rsidRPr="007B7FE8" w:rsidRDefault="00800C5D" w:rsidP="00800C5D">
            <w:pPr>
              <w:spacing w:after="0"/>
              <w:ind w:left="0"/>
              <w:rPr>
                <w:sz w:val="16"/>
                <w:szCs w:val="16"/>
              </w:rPr>
            </w:pPr>
            <w:r w:rsidRPr="007B7FE8">
              <w:rPr>
                <w:b/>
                <w:bCs/>
                <w:color w:val="FFFFFF" w:themeColor="background1"/>
                <w:sz w:val="16"/>
                <w:szCs w:val="16"/>
              </w:rPr>
              <w:t>Performance Commitment</w:t>
            </w:r>
          </w:p>
        </w:tc>
        <w:tc>
          <w:tcPr>
            <w:tcW w:w="709" w:type="dxa"/>
            <w:shd w:val="clear" w:color="auto" w:fill="2E74B5" w:themeFill="accent1" w:themeFillShade="BF"/>
          </w:tcPr>
          <w:p w:rsidR="00800C5D" w:rsidRPr="007B7FE8" w:rsidRDefault="00800C5D" w:rsidP="00800C5D">
            <w:pPr>
              <w:spacing w:before="20" w:after="20"/>
              <w:ind w:left="0"/>
              <w:jc w:val="center"/>
              <w:rPr>
                <w:b/>
                <w:bCs/>
                <w:color w:val="FFFFFF" w:themeColor="background1"/>
                <w:sz w:val="16"/>
                <w:szCs w:val="16"/>
              </w:rPr>
            </w:pPr>
            <w:r w:rsidRPr="007B7FE8">
              <w:rPr>
                <w:b/>
                <w:bCs/>
                <w:color w:val="FFFFFF" w:themeColor="background1"/>
                <w:sz w:val="16"/>
                <w:szCs w:val="16"/>
              </w:rPr>
              <w:t>Type</w:t>
            </w:r>
          </w:p>
        </w:tc>
        <w:tc>
          <w:tcPr>
            <w:tcW w:w="1701" w:type="dxa"/>
            <w:shd w:val="clear" w:color="auto" w:fill="2E74B5" w:themeFill="accent1" w:themeFillShade="BF"/>
          </w:tcPr>
          <w:p w:rsidR="00800C5D" w:rsidRPr="007B7FE8" w:rsidRDefault="00800C5D" w:rsidP="00800C5D">
            <w:pPr>
              <w:spacing w:after="0"/>
              <w:ind w:left="0"/>
              <w:rPr>
                <w:b/>
                <w:color w:val="FFFFFF" w:themeColor="background1"/>
                <w:sz w:val="16"/>
                <w:szCs w:val="16"/>
              </w:rPr>
            </w:pPr>
            <w:r w:rsidRPr="007B7FE8">
              <w:rPr>
                <w:b/>
                <w:color w:val="FFFFFF" w:themeColor="background1"/>
                <w:sz w:val="16"/>
                <w:szCs w:val="16"/>
              </w:rPr>
              <w:t>AMP6 Performance</w:t>
            </w:r>
          </w:p>
        </w:tc>
        <w:tc>
          <w:tcPr>
            <w:tcW w:w="1606" w:type="dxa"/>
            <w:shd w:val="clear" w:color="auto" w:fill="2E74B5" w:themeFill="accent1" w:themeFillShade="BF"/>
          </w:tcPr>
          <w:p w:rsidR="00800C5D" w:rsidRPr="007B7FE8" w:rsidRDefault="00800C5D" w:rsidP="00800C5D">
            <w:pPr>
              <w:spacing w:after="0"/>
              <w:ind w:left="0"/>
              <w:rPr>
                <w:b/>
                <w:color w:val="FFFFFF" w:themeColor="background1"/>
                <w:sz w:val="16"/>
                <w:szCs w:val="16"/>
              </w:rPr>
            </w:pPr>
            <w:r w:rsidRPr="007B7FE8">
              <w:rPr>
                <w:b/>
                <w:color w:val="FFFFFF" w:themeColor="background1"/>
                <w:sz w:val="16"/>
                <w:szCs w:val="16"/>
              </w:rPr>
              <w:t>2024/25 Target</w:t>
            </w:r>
          </w:p>
        </w:tc>
        <w:tc>
          <w:tcPr>
            <w:tcW w:w="1654" w:type="dxa"/>
            <w:shd w:val="clear" w:color="auto" w:fill="2E74B5" w:themeFill="accent1" w:themeFillShade="BF"/>
          </w:tcPr>
          <w:p w:rsidR="00800C5D" w:rsidRPr="007B7FE8" w:rsidRDefault="00800C5D" w:rsidP="00800C5D">
            <w:pPr>
              <w:spacing w:after="0"/>
              <w:ind w:left="0"/>
              <w:rPr>
                <w:b/>
                <w:color w:val="FFFFFF" w:themeColor="background1"/>
                <w:sz w:val="16"/>
                <w:szCs w:val="16"/>
              </w:rPr>
            </w:pPr>
            <w:r w:rsidRPr="007B7FE8">
              <w:rPr>
                <w:b/>
                <w:color w:val="FFFFFF" w:themeColor="background1"/>
                <w:sz w:val="16"/>
                <w:szCs w:val="16"/>
              </w:rPr>
              <w:t>2034/35 Target</w:t>
            </w:r>
          </w:p>
        </w:tc>
        <w:tc>
          <w:tcPr>
            <w:tcW w:w="850" w:type="dxa"/>
            <w:shd w:val="clear" w:color="auto" w:fill="2E74B5" w:themeFill="accent1" w:themeFillShade="BF"/>
          </w:tcPr>
          <w:p w:rsidR="00800C5D" w:rsidRPr="007B7FE8" w:rsidRDefault="00800C5D" w:rsidP="00800C5D">
            <w:pPr>
              <w:spacing w:after="0"/>
              <w:ind w:left="0"/>
              <w:jc w:val="center"/>
              <w:rPr>
                <w:b/>
                <w:color w:val="FFFFFF" w:themeColor="background1"/>
                <w:sz w:val="16"/>
                <w:szCs w:val="16"/>
              </w:rPr>
            </w:pPr>
            <w:r w:rsidRPr="007B7FE8">
              <w:rPr>
                <w:b/>
                <w:color w:val="FFFFFF" w:themeColor="background1"/>
                <w:sz w:val="16"/>
                <w:szCs w:val="16"/>
              </w:rPr>
              <w:t>Reward/Penalty</w:t>
            </w:r>
          </w:p>
        </w:tc>
      </w:tr>
      <w:tr w:rsidR="00A407A5" w:rsidRPr="007B7FE8" w:rsidTr="000844DD">
        <w:tc>
          <w:tcPr>
            <w:tcW w:w="2263" w:type="dxa"/>
            <w:vMerge w:val="restart"/>
          </w:tcPr>
          <w:p w:rsidR="00A407A5" w:rsidRPr="007B7FE8" w:rsidRDefault="00A407A5" w:rsidP="00A407A5">
            <w:pPr>
              <w:spacing w:before="20" w:after="20"/>
              <w:ind w:left="0"/>
              <w:rPr>
                <w:sz w:val="16"/>
                <w:szCs w:val="16"/>
              </w:rPr>
            </w:pPr>
            <w:r w:rsidRPr="007B7FE8">
              <w:rPr>
                <w:sz w:val="16"/>
                <w:szCs w:val="16"/>
              </w:rPr>
              <w:t>Biodiversity</w:t>
            </w:r>
          </w:p>
        </w:tc>
        <w:tc>
          <w:tcPr>
            <w:tcW w:w="709" w:type="dxa"/>
            <w:vMerge w:val="restart"/>
          </w:tcPr>
          <w:p w:rsidR="00A407A5" w:rsidRPr="007B7FE8" w:rsidRDefault="00A407A5" w:rsidP="00A407A5">
            <w:pPr>
              <w:spacing w:before="20" w:after="20"/>
              <w:ind w:left="0"/>
              <w:jc w:val="center"/>
              <w:rPr>
                <w:sz w:val="16"/>
                <w:szCs w:val="16"/>
              </w:rPr>
            </w:pPr>
            <w:r w:rsidRPr="007B7FE8">
              <w:rPr>
                <w:sz w:val="16"/>
                <w:szCs w:val="16"/>
              </w:rPr>
              <w:t>B</w:t>
            </w:r>
          </w:p>
        </w:tc>
        <w:tc>
          <w:tcPr>
            <w:tcW w:w="1701" w:type="dxa"/>
          </w:tcPr>
          <w:p w:rsidR="00A407A5" w:rsidRPr="007B7FE8" w:rsidRDefault="00A407A5" w:rsidP="00A407A5">
            <w:pPr>
              <w:spacing w:after="0"/>
              <w:ind w:left="0"/>
              <w:jc w:val="left"/>
              <w:rPr>
                <w:sz w:val="16"/>
                <w:szCs w:val="16"/>
              </w:rPr>
            </w:pPr>
            <w:r>
              <w:rPr>
                <w:sz w:val="16"/>
                <w:szCs w:val="16"/>
              </w:rPr>
              <w:t>n/a</w:t>
            </w:r>
          </w:p>
        </w:tc>
        <w:tc>
          <w:tcPr>
            <w:tcW w:w="1606" w:type="dxa"/>
          </w:tcPr>
          <w:p w:rsidR="00A407A5" w:rsidRPr="007B7FE8" w:rsidRDefault="00A407A5" w:rsidP="00A407A5">
            <w:pPr>
              <w:spacing w:after="0"/>
              <w:ind w:left="0"/>
              <w:jc w:val="left"/>
              <w:rPr>
                <w:sz w:val="16"/>
                <w:szCs w:val="16"/>
              </w:rPr>
            </w:pPr>
            <w:r w:rsidRPr="007B7FE8">
              <w:rPr>
                <w:sz w:val="16"/>
                <w:szCs w:val="16"/>
              </w:rPr>
              <w:t>Grant Scheme take up</w:t>
            </w:r>
          </w:p>
        </w:tc>
        <w:tc>
          <w:tcPr>
            <w:tcW w:w="1654" w:type="dxa"/>
          </w:tcPr>
          <w:p w:rsidR="00A407A5" w:rsidRPr="007B7FE8" w:rsidRDefault="00A407A5" w:rsidP="00A407A5">
            <w:pPr>
              <w:spacing w:after="0"/>
              <w:ind w:left="0"/>
              <w:jc w:val="left"/>
              <w:rPr>
                <w:sz w:val="16"/>
                <w:szCs w:val="16"/>
              </w:rPr>
            </w:pPr>
            <w:r w:rsidRPr="007B7FE8">
              <w:rPr>
                <w:sz w:val="16"/>
                <w:szCs w:val="16"/>
              </w:rPr>
              <w:t>Grant Scheme take up</w:t>
            </w:r>
          </w:p>
        </w:tc>
        <w:tc>
          <w:tcPr>
            <w:tcW w:w="850" w:type="dxa"/>
          </w:tcPr>
          <w:p w:rsidR="00A407A5" w:rsidRPr="007B7FE8" w:rsidRDefault="00A407A5" w:rsidP="00A407A5">
            <w:pPr>
              <w:spacing w:after="0"/>
              <w:ind w:left="0"/>
              <w:jc w:val="center"/>
              <w:rPr>
                <w:sz w:val="16"/>
                <w:szCs w:val="16"/>
              </w:rPr>
            </w:pPr>
            <w:r w:rsidRPr="007B7FE8">
              <w:rPr>
                <w:sz w:val="16"/>
                <w:szCs w:val="16"/>
              </w:rPr>
              <w:t>R</w:t>
            </w:r>
          </w:p>
        </w:tc>
      </w:tr>
      <w:tr w:rsidR="00A407A5" w:rsidRPr="007B7FE8" w:rsidTr="000844DD">
        <w:tc>
          <w:tcPr>
            <w:tcW w:w="2263" w:type="dxa"/>
            <w:vMerge/>
          </w:tcPr>
          <w:p w:rsidR="00A407A5" w:rsidRPr="007B7FE8" w:rsidRDefault="00A407A5" w:rsidP="00A407A5">
            <w:pPr>
              <w:spacing w:before="20" w:after="20"/>
              <w:ind w:left="0"/>
              <w:rPr>
                <w:sz w:val="16"/>
                <w:szCs w:val="16"/>
              </w:rPr>
            </w:pPr>
          </w:p>
        </w:tc>
        <w:tc>
          <w:tcPr>
            <w:tcW w:w="709" w:type="dxa"/>
            <w:vMerge/>
          </w:tcPr>
          <w:p w:rsidR="00A407A5" w:rsidRPr="007B7FE8" w:rsidRDefault="00A407A5" w:rsidP="00A407A5">
            <w:pPr>
              <w:spacing w:before="20" w:after="20"/>
              <w:ind w:left="0"/>
              <w:jc w:val="center"/>
              <w:rPr>
                <w:sz w:val="16"/>
                <w:szCs w:val="16"/>
              </w:rPr>
            </w:pPr>
          </w:p>
        </w:tc>
        <w:tc>
          <w:tcPr>
            <w:tcW w:w="1701" w:type="dxa"/>
          </w:tcPr>
          <w:p w:rsidR="00A407A5" w:rsidRPr="007B7FE8" w:rsidRDefault="00A407A5" w:rsidP="00A407A5">
            <w:pPr>
              <w:spacing w:after="0"/>
              <w:ind w:left="0"/>
              <w:jc w:val="left"/>
              <w:rPr>
                <w:sz w:val="16"/>
                <w:szCs w:val="16"/>
              </w:rPr>
            </w:pPr>
            <w:r w:rsidRPr="007B7FE8">
              <w:rPr>
                <w:sz w:val="16"/>
                <w:szCs w:val="16"/>
              </w:rPr>
              <w:t>Sites assessed in good stewardship by Natural England</w:t>
            </w:r>
          </w:p>
        </w:tc>
        <w:tc>
          <w:tcPr>
            <w:tcW w:w="1606" w:type="dxa"/>
          </w:tcPr>
          <w:p w:rsidR="00A407A5" w:rsidRPr="007B7FE8" w:rsidRDefault="00A407A5" w:rsidP="00A407A5">
            <w:pPr>
              <w:spacing w:after="0"/>
              <w:ind w:left="0"/>
              <w:jc w:val="left"/>
              <w:rPr>
                <w:sz w:val="16"/>
                <w:szCs w:val="16"/>
              </w:rPr>
            </w:pPr>
            <w:r w:rsidRPr="007B7FE8">
              <w:rPr>
                <w:sz w:val="16"/>
                <w:szCs w:val="16"/>
              </w:rPr>
              <w:t>Our sites assessed as good stewardship by Natural England</w:t>
            </w:r>
          </w:p>
        </w:tc>
        <w:tc>
          <w:tcPr>
            <w:tcW w:w="1654" w:type="dxa"/>
          </w:tcPr>
          <w:p w:rsidR="00A407A5" w:rsidRPr="007B7FE8" w:rsidRDefault="00A407A5" w:rsidP="00A407A5">
            <w:pPr>
              <w:spacing w:after="0"/>
              <w:ind w:left="0"/>
              <w:jc w:val="left"/>
              <w:rPr>
                <w:sz w:val="16"/>
                <w:szCs w:val="16"/>
              </w:rPr>
            </w:pPr>
            <w:r w:rsidRPr="007B7FE8">
              <w:rPr>
                <w:sz w:val="16"/>
                <w:szCs w:val="16"/>
              </w:rPr>
              <w:t>Our sites assessed as good stewardship by Natural England</w:t>
            </w:r>
          </w:p>
        </w:tc>
        <w:tc>
          <w:tcPr>
            <w:tcW w:w="850" w:type="dxa"/>
          </w:tcPr>
          <w:p w:rsidR="00A407A5" w:rsidRPr="007B7FE8" w:rsidRDefault="00A407A5" w:rsidP="00A407A5">
            <w:pPr>
              <w:spacing w:after="0"/>
              <w:ind w:left="0"/>
              <w:jc w:val="center"/>
              <w:rPr>
                <w:sz w:val="16"/>
                <w:szCs w:val="16"/>
              </w:rPr>
            </w:pPr>
            <w:r>
              <w:rPr>
                <w:sz w:val="16"/>
                <w:szCs w:val="16"/>
              </w:rPr>
              <w:t>P</w:t>
            </w:r>
          </w:p>
        </w:tc>
      </w:tr>
    </w:tbl>
    <w:p w:rsidR="001F3FA5" w:rsidRDefault="001F3FA5" w:rsidP="001F3FA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800C5D" w:rsidRDefault="00800C5D" w:rsidP="00800C5D">
      <w:r>
        <w:t xml:space="preserve">This is a bespoke </w:t>
      </w:r>
      <w:r w:rsidR="00451E46">
        <w:t>P</w:t>
      </w:r>
      <w:r>
        <w:t xml:space="preserve">erformance </w:t>
      </w:r>
      <w:r w:rsidR="00451E46">
        <w:t>C</w:t>
      </w:r>
      <w:r>
        <w:t xml:space="preserve">ommitment with both a reward and penalty. </w:t>
      </w:r>
    </w:p>
    <w:p w:rsidR="00800C5D" w:rsidRPr="009349B8" w:rsidRDefault="00800C5D" w:rsidP="00800C5D">
      <w:pPr>
        <w:rPr>
          <w:rFonts w:cs="Arial"/>
        </w:rPr>
      </w:pPr>
      <w:r w:rsidRPr="009349B8">
        <w:rPr>
          <w:rFonts w:cs="Arial"/>
        </w:rPr>
        <w:t>We have a legal obligation to enhance the biodiversity across the land that we own. Associated with this we have an active Biodiversity Action Plan which includes activities associated with Habitat Action Plans covering hedgerows, trees and woodland, grassland, streams and ponds; and individual Species Action Plans covering bats, badgers, dormice, reptiles, great crested newts and birds.</w:t>
      </w:r>
    </w:p>
    <w:p w:rsidR="00800C5D" w:rsidRDefault="00800C5D" w:rsidP="00800C5D">
      <w:pPr>
        <w:rPr>
          <w:rFonts w:cs="Arial"/>
        </w:rPr>
      </w:pPr>
      <w:r w:rsidRPr="009349B8">
        <w:rPr>
          <w:rFonts w:cs="Arial"/>
        </w:rPr>
        <w:t xml:space="preserve">However, our customer engagement work has identified a clear desire for Portsmouth Water to address biodiversity and wider environmental improvements beyond our own landholdings. </w:t>
      </w:r>
    </w:p>
    <w:p w:rsidR="00800C5D" w:rsidRPr="009A2FEB" w:rsidRDefault="00800C5D" w:rsidP="00800C5D">
      <w:pPr>
        <w:rPr>
          <w:b/>
        </w:rPr>
      </w:pPr>
      <w:r w:rsidRPr="009A2FEB">
        <w:rPr>
          <w:b/>
        </w:rPr>
        <w:t xml:space="preserve">We will </w:t>
      </w:r>
      <w:r>
        <w:rPr>
          <w:b/>
        </w:rPr>
        <w:t xml:space="preserve">therefore </w:t>
      </w:r>
      <w:r w:rsidRPr="009A2FEB">
        <w:rPr>
          <w:b/>
        </w:rPr>
        <w:t>continue with our activities on our own land, but in recognition that customers expressed a desire for us to go further and beyond our own land holdings, we will establish a grants schem</w:t>
      </w:r>
      <w:r>
        <w:rPr>
          <w:b/>
        </w:rPr>
        <w:t>e</w:t>
      </w:r>
      <w:r w:rsidRPr="009A2FEB">
        <w:rPr>
          <w:b/>
        </w:rPr>
        <w:t>, to be used for:</w:t>
      </w:r>
    </w:p>
    <w:p w:rsidR="00800C5D" w:rsidRPr="009A2FEB" w:rsidRDefault="00800C5D" w:rsidP="00800C5D">
      <w:pPr>
        <w:pStyle w:val="Bullets"/>
      </w:pPr>
      <w:r w:rsidRPr="009A2FEB">
        <w:t>priority biodiversity projects identified on Portsmouth Water owned or tenanted land, or</w:t>
      </w:r>
    </w:p>
    <w:p w:rsidR="00800C5D" w:rsidRDefault="00800C5D" w:rsidP="00800C5D">
      <w:pPr>
        <w:pStyle w:val="Bullets"/>
      </w:pPr>
      <w:r w:rsidRPr="009A2FEB">
        <w:t>capital grant scheme for biodiversity or knowledge enhancement projects located within our catchments</w:t>
      </w:r>
    </w:p>
    <w:p w:rsidR="00800C5D" w:rsidRPr="009A2FEB" w:rsidRDefault="00800C5D" w:rsidP="00800C5D">
      <w:pPr>
        <w:pStyle w:val="Bullets"/>
        <w:numPr>
          <w:ilvl w:val="0"/>
          <w:numId w:val="0"/>
        </w:numPr>
        <w:ind w:left="1848"/>
      </w:pPr>
    </w:p>
    <w:p w:rsidR="00800C5D" w:rsidRPr="009A2FEB" w:rsidRDefault="00800C5D" w:rsidP="00800C5D">
      <w:r w:rsidRPr="009A2FEB">
        <w:t>To obtain funding the project must have a link to the business in some way, for example</w:t>
      </w:r>
      <w:r w:rsidR="004E0666">
        <w:t>,</w:t>
      </w:r>
      <w:r w:rsidRPr="009A2FEB">
        <w:t xml:space="preserve"> biodiversity</w:t>
      </w:r>
      <w:r w:rsidR="004E0666">
        <w:t>,</w:t>
      </w:r>
      <w:r w:rsidRPr="009A2FEB">
        <w:t xml:space="preserve"> catchment enhancement, water benefit, wetland enhancement or a protected species relevant to a Company site.</w:t>
      </w:r>
    </w:p>
    <w:p w:rsidR="00800C5D" w:rsidRPr="009A2FEB" w:rsidRDefault="00800C5D" w:rsidP="00800C5D">
      <w:r w:rsidRPr="009A2FEB">
        <w:t xml:space="preserve">We therefore propose two </w:t>
      </w:r>
      <w:r w:rsidR="00212458">
        <w:t xml:space="preserve">elements to this </w:t>
      </w:r>
      <w:r w:rsidRPr="009A2FEB">
        <w:t>ODI, one penalty only and one reward only, the latter where we go beyond our legal requirement. These are</w:t>
      </w:r>
    </w:p>
    <w:p w:rsidR="00800C5D" w:rsidRPr="009A2FEB" w:rsidRDefault="00800C5D" w:rsidP="00800C5D">
      <w:r w:rsidRPr="009A2FEB">
        <w:rPr>
          <w:b/>
        </w:rPr>
        <w:t>90% of sites with identified priority habitat to be in favourable management each year, and over the 5-year period, unless there are extenuating circumstances for that priority habitat not being managed</w:t>
      </w:r>
      <w:r w:rsidRPr="009A2FEB">
        <w:rPr>
          <w:b/>
          <w:i/>
        </w:rPr>
        <w:t xml:space="preserve">.  </w:t>
      </w:r>
      <w:r w:rsidRPr="009A2FEB">
        <w:t>Penalty only</w:t>
      </w:r>
    </w:p>
    <w:p w:rsidR="00800C5D" w:rsidRPr="009A2FEB" w:rsidRDefault="00800C5D" w:rsidP="00800C5D">
      <w:r w:rsidRPr="009A2FEB">
        <w:rPr>
          <w:b/>
        </w:rPr>
        <w:t xml:space="preserve">Establish a biodiversity fund equivalent to the value of £250,000 to deliver biodiversity enhancement projects.  </w:t>
      </w:r>
      <w:r w:rsidRPr="009A2FEB">
        <w:t>Reward only.</w:t>
      </w:r>
    </w:p>
    <w:p w:rsidR="00487950" w:rsidRDefault="00800C5D" w:rsidP="00487950">
      <w:pPr>
        <w:rPr>
          <w:rFonts w:cs="Arial"/>
          <w:b/>
        </w:rPr>
      </w:pPr>
      <w:r>
        <w:rPr>
          <w:rFonts w:cs="Arial"/>
          <w:b/>
        </w:rPr>
        <w:t>2.</w:t>
      </w:r>
      <w:r>
        <w:rPr>
          <w:rFonts w:cs="Arial"/>
          <w:b/>
        </w:rPr>
        <w:tab/>
      </w:r>
      <w:r w:rsidR="00487950" w:rsidRPr="009349B8">
        <w:rPr>
          <w:rFonts w:cs="Arial"/>
          <w:b/>
        </w:rPr>
        <w:t xml:space="preserve">Catchment Management </w:t>
      </w:r>
    </w:p>
    <w:tbl>
      <w:tblPr>
        <w:tblStyle w:val="TableGrid"/>
        <w:tblW w:w="8783" w:type="dxa"/>
        <w:tblInd w:w="851" w:type="dxa"/>
        <w:tblLayout w:type="fixed"/>
        <w:tblLook w:val="04A0" w:firstRow="1" w:lastRow="0" w:firstColumn="1" w:lastColumn="0" w:noHBand="0" w:noVBand="1"/>
      </w:tblPr>
      <w:tblGrid>
        <w:gridCol w:w="2405"/>
        <w:gridCol w:w="708"/>
        <w:gridCol w:w="1418"/>
        <w:gridCol w:w="1748"/>
        <w:gridCol w:w="1654"/>
        <w:gridCol w:w="850"/>
      </w:tblGrid>
      <w:tr w:rsidR="00800C5D" w:rsidRPr="007B7FE8" w:rsidTr="007B7FE8">
        <w:tc>
          <w:tcPr>
            <w:tcW w:w="2405" w:type="dxa"/>
            <w:shd w:val="clear" w:color="auto" w:fill="2E74B5" w:themeFill="accent1" w:themeFillShade="BF"/>
          </w:tcPr>
          <w:p w:rsidR="00800C5D" w:rsidRPr="007B7FE8" w:rsidRDefault="00800C5D" w:rsidP="00800C5D">
            <w:pPr>
              <w:spacing w:after="0"/>
              <w:ind w:left="0"/>
              <w:rPr>
                <w:sz w:val="16"/>
                <w:szCs w:val="16"/>
              </w:rPr>
            </w:pPr>
            <w:r w:rsidRPr="007B7FE8">
              <w:rPr>
                <w:b/>
                <w:bCs/>
                <w:color w:val="FFFFFF" w:themeColor="background1"/>
                <w:sz w:val="16"/>
                <w:szCs w:val="16"/>
              </w:rPr>
              <w:t>Performance Commitment</w:t>
            </w:r>
          </w:p>
        </w:tc>
        <w:tc>
          <w:tcPr>
            <w:tcW w:w="708" w:type="dxa"/>
            <w:shd w:val="clear" w:color="auto" w:fill="2E74B5" w:themeFill="accent1" w:themeFillShade="BF"/>
          </w:tcPr>
          <w:p w:rsidR="00800C5D" w:rsidRPr="007B7FE8" w:rsidRDefault="00800C5D" w:rsidP="00800C5D">
            <w:pPr>
              <w:spacing w:before="20" w:after="20"/>
              <w:ind w:left="0"/>
              <w:jc w:val="center"/>
              <w:rPr>
                <w:b/>
                <w:bCs/>
                <w:color w:val="FFFFFF" w:themeColor="background1"/>
                <w:sz w:val="16"/>
                <w:szCs w:val="16"/>
              </w:rPr>
            </w:pPr>
            <w:r w:rsidRPr="007B7FE8">
              <w:rPr>
                <w:b/>
                <w:bCs/>
                <w:color w:val="FFFFFF" w:themeColor="background1"/>
                <w:sz w:val="16"/>
                <w:szCs w:val="16"/>
              </w:rPr>
              <w:t>Type</w:t>
            </w:r>
          </w:p>
        </w:tc>
        <w:tc>
          <w:tcPr>
            <w:tcW w:w="1418" w:type="dxa"/>
            <w:shd w:val="clear" w:color="auto" w:fill="2E74B5" w:themeFill="accent1" w:themeFillShade="BF"/>
          </w:tcPr>
          <w:p w:rsidR="00800C5D" w:rsidRPr="007B7FE8" w:rsidRDefault="00800C5D" w:rsidP="00800C5D">
            <w:pPr>
              <w:spacing w:after="0"/>
              <w:ind w:left="0"/>
              <w:rPr>
                <w:b/>
                <w:color w:val="FFFFFF" w:themeColor="background1"/>
                <w:sz w:val="16"/>
                <w:szCs w:val="16"/>
              </w:rPr>
            </w:pPr>
            <w:r w:rsidRPr="007B7FE8">
              <w:rPr>
                <w:b/>
                <w:color w:val="FFFFFF" w:themeColor="background1"/>
                <w:sz w:val="16"/>
                <w:szCs w:val="16"/>
              </w:rPr>
              <w:t>AMP6 Performance</w:t>
            </w:r>
          </w:p>
        </w:tc>
        <w:tc>
          <w:tcPr>
            <w:tcW w:w="1748" w:type="dxa"/>
            <w:shd w:val="clear" w:color="auto" w:fill="2E74B5" w:themeFill="accent1" w:themeFillShade="BF"/>
          </w:tcPr>
          <w:p w:rsidR="00800C5D" w:rsidRPr="007B7FE8" w:rsidRDefault="00800C5D" w:rsidP="00800C5D">
            <w:pPr>
              <w:spacing w:after="0"/>
              <w:ind w:left="0"/>
              <w:rPr>
                <w:b/>
                <w:color w:val="FFFFFF" w:themeColor="background1"/>
                <w:sz w:val="16"/>
                <w:szCs w:val="16"/>
              </w:rPr>
            </w:pPr>
            <w:r w:rsidRPr="007B7FE8">
              <w:rPr>
                <w:b/>
                <w:color w:val="FFFFFF" w:themeColor="background1"/>
                <w:sz w:val="16"/>
                <w:szCs w:val="16"/>
              </w:rPr>
              <w:t>2024/25 Target</w:t>
            </w:r>
          </w:p>
        </w:tc>
        <w:tc>
          <w:tcPr>
            <w:tcW w:w="1654" w:type="dxa"/>
            <w:shd w:val="clear" w:color="auto" w:fill="2E74B5" w:themeFill="accent1" w:themeFillShade="BF"/>
          </w:tcPr>
          <w:p w:rsidR="00800C5D" w:rsidRPr="007B7FE8" w:rsidRDefault="00800C5D" w:rsidP="00800C5D">
            <w:pPr>
              <w:spacing w:after="0"/>
              <w:ind w:left="0"/>
              <w:rPr>
                <w:b/>
                <w:color w:val="FFFFFF" w:themeColor="background1"/>
                <w:sz w:val="16"/>
                <w:szCs w:val="16"/>
              </w:rPr>
            </w:pPr>
            <w:r w:rsidRPr="007B7FE8">
              <w:rPr>
                <w:b/>
                <w:color w:val="FFFFFF" w:themeColor="background1"/>
                <w:sz w:val="16"/>
                <w:szCs w:val="16"/>
              </w:rPr>
              <w:t>2034/35 Target</w:t>
            </w:r>
          </w:p>
        </w:tc>
        <w:tc>
          <w:tcPr>
            <w:tcW w:w="850" w:type="dxa"/>
            <w:shd w:val="clear" w:color="auto" w:fill="2E74B5" w:themeFill="accent1" w:themeFillShade="BF"/>
          </w:tcPr>
          <w:p w:rsidR="00800C5D" w:rsidRPr="007B7FE8" w:rsidRDefault="00800C5D" w:rsidP="00800C5D">
            <w:pPr>
              <w:spacing w:after="0"/>
              <w:ind w:left="0"/>
              <w:jc w:val="center"/>
              <w:rPr>
                <w:b/>
                <w:color w:val="FFFFFF" w:themeColor="background1"/>
                <w:sz w:val="16"/>
                <w:szCs w:val="16"/>
              </w:rPr>
            </w:pPr>
            <w:r w:rsidRPr="007B7FE8">
              <w:rPr>
                <w:b/>
                <w:color w:val="FFFFFF" w:themeColor="background1"/>
                <w:sz w:val="16"/>
                <w:szCs w:val="16"/>
              </w:rPr>
              <w:t>Reward/Penalty</w:t>
            </w:r>
          </w:p>
        </w:tc>
      </w:tr>
      <w:tr w:rsidR="00800C5D" w:rsidRPr="007B7FE8" w:rsidTr="007B7FE8">
        <w:tc>
          <w:tcPr>
            <w:tcW w:w="2405" w:type="dxa"/>
          </w:tcPr>
          <w:p w:rsidR="00800C5D" w:rsidRPr="007B7FE8" w:rsidRDefault="00800C5D" w:rsidP="00800C5D">
            <w:pPr>
              <w:spacing w:before="20" w:after="20"/>
              <w:ind w:left="0"/>
              <w:rPr>
                <w:sz w:val="16"/>
                <w:szCs w:val="16"/>
              </w:rPr>
            </w:pPr>
            <w:r w:rsidRPr="007B7FE8">
              <w:rPr>
                <w:sz w:val="16"/>
                <w:szCs w:val="16"/>
              </w:rPr>
              <w:t>Catchment Management</w:t>
            </w:r>
          </w:p>
        </w:tc>
        <w:tc>
          <w:tcPr>
            <w:tcW w:w="708" w:type="dxa"/>
          </w:tcPr>
          <w:p w:rsidR="00800C5D" w:rsidRPr="007B7FE8" w:rsidRDefault="00800C5D" w:rsidP="00800C5D">
            <w:pPr>
              <w:spacing w:before="20" w:after="20"/>
              <w:ind w:left="0"/>
              <w:jc w:val="center"/>
              <w:rPr>
                <w:sz w:val="16"/>
                <w:szCs w:val="16"/>
              </w:rPr>
            </w:pPr>
            <w:r w:rsidRPr="007B7FE8">
              <w:rPr>
                <w:sz w:val="16"/>
                <w:szCs w:val="16"/>
              </w:rPr>
              <w:t>B</w:t>
            </w:r>
          </w:p>
        </w:tc>
        <w:tc>
          <w:tcPr>
            <w:tcW w:w="1418" w:type="dxa"/>
          </w:tcPr>
          <w:p w:rsidR="00800C5D" w:rsidRPr="007B7FE8" w:rsidRDefault="00800C5D" w:rsidP="00800C5D">
            <w:pPr>
              <w:spacing w:after="0"/>
              <w:ind w:left="0"/>
              <w:rPr>
                <w:sz w:val="16"/>
                <w:szCs w:val="16"/>
              </w:rPr>
            </w:pPr>
            <w:r w:rsidRPr="007B7FE8">
              <w:rPr>
                <w:sz w:val="16"/>
                <w:szCs w:val="16"/>
              </w:rPr>
              <w:t>n/a</w:t>
            </w:r>
          </w:p>
        </w:tc>
        <w:tc>
          <w:tcPr>
            <w:tcW w:w="1748" w:type="dxa"/>
          </w:tcPr>
          <w:p w:rsidR="00800C5D" w:rsidRPr="007B7FE8" w:rsidRDefault="00800C5D" w:rsidP="00800C5D">
            <w:pPr>
              <w:spacing w:before="20" w:after="20"/>
              <w:ind w:left="0"/>
              <w:jc w:val="left"/>
              <w:rPr>
                <w:sz w:val="16"/>
                <w:szCs w:val="16"/>
              </w:rPr>
            </w:pPr>
            <w:r w:rsidRPr="007B7FE8">
              <w:rPr>
                <w:sz w:val="16"/>
                <w:szCs w:val="16"/>
              </w:rPr>
              <w:t>Engagement with 50 out of 75 farmers in non-priority zones</w:t>
            </w:r>
          </w:p>
        </w:tc>
        <w:tc>
          <w:tcPr>
            <w:tcW w:w="1654" w:type="dxa"/>
          </w:tcPr>
          <w:p w:rsidR="00800C5D" w:rsidRPr="007B7FE8" w:rsidRDefault="00800C5D" w:rsidP="00800C5D">
            <w:pPr>
              <w:spacing w:after="0"/>
              <w:ind w:left="0"/>
              <w:rPr>
                <w:sz w:val="16"/>
                <w:szCs w:val="16"/>
              </w:rPr>
            </w:pPr>
            <w:r w:rsidRPr="007B7FE8">
              <w:rPr>
                <w:sz w:val="16"/>
                <w:szCs w:val="16"/>
              </w:rPr>
              <w:t>Engagement with all 75 farmers in non-priority zones</w:t>
            </w:r>
          </w:p>
        </w:tc>
        <w:tc>
          <w:tcPr>
            <w:tcW w:w="850" w:type="dxa"/>
          </w:tcPr>
          <w:p w:rsidR="00800C5D" w:rsidRPr="007B7FE8" w:rsidRDefault="00800C5D" w:rsidP="00800C5D">
            <w:pPr>
              <w:spacing w:after="0"/>
              <w:ind w:left="0"/>
              <w:jc w:val="center"/>
              <w:rPr>
                <w:sz w:val="16"/>
                <w:szCs w:val="16"/>
              </w:rPr>
            </w:pPr>
            <w:r w:rsidRPr="007B7FE8">
              <w:rPr>
                <w:sz w:val="16"/>
                <w:szCs w:val="16"/>
              </w:rPr>
              <w:t>R</w:t>
            </w:r>
          </w:p>
        </w:tc>
      </w:tr>
    </w:tbl>
    <w:p w:rsidR="001F3FA5" w:rsidRDefault="001F3FA5" w:rsidP="001F3FA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800C5D" w:rsidRDefault="00800C5D" w:rsidP="00800C5D">
      <w:r>
        <w:t xml:space="preserve">This is a bespoke </w:t>
      </w:r>
      <w:r w:rsidR="001F3FA5">
        <w:t>P</w:t>
      </w:r>
      <w:r>
        <w:t xml:space="preserve">erformance </w:t>
      </w:r>
      <w:r w:rsidR="001F3FA5">
        <w:t>C</w:t>
      </w:r>
      <w:r>
        <w:t>ommitment with a reward</w:t>
      </w:r>
      <w:r w:rsidR="00A407A5">
        <w:t xml:space="preserve"> only</w:t>
      </w:r>
      <w:r>
        <w:t>.</w:t>
      </w:r>
    </w:p>
    <w:p w:rsidR="00800C5D" w:rsidRPr="009349B8" w:rsidRDefault="00800C5D" w:rsidP="00800C5D">
      <w:pPr>
        <w:rPr>
          <w:rFonts w:cs="Arial"/>
        </w:rPr>
      </w:pPr>
      <w:r w:rsidRPr="009349B8">
        <w:rPr>
          <w:rFonts w:cs="Arial"/>
        </w:rPr>
        <w:t xml:space="preserve">Catchment management is about working with catchment and associated natural processes to prevent pollution from getting into the groundwater from which we abstract. This is distinct from the traditional engineering approach relying on ‘end of pipe’ solutions – for example the building of additional water treatment </w:t>
      </w:r>
      <w:r w:rsidR="004E0666" w:rsidRPr="009349B8">
        <w:rPr>
          <w:rFonts w:cs="Arial"/>
        </w:rPr>
        <w:t>plants,</w:t>
      </w:r>
      <w:r w:rsidRPr="009349B8">
        <w:rPr>
          <w:rFonts w:cs="Arial"/>
        </w:rPr>
        <w:t xml:space="preserve"> (such plants are expensive to build and operate, </w:t>
      </w:r>
      <w:r w:rsidR="004E0666" w:rsidRPr="009349B8">
        <w:rPr>
          <w:rFonts w:cs="Arial"/>
        </w:rPr>
        <w:t>in both financial and carbon</w:t>
      </w:r>
      <w:r w:rsidRPr="009349B8">
        <w:rPr>
          <w:rFonts w:cs="Arial"/>
        </w:rPr>
        <w:t xml:space="preserve"> terms).</w:t>
      </w:r>
    </w:p>
    <w:p w:rsidR="00800C5D" w:rsidRPr="009349B8" w:rsidRDefault="00800C5D" w:rsidP="00800C5D">
      <w:pPr>
        <w:rPr>
          <w:rFonts w:cs="Arial"/>
        </w:rPr>
      </w:pPr>
      <w:r w:rsidRPr="009349B8">
        <w:rPr>
          <w:rFonts w:cs="Arial"/>
        </w:rPr>
        <w:t xml:space="preserve">We have an obligation through the Water Industry National Environment Programme (WINEP) to undertake catchment management within ‘priority areas’ of our area of supply. We have undertaken much work through AMP </w:t>
      </w:r>
      <w:r w:rsidR="004E0666" w:rsidRPr="009349B8">
        <w:rPr>
          <w:rFonts w:cs="Arial"/>
        </w:rPr>
        <w:t>6, which</w:t>
      </w:r>
      <w:r w:rsidRPr="009349B8">
        <w:rPr>
          <w:rFonts w:cs="Arial"/>
        </w:rPr>
        <w:t xml:space="preserve"> has shown that catchment management represents a cost</w:t>
      </w:r>
      <w:r>
        <w:rPr>
          <w:rFonts w:cs="Arial"/>
        </w:rPr>
        <w:t>-</w:t>
      </w:r>
      <w:r w:rsidRPr="009349B8">
        <w:rPr>
          <w:rFonts w:cs="Arial"/>
        </w:rPr>
        <w:t xml:space="preserve">effective approach to improving water quality. </w:t>
      </w:r>
    </w:p>
    <w:p w:rsidR="00800C5D" w:rsidRPr="009349B8" w:rsidRDefault="00800C5D" w:rsidP="00800C5D">
      <w:pPr>
        <w:rPr>
          <w:rFonts w:cs="Arial"/>
        </w:rPr>
      </w:pPr>
      <w:r w:rsidRPr="009349B8">
        <w:rPr>
          <w:rFonts w:cs="Arial"/>
        </w:rPr>
        <w:t xml:space="preserve">Our customer engagement work, together with extensive liaison with local farmers and land owners through our AMP 6 </w:t>
      </w:r>
      <w:r w:rsidR="001F3FA5">
        <w:rPr>
          <w:rFonts w:cs="Arial"/>
        </w:rPr>
        <w:t>C</w:t>
      </w:r>
      <w:r w:rsidRPr="009349B8">
        <w:rPr>
          <w:rFonts w:cs="Arial"/>
        </w:rPr>
        <w:t xml:space="preserve">atchment </w:t>
      </w:r>
      <w:r w:rsidR="001F3FA5">
        <w:rPr>
          <w:rFonts w:cs="Arial"/>
        </w:rPr>
        <w:t>M</w:t>
      </w:r>
      <w:r w:rsidRPr="009349B8">
        <w:rPr>
          <w:rFonts w:cs="Arial"/>
        </w:rPr>
        <w:t xml:space="preserve">anagement </w:t>
      </w:r>
      <w:r w:rsidR="001F3FA5">
        <w:rPr>
          <w:rFonts w:cs="Arial"/>
        </w:rPr>
        <w:t>P</w:t>
      </w:r>
      <w:r w:rsidRPr="009349B8">
        <w:rPr>
          <w:rFonts w:cs="Arial"/>
        </w:rPr>
        <w:t xml:space="preserve">rogramme, has identified a clear desire for </w:t>
      </w:r>
      <w:r>
        <w:rPr>
          <w:rFonts w:cs="Arial"/>
        </w:rPr>
        <w:t>us</w:t>
      </w:r>
      <w:r w:rsidRPr="009349B8">
        <w:rPr>
          <w:rFonts w:cs="Arial"/>
        </w:rPr>
        <w:t xml:space="preserve"> to go beyond </w:t>
      </w:r>
      <w:r>
        <w:rPr>
          <w:rFonts w:cs="Arial"/>
        </w:rPr>
        <w:t>our</w:t>
      </w:r>
      <w:r w:rsidRPr="009349B8">
        <w:rPr>
          <w:rFonts w:cs="Arial"/>
        </w:rPr>
        <w:t xml:space="preserve"> statutory duties </w:t>
      </w:r>
      <w:r w:rsidR="004E0666" w:rsidRPr="009349B8">
        <w:rPr>
          <w:rFonts w:cs="Arial"/>
        </w:rPr>
        <w:t>concerning</w:t>
      </w:r>
      <w:r w:rsidRPr="009349B8">
        <w:rPr>
          <w:rFonts w:cs="Arial"/>
        </w:rPr>
        <w:t xml:space="preserve"> the environment. </w:t>
      </w:r>
    </w:p>
    <w:p w:rsidR="00800C5D" w:rsidRPr="009349B8" w:rsidRDefault="00800C5D" w:rsidP="00800C5D">
      <w:pPr>
        <w:rPr>
          <w:rFonts w:cs="Arial"/>
        </w:rPr>
      </w:pPr>
      <w:r w:rsidRPr="009349B8">
        <w:rPr>
          <w:rFonts w:cs="Arial"/>
        </w:rPr>
        <w:t xml:space="preserve">Catchment </w:t>
      </w:r>
      <w:r w:rsidR="001F3FA5">
        <w:rPr>
          <w:rFonts w:cs="Arial"/>
        </w:rPr>
        <w:t>M</w:t>
      </w:r>
      <w:r w:rsidRPr="009349B8">
        <w:rPr>
          <w:rFonts w:cs="Arial"/>
        </w:rPr>
        <w:t xml:space="preserve">anagement represents an </w:t>
      </w:r>
      <w:r w:rsidR="00A407A5">
        <w:rPr>
          <w:rFonts w:cs="Arial"/>
        </w:rPr>
        <w:t xml:space="preserve">effective </w:t>
      </w:r>
      <w:r w:rsidRPr="009349B8">
        <w:rPr>
          <w:rFonts w:cs="Arial"/>
        </w:rPr>
        <w:t xml:space="preserve">way of achieving this as central to the approach is the delivery of wider environmental benefits in addition to improved water quality – for example the growing of cover crops to reduce nitrate leaching whilst improving the soil, the installation of buffer strips to reduced field soil erosion and provide priority habitat etc. </w:t>
      </w:r>
    </w:p>
    <w:p w:rsidR="00800C5D" w:rsidRDefault="00800C5D" w:rsidP="00800C5D">
      <w:pPr>
        <w:rPr>
          <w:rFonts w:cs="Arial"/>
        </w:rPr>
      </w:pPr>
      <w:r w:rsidRPr="009349B8">
        <w:rPr>
          <w:rFonts w:cs="Arial"/>
        </w:rPr>
        <w:t xml:space="preserve">Therefore, this means extending the scope of </w:t>
      </w:r>
      <w:r w:rsidR="001F3FA5">
        <w:rPr>
          <w:rFonts w:cs="Arial"/>
        </w:rPr>
        <w:t>C</w:t>
      </w:r>
      <w:r w:rsidRPr="009349B8">
        <w:rPr>
          <w:rFonts w:cs="Arial"/>
        </w:rPr>
        <w:t xml:space="preserve">atchment </w:t>
      </w:r>
      <w:r w:rsidR="001F3FA5">
        <w:rPr>
          <w:rFonts w:cs="Arial"/>
        </w:rPr>
        <w:t>M</w:t>
      </w:r>
      <w:r w:rsidRPr="009349B8">
        <w:rPr>
          <w:rFonts w:cs="Arial"/>
        </w:rPr>
        <w:t xml:space="preserve">anagement </w:t>
      </w:r>
      <w:r w:rsidR="001F3FA5">
        <w:rPr>
          <w:rFonts w:cs="Arial"/>
        </w:rPr>
        <w:t>P</w:t>
      </w:r>
      <w:r w:rsidRPr="009349B8">
        <w:rPr>
          <w:rFonts w:cs="Arial"/>
        </w:rPr>
        <w:t xml:space="preserve">rogramme beyond that associated with the WINEP, covering larger areas of our catchments. </w:t>
      </w:r>
    </w:p>
    <w:p w:rsidR="00800C5D" w:rsidRPr="009A2FEB" w:rsidRDefault="00800C5D" w:rsidP="00800C5D">
      <w:r>
        <w:t>We have</w:t>
      </w:r>
      <w:r w:rsidRPr="009A2FEB">
        <w:t xml:space="preserve"> been engaged in </w:t>
      </w:r>
      <w:r w:rsidR="001F3FA5">
        <w:t>C</w:t>
      </w:r>
      <w:r w:rsidRPr="009A2FEB">
        <w:t xml:space="preserve">atchment </w:t>
      </w:r>
      <w:r w:rsidR="001F3FA5">
        <w:t>M</w:t>
      </w:r>
      <w:r w:rsidRPr="009A2FEB">
        <w:t>anagement activity since 2009 when we co-established the Downs &amp; Harbours Clean Water Partnership with the Environment Agency and Natural England (</w:t>
      </w:r>
      <w:hyperlink r:id="rId28" w:history="1">
        <w:r w:rsidRPr="009A2FEB">
          <w:rPr>
            <w:rStyle w:val="Hyperlink"/>
            <w:bCs/>
          </w:rPr>
          <w:t>www.cleanwaterpartnership.co.uk</w:t>
        </w:r>
      </w:hyperlink>
      <w:r w:rsidRPr="009A2FEB">
        <w:t>). The aim of this initiative is to address diffuse water pollution issues affecting the West Sussex and East Hampshire through the provision of advice and support to farmers.</w:t>
      </w:r>
    </w:p>
    <w:p w:rsidR="00800C5D" w:rsidRPr="009A2FEB" w:rsidRDefault="00800C5D" w:rsidP="00800C5D">
      <w:r w:rsidRPr="009A2FEB">
        <w:t xml:space="preserve">Since 2015, the Company has put more resource into </w:t>
      </w:r>
      <w:r w:rsidR="001F3FA5">
        <w:t>C</w:t>
      </w:r>
      <w:r w:rsidRPr="009A2FEB">
        <w:t xml:space="preserve">atchment </w:t>
      </w:r>
      <w:r w:rsidR="001F3FA5">
        <w:t>M</w:t>
      </w:r>
      <w:r w:rsidRPr="009A2FEB">
        <w:t xml:space="preserve">anagement with regards to addressing the two principal risks to our abstractions - rising nitrates in groundwater and the risk of aquifer contamination from domestic oil tank leaks and spills.  </w:t>
      </w:r>
    </w:p>
    <w:p w:rsidR="00800C5D" w:rsidRPr="009A2FEB" w:rsidRDefault="00800C5D" w:rsidP="00800C5D">
      <w:r w:rsidRPr="009A2FEB">
        <w:t xml:space="preserve">For the first half of AMP 6, the Company undertook much evidence work to understand the source of diffuse pollution across our catchments and the time it takes to impact our sources. This included innovative remote sensing analysis determining flow paths of pollutants to ‘swallow hole features’ across our catchments. (It is through these features, and fractures and fissures in the </w:t>
      </w:r>
      <w:r w:rsidR="00CF3C35" w:rsidRPr="009A2FEB">
        <w:t>chalk, which</w:t>
      </w:r>
      <w:r w:rsidRPr="009A2FEB">
        <w:t xml:space="preserve"> pollutants can travel quickly to our boreholes.) This work culminated in the production of a detailed ‘nitrate risk map’, identifying priority fields for </w:t>
      </w:r>
      <w:r w:rsidR="001F3FA5">
        <w:t>C</w:t>
      </w:r>
      <w:r w:rsidRPr="009A2FEB">
        <w:t xml:space="preserve">atchment </w:t>
      </w:r>
      <w:r w:rsidR="001F3FA5">
        <w:t>M</w:t>
      </w:r>
      <w:r w:rsidRPr="009A2FEB">
        <w:t xml:space="preserve">anagement interventions to reduce nitrate concentrations in groundwater. This map will be used to direct our </w:t>
      </w:r>
      <w:r w:rsidR="001F3FA5">
        <w:t>C</w:t>
      </w:r>
      <w:r w:rsidRPr="009A2FEB">
        <w:t xml:space="preserve">atchment </w:t>
      </w:r>
      <w:r w:rsidR="001F3FA5">
        <w:t>M</w:t>
      </w:r>
      <w:r w:rsidRPr="009A2FEB">
        <w:t>anagement work throughout AMP 7.</w:t>
      </w:r>
    </w:p>
    <w:p w:rsidR="00800C5D" w:rsidRPr="009A2FEB" w:rsidRDefault="00800C5D" w:rsidP="00800C5D">
      <w:r w:rsidRPr="009A2FEB">
        <w:t xml:space="preserve">For the latter half of AMP 6, we have built on this evidence to develop cost effective catchment management interventions, and implement new subsidy schemes. This work is highly innovative. </w:t>
      </w:r>
      <w:r w:rsidR="003702ED">
        <w:t xml:space="preserve"> </w:t>
      </w:r>
      <w:r w:rsidRPr="009A2FEB">
        <w:t xml:space="preserve">We are trialling new </w:t>
      </w:r>
      <w:r w:rsidR="001F3FA5">
        <w:t>C</w:t>
      </w:r>
      <w:r w:rsidRPr="009A2FEB">
        <w:t xml:space="preserve">atchment </w:t>
      </w:r>
      <w:r w:rsidR="001F3FA5">
        <w:t>M</w:t>
      </w:r>
      <w:r w:rsidRPr="009A2FEB">
        <w:t>anagement interventions as part of the EU Interreg ‘Channel Payments for Ecosystems Services (CPES)’ project (</w:t>
      </w:r>
      <w:hyperlink r:id="rId29" w:history="1">
        <w:r w:rsidRPr="009A2FEB">
          <w:rPr>
            <w:rStyle w:val="Hyperlink"/>
            <w:bCs/>
          </w:rPr>
          <w:t>https://www.cpes-interreg.eu/</w:t>
        </w:r>
      </w:hyperlink>
      <w:r w:rsidR="003702ED">
        <w:t xml:space="preserve">).  </w:t>
      </w:r>
      <w:r w:rsidRPr="009A2FEB">
        <w:t>This involv</w:t>
      </w:r>
      <w:r w:rsidR="00451E46">
        <w:t xml:space="preserve">es </w:t>
      </w:r>
      <w:r w:rsidRPr="009A2FEB">
        <w:t xml:space="preserve">us working in collaboration with partners across </w:t>
      </w:r>
      <w:r w:rsidR="001F3FA5">
        <w:t>S</w:t>
      </w:r>
      <w:r w:rsidRPr="009A2FEB">
        <w:t xml:space="preserve">outhern England (including the Environment Agency, South Downs National Park Authority, Southern Water and University of Chichester) and </w:t>
      </w:r>
      <w:r w:rsidR="001F3FA5">
        <w:t>N</w:t>
      </w:r>
      <w:r w:rsidRPr="009A2FEB">
        <w:t>orthern France (including Eau de Paris, University of Rennes and Eau Seine Normandie) sharing expertise, best practice and knowledge.</w:t>
      </w:r>
    </w:p>
    <w:p w:rsidR="00800C5D" w:rsidRPr="009A2FEB" w:rsidRDefault="00800C5D" w:rsidP="00800C5D">
      <w:r w:rsidRPr="009A2FEB">
        <w:t xml:space="preserve">The AMP 7 </w:t>
      </w:r>
      <w:r w:rsidR="00F83A7D">
        <w:t>C</w:t>
      </w:r>
      <w:r w:rsidRPr="009A2FEB">
        <w:t xml:space="preserve">atchment </w:t>
      </w:r>
      <w:r w:rsidR="00F83A7D">
        <w:t>M</w:t>
      </w:r>
      <w:r w:rsidRPr="009A2FEB">
        <w:t xml:space="preserve">anagement </w:t>
      </w:r>
      <w:r w:rsidR="00F83A7D">
        <w:t>P</w:t>
      </w:r>
      <w:r w:rsidRPr="009A2FEB">
        <w:t xml:space="preserve">rogramme will see increased investment from the Company. The scope of initiatives will increase to include a ‘payments for ecosystem services scheme’, a potential woodland creation scheme through innovative partnership working with the Forestry Commission, a focus on soil improvement interventions, increased provision of farmer advice services, and increased funding for the domestic oil tank replacement scheme and farming capital grant scheme.  </w:t>
      </w:r>
    </w:p>
    <w:p w:rsidR="00800C5D" w:rsidRPr="009A2FEB" w:rsidRDefault="00800C5D" w:rsidP="00800C5D">
      <w:r w:rsidRPr="009A2FEB">
        <w:t>Through extensive liaison with our Customer Challenge Group, we have developed a performance commitment for catchment management to meet the expectations of our customers:</w:t>
      </w:r>
    </w:p>
    <w:p w:rsidR="00800C5D" w:rsidRPr="002503E9" w:rsidRDefault="00800C5D" w:rsidP="00800C5D">
      <w:pPr>
        <w:rPr>
          <w:b/>
        </w:rPr>
      </w:pPr>
      <w:r w:rsidRPr="002503E9">
        <w:rPr>
          <w:b/>
        </w:rPr>
        <w:t xml:space="preserve">To engage with </w:t>
      </w:r>
      <w:r w:rsidR="00212458">
        <w:rPr>
          <w:b/>
        </w:rPr>
        <w:t>50 out of 75</w:t>
      </w:r>
      <w:r w:rsidRPr="002503E9">
        <w:rPr>
          <w:b/>
        </w:rPr>
        <w:t xml:space="preserve"> of farms in non-priority areas associated with each groundwater safeguard zone regarding the uptake of catchment management interventions. </w:t>
      </w:r>
    </w:p>
    <w:p w:rsidR="00800C5D" w:rsidRPr="009A2FEB" w:rsidRDefault="00800C5D" w:rsidP="00800C5D">
      <w:r>
        <w:t xml:space="preserve">This </w:t>
      </w:r>
      <w:r w:rsidRPr="009A2FEB">
        <w:t xml:space="preserve">measure demonstrates the Company going beyond its statutory duty for catchment management as defined in the WINEP, delivering environmental benefits beyond its own landholding - across its wider catchments, and incorporating environmental improvements as a fundamental part of business as usual activities.  </w:t>
      </w:r>
    </w:p>
    <w:p w:rsidR="00800C5D" w:rsidRPr="009A2FEB" w:rsidRDefault="00800C5D" w:rsidP="00800C5D">
      <w:r w:rsidRPr="009A2FEB">
        <w:t xml:space="preserve">We will deliver these </w:t>
      </w:r>
      <w:r w:rsidR="001F3FA5">
        <w:t>P</w:t>
      </w:r>
      <w:r w:rsidRPr="009A2FEB">
        <w:t xml:space="preserve">erformance </w:t>
      </w:r>
      <w:r w:rsidR="001F3FA5">
        <w:t>C</w:t>
      </w:r>
      <w:r w:rsidRPr="009A2FEB">
        <w:t xml:space="preserve">ommitments through our AMP 7 </w:t>
      </w:r>
      <w:r w:rsidR="001F3FA5">
        <w:t>C</w:t>
      </w:r>
      <w:r w:rsidRPr="009A2FEB">
        <w:t xml:space="preserve">atchment </w:t>
      </w:r>
      <w:r w:rsidR="001F3FA5">
        <w:t>M</w:t>
      </w:r>
      <w:r w:rsidRPr="009A2FEB">
        <w:t xml:space="preserve">anagement programme, which will see Portsmouth Water putting greater resource into delivery ‘on the ground’. </w:t>
      </w:r>
    </w:p>
    <w:p w:rsidR="00800C5D" w:rsidRPr="009349B8" w:rsidRDefault="00800C5D" w:rsidP="00800C5D">
      <w:pPr>
        <w:rPr>
          <w:rFonts w:cs="Arial"/>
        </w:rPr>
      </w:pPr>
      <w:r>
        <w:rPr>
          <w:rFonts w:cs="Arial"/>
        </w:rPr>
        <w:t>Expenditure in AMP 7 will amount to £2.5m for Catchment Management.</w:t>
      </w:r>
    </w:p>
    <w:p w:rsidR="00487950" w:rsidRPr="009349B8" w:rsidRDefault="00800C5D" w:rsidP="00487950">
      <w:pPr>
        <w:rPr>
          <w:rFonts w:cs="Arial"/>
          <w:b/>
        </w:rPr>
      </w:pPr>
      <w:r>
        <w:rPr>
          <w:rFonts w:cs="Arial"/>
          <w:b/>
        </w:rPr>
        <w:t>3.</w:t>
      </w:r>
      <w:r>
        <w:rPr>
          <w:rFonts w:cs="Arial"/>
          <w:b/>
        </w:rPr>
        <w:tab/>
      </w:r>
      <w:r w:rsidR="00487950" w:rsidRPr="009349B8">
        <w:rPr>
          <w:rFonts w:cs="Arial"/>
          <w:b/>
        </w:rPr>
        <w:t xml:space="preserve">Sustainable Abstraction Regime </w:t>
      </w:r>
    </w:p>
    <w:tbl>
      <w:tblPr>
        <w:tblStyle w:val="TableGrid"/>
        <w:tblW w:w="8783" w:type="dxa"/>
        <w:tblInd w:w="851" w:type="dxa"/>
        <w:tblLayout w:type="fixed"/>
        <w:tblLook w:val="04A0" w:firstRow="1" w:lastRow="0" w:firstColumn="1" w:lastColumn="0" w:noHBand="0" w:noVBand="1"/>
      </w:tblPr>
      <w:tblGrid>
        <w:gridCol w:w="2405"/>
        <w:gridCol w:w="850"/>
        <w:gridCol w:w="1559"/>
        <w:gridCol w:w="1465"/>
        <w:gridCol w:w="1654"/>
        <w:gridCol w:w="850"/>
      </w:tblGrid>
      <w:tr w:rsidR="00800C5D" w:rsidRPr="007B7FE8" w:rsidTr="000844DD">
        <w:tc>
          <w:tcPr>
            <w:tcW w:w="2405" w:type="dxa"/>
            <w:shd w:val="clear" w:color="auto" w:fill="2E74B5" w:themeFill="accent1" w:themeFillShade="BF"/>
          </w:tcPr>
          <w:p w:rsidR="00800C5D" w:rsidRPr="007B7FE8" w:rsidRDefault="00800C5D" w:rsidP="00800C5D">
            <w:pPr>
              <w:spacing w:after="0"/>
              <w:ind w:left="0"/>
              <w:rPr>
                <w:sz w:val="16"/>
                <w:szCs w:val="16"/>
              </w:rPr>
            </w:pPr>
            <w:r w:rsidRPr="007B7FE8">
              <w:rPr>
                <w:b/>
                <w:bCs/>
                <w:color w:val="FFFFFF" w:themeColor="background1"/>
                <w:sz w:val="16"/>
                <w:szCs w:val="16"/>
              </w:rPr>
              <w:t>Performance Commitment</w:t>
            </w:r>
          </w:p>
        </w:tc>
        <w:tc>
          <w:tcPr>
            <w:tcW w:w="850" w:type="dxa"/>
            <w:shd w:val="clear" w:color="auto" w:fill="2E74B5" w:themeFill="accent1" w:themeFillShade="BF"/>
          </w:tcPr>
          <w:p w:rsidR="00800C5D" w:rsidRPr="007B7FE8" w:rsidRDefault="00800C5D" w:rsidP="00800C5D">
            <w:pPr>
              <w:spacing w:before="20" w:after="20"/>
              <w:ind w:left="0"/>
              <w:jc w:val="center"/>
              <w:rPr>
                <w:b/>
                <w:bCs/>
                <w:color w:val="FFFFFF" w:themeColor="background1"/>
                <w:sz w:val="16"/>
                <w:szCs w:val="16"/>
              </w:rPr>
            </w:pPr>
            <w:r w:rsidRPr="007B7FE8">
              <w:rPr>
                <w:b/>
                <w:bCs/>
                <w:color w:val="FFFFFF" w:themeColor="background1"/>
                <w:sz w:val="16"/>
                <w:szCs w:val="16"/>
              </w:rPr>
              <w:t>Type</w:t>
            </w:r>
          </w:p>
        </w:tc>
        <w:tc>
          <w:tcPr>
            <w:tcW w:w="1559" w:type="dxa"/>
            <w:shd w:val="clear" w:color="auto" w:fill="2E74B5" w:themeFill="accent1" w:themeFillShade="BF"/>
          </w:tcPr>
          <w:p w:rsidR="00800C5D" w:rsidRPr="007B7FE8" w:rsidRDefault="00800C5D" w:rsidP="00800C5D">
            <w:pPr>
              <w:spacing w:after="0"/>
              <w:ind w:left="0"/>
              <w:rPr>
                <w:b/>
                <w:color w:val="FFFFFF" w:themeColor="background1"/>
                <w:sz w:val="16"/>
                <w:szCs w:val="16"/>
              </w:rPr>
            </w:pPr>
            <w:r w:rsidRPr="007B7FE8">
              <w:rPr>
                <w:b/>
                <w:color w:val="FFFFFF" w:themeColor="background1"/>
                <w:sz w:val="16"/>
                <w:szCs w:val="16"/>
              </w:rPr>
              <w:t>AMP6 Performance</w:t>
            </w:r>
          </w:p>
        </w:tc>
        <w:tc>
          <w:tcPr>
            <w:tcW w:w="1465" w:type="dxa"/>
            <w:shd w:val="clear" w:color="auto" w:fill="2E74B5" w:themeFill="accent1" w:themeFillShade="BF"/>
          </w:tcPr>
          <w:p w:rsidR="00800C5D" w:rsidRPr="007B7FE8" w:rsidRDefault="00800C5D" w:rsidP="00800C5D">
            <w:pPr>
              <w:spacing w:after="0"/>
              <w:ind w:left="0"/>
              <w:rPr>
                <w:b/>
                <w:color w:val="FFFFFF" w:themeColor="background1"/>
                <w:sz w:val="16"/>
                <w:szCs w:val="16"/>
              </w:rPr>
            </w:pPr>
            <w:r w:rsidRPr="007B7FE8">
              <w:rPr>
                <w:b/>
                <w:color w:val="FFFFFF" w:themeColor="background1"/>
                <w:sz w:val="16"/>
                <w:szCs w:val="16"/>
              </w:rPr>
              <w:t>2024/25 Target</w:t>
            </w:r>
          </w:p>
        </w:tc>
        <w:tc>
          <w:tcPr>
            <w:tcW w:w="1654" w:type="dxa"/>
            <w:shd w:val="clear" w:color="auto" w:fill="2E74B5" w:themeFill="accent1" w:themeFillShade="BF"/>
          </w:tcPr>
          <w:p w:rsidR="00800C5D" w:rsidRPr="007B7FE8" w:rsidRDefault="00800C5D" w:rsidP="00800C5D">
            <w:pPr>
              <w:spacing w:after="0"/>
              <w:ind w:left="0"/>
              <w:rPr>
                <w:b/>
                <w:color w:val="FFFFFF" w:themeColor="background1"/>
                <w:sz w:val="16"/>
                <w:szCs w:val="16"/>
              </w:rPr>
            </w:pPr>
            <w:r w:rsidRPr="007B7FE8">
              <w:rPr>
                <w:b/>
                <w:color w:val="FFFFFF" w:themeColor="background1"/>
                <w:sz w:val="16"/>
                <w:szCs w:val="16"/>
              </w:rPr>
              <w:t>2034/35 Target</w:t>
            </w:r>
          </w:p>
        </w:tc>
        <w:tc>
          <w:tcPr>
            <w:tcW w:w="850" w:type="dxa"/>
            <w:shd w:val="clear" w:color="auto" w:fill="2E74B5" w:themeFill="accent1" w:themeFillShade="BF"/>
          </w:tcPr>
          <w:p w:rsidR="00800C5D" w:rsidRPr="007B7FE8" w:rsidRDefault="00800C5D" w:rsidP="00800C5D">
            <w:pPr>
              <w:spacing w:after="0"/>
              <w:ind w:left="0"/>
              <w:jc w:val="center"/>
              <w:rPr>
                <w:b/>
                <w:color w:val="FFFFFF" w:themeColor="background1"/>
                <w:sz w:val="16"/>
                <w:szCs w:val="16"/>
              </w:rPr>
            </w:pPr>
            <w:r w:rsidRPr="007B7FE8">
              <w:rPr>
                <w:b/>
                <w:color w:val="FFFFFF" w:themeColor="background1"/>
                <w:sz w:val="16"/>
                <w:szCs w:val="16"/>
              </w:rPr>
              <w:t>Reward/Penalty</w:t>
            </w:r>
          </w:p>
        </w:tc>
      </w:tr>
      <w:tr w:rsidR="00A407A5" w:rsidRPr="007B7FE8" w:rsidTr="000844DD">
        <w:tc>
          <w:tcPr>
            <w:tcW w:w="2405" w:type="dxa"/>
          </w:tcPr>
          <w:p w:rsidR="00A407A5" w:rsidRPr="007B7FE8" w:rsidRDefault="00A407A5" w:rsidP="00A407A5">
            <w:pPr>
              <w:spacing w:before="20" w:after="20"/>
              <w:ind w:left="0"/>
              <w:jc w:val="left"/>
              <w:rPr>
                <w:sz w:val="16"/>
                <w:szCs w:val="16"/>
              </w:rPr>
            </w:pPr>
            <w:r w:rsidRPr="007B7FE8">
              <w:rPr>
                <w:sz w:val="16"/>
                <w:szCs w:val="16"/>
              </w:rPr>
              <w:t xml:space="preserve">Abstraction Incentive Mechanism </w:t>
            </w:r>
            <w:r>
              <w:rPr>
                <w:sz w:val="16"/>
                <w:szCs w:val="16"/>
              </w:rPr>
              <w:t>(AIM)</w:t>
            </w:r>
          </w:p>
        </w:tc>
        <w:tc>
          <w:tcPr>
            <w:tcW w:w="850" w:type="dxa"/>
          </w:tcPr>
          <w:p w:rsidR="00A407A5" w:rsidRPr="007B7FE8" w:rsidRDefault="00A407A5" w:rsidP="00A407A5">
            <w:pPr>
              <w:spacing w:before="20" w:after="20"/>
              <w:ind w:left="0"/>
              <w:jc w:val="center"/>
              <w:rPr>
                <w:sz w:val="16"/>
                <w:szCs w:val="16"/>
              </w:rPr>
            </w:pPr>
            <w:r w:rsidRPr="007B7FE8">
              <w:rPr>
                <w:sz w:val="16"/>
                <w:szCs w:val="16"/>
              </w:rPr>
              <w:t>B</w:t>
            </w:r>
          </w:p>
        </w:tc>
        <w:tc>
          <w:tcPr>
            <w:tcW w:w="1559" w:type="dxa"/>
          </w:tcPr>
          <w:p w:rsidR="00A407A5" w:rsidRPr="007B7FE8" w:rsidRDefault="00A407A5" w:rsidP="00A407A5">
            <w:pPr>
              <w:spacing w:after="0"/>
              <w:ind w:left="0"/>
              <w:jc w:val="left"/>
              <w:rPr>
                <w:sz w:val="16"/>
                <w:szCs w:val="16"/>
              </w:rPr>
            </w:pPr>
            <w:r>
              <w:rPr>
                <w:sz w:val="16"/>
                <w:szCs w:val="16"/>
              </w:rPr>
              <w:t>Management of the River Hamble</w:t>
            </w:r>
          </w:p>
        </w:tc>
        <w:tc>
          <w:tcPr>
            <w:tcW w:w="1465" w:type="dxa"/>
          </w:tcPr>
          <w:p w:rsidR="00A407A5" w:rsidRPr="007B7FE8" w:rsidRDefault="00A407A5" w:rsidP="00A407A5">
            <w:pPr>
              <w:spacing w:after="0"/>
              <w:ind w:left="0"/>
              <w:jc w:val="left"/>
              <w:rPr>
                <w:sz w:val="16"/>
                <w:szCs w:val="16"/>
              </w:rPr>
            </w:pPr>
            <w:r>
              <w:rPr>
                <w:sz w:val="16"/>
                <w:szCs w:val="16"/>
              </w:rPr>
              <w:t>Management of the River Hamble</w:t>
            </w:r>
          </w:p>
        </w:tc>
        <w:tc>
          <w:tcPr>
            <w:tcW w:w="1654" w:type="dxa"/>
          </w:tcPr>
          <w:p w:rsidR="00A407A5" w:rsidRPr="007B7FE8" w:rsidRDefault="00A407A5" w:rsidP="00A407A5">
            <w:pPr>
              <w:spacing w:after="0"/>
              <w:ind w:left="0"/>
              <w:jc w:val="left"/>
              <w:rPr>
                <w:sz w:val="16"/>
                <w:szCs w:val="16"/>
              </w:rPr>
            </w:pPr>
            <w:r>
              <w:rPr>
                <w:sz w:val="16"/>
                <w:szCs w:val="16"/>
              </w:rPr>
              <w:t>Management of the River Hamble</w:t>
            </w:r>
          </w:p>
        </w:tc>
        <w:tc>
          <w:tcPr>
            <w:tcW w:w="850" w:type="dxa"/>
          </w:tcPr>
          <w:p w:rsidR="00A407A5" w:rsidRPr="007B7FE8" w:rsidRDefault="00A407A5" w:rsidP="00A407A5">
            <w:pPr>
              <w:spacing w:after="0"/>
              <w:ind w:left="0"/>
              <w:jc w:val="center"/>
              <w:rPr>
                <w:sz w:val="16"/>
                <w:szCs w:val="16"/>
              </w:rPr>
            </w:pPr>
            <w:r w:rsidRPr="007B7FE8">
              <w:rPr>
                <w:sz w:val="16"/>
                <w:szCs w:val="16"/>
              </w:rPr>
              <w:t>R/P</w:t>
            </w:r>
          </w:p>
        </w:tc>
      </w:tr>
    </w:tbl>
    <w:p w:rsidR="001F3FA5" w:rsidRDefault="001F3FA5" w:rsidP="001F3FA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800C5D" w:rsidRDefault="00800C5D" w:rsidP="00800C5D">
      <w:r>
        <w:t xml:space="preserve">This is a bespoke </w:t>
      </w:r>
      <w:r w:rsidR="001F3FA5">
        <w:t>P</w:t>
      </w:r>
      <w:r>
        <w:t xml:space="preserve">erformance </w:t>
      </w:r>
      <w:r w:rsidR="001F3FA5">
        <w:t>C</w:t>
      </w:r>
      <w:r>
        <w:t>ommitment with a re</w:t>
      </w:r>
      <w:r w:rsidR="00212458">
        <w:t>ward and penalty</w:t>
      </w:r>
      <w:r>
        <w:t xml:space="preserve">. </w:t>
      </w:r>
    </w:p>
    <w:p w:rsidR="00800C5D" w:rsidRPr="009A2FEB" w:rsidRDefault="00800C5D" w:rsidP="00800C5D">
      <w:r w:rsidRPr="009A2FEB">
        <w:t>The Abstraction Incentive Mechanism (AIM) was developed to encourage</w:t>
      </w:r>
      <w:r w:rsidR="00451E46">
        <w:t xml:space="preserve"> reducing</w:t>
      </w:r>
      <w:r w:rsidRPr="009A2FEB">
        <w:t xml:space="preserve"> the environmental impact of abstracting water at environmentally sensitive sites during low surface water flows.</w:t>
      </w:r>
      <w:r>
        <w:t xml:space="preserve"> </w:t>
      </w:r>
      <w:r w:rsidRPr="009349B8">
        <w:rPr>
          <w:rFonts w:cs="Arial"/>
        </w:rPr>
        <w:t>Of the environmental issues associated with our operations, our customer research identified that sustainable abstraction and reducing adverse impacts on the water environment to be amongst the most important. This was reflected in strong support for the Company to include schemes under the AIM</w:t>
      </w:r>
      <w:r w:rsidR="004260AB">
        <w:rPr>
          <w:rFonts w:cs="Arial"/>
        </w:rPr>
        <w:t>.  T</w:t>
      </w:r>
      <w:r>
        <w:rPr>
          <w:rFonts w:cs="Arial"/>
        </w:rPr>
        <w:t>herefore</w:t>
      </w:r>
      <w:r w:rsidR="004260AB">
        <w:rPr>
          <w:rFonts w:cs="Arial"/>
        </w:rPr>
        <w:t>,</w:t>
      </w:r>
      <w:r>
        <w:rPr>
          <w:rFonts w:cs="Arial"/>
        </w:rPr>
        <w:t xml:space="preserve"> we will</w:t>
      </w:r>
      <w:r w:rsidRPr="00567963">
        <w:t xml:space="preserve"> </w:t>
      </w:r>
      <w:r w:rsidRPr="009A2FEB">
        <w:t xml:space="preserve">continue with our current AIM site, at Northbrook and the River Hamble with a reward and penalty, relating to our abstraction at Northbrook relative to its historic usage volume when the flow in the River Hamble </w:t>
      </w:r>
      <w:r>
        <w:t xml:space="preserve">falls below the agreed level (known as </w:t>
      </w:r>
      <w:r w:rsidRPr="009A2FEB">
        <w:t>its Q95 level</w:t>
      </w:r>
      <w:r>
        <w:t>)</w:t>
      </w:r>
      <w:r w:rsidRPr="009A2FEB">
        <w:t>.</w:t>
      </w:r>
    </w:p>
    <w:p w:rsidR="00A407A5" w:rsidRDefault="00800C5D" w:rsidP="00800C5D">
      <w:pPr>
        <w:rPr>
          <w:rFonts w:cs="Arial"/>
        </w:rPr>
      </w:pPr>
      <w:r>
        <w:rPr>
          <w:rFonts w:cs="Arial"/>
        </w:rPr>
        <w:t xml:space="preserve">We </w:t>
      </w:r>
      <w:r w:rsidRPr="009349B8">
        <w:rPr>
          <w:rFonts w:cs="Arial"/>
        </w:rPr>
        <w:t xml:space="preserve">will undertake </w:t>
      </w:r>
      <w:r>
        <w:rPr>
          <w:rFonts w:cs="Arial"/>
        </w:rPr>
        <w:t xml:space="preserve">a number of activities </w:t>
      </w:r>
      <w:r w:rsidRPr="009349B8">
        <w:rPr>
          <w:rFonts w:cs="Arial"/>
        </w:rPr>
        <w:t xml:space="preserve">associated with water resources management to ensure our abstractions are sustainable, balancing need for public water supply with the requirements of our precious water environment – for </w:t>
      </w:r>
      <w:r w:rsidR="004260AB" w:rsidRPr="009349B8">
        <w:rPr>
          <w:rFonts w:cs="Arial"/>
        </w:rPr>
        <w:t>example,</w:t>
      </w:r>
      <w:r w:rsidRPr="009349B8">
        <w:rPr>
          <w:rFonts w:cs="Arial"/>
        </w:rPr>
        <w:t xml:space="preserve"> our chalk streams and rivers, our internationally protected harbours etc. </w:t>
      </w:r>
    </w:p>
    <w:p w:rsidR="00800C5D" w:rsidRDefault="00800C5D" w:rsidP="00800C5D">
      <w:pPr>
        <w:rPr>
          <w:rFonts w:cs="Arial"/>
        </w:rPr>
      </w:pPr>
      <w:r>
        <w:rPr>
          <w:rFonts w:cs="Arial"/>
        </w:rPr>
        <w:t xml:space="preserve">In the last 20 </w:t>
      </w:r>
      <w:r w:rsidR="004260AB">
        <w:rPr>
          <w:rFonts w:cs="Arial"/>
        </w:rPr>
        <w:t>years,</w:t>
      </w:r>
      <w:r>
        <w:rPr>
          <w:rFonts w:cs="Arial"/>
        </w:rPr>
        <w:t xml:space="preserve"> we have assessed the impact of our abstractions at almost all of our sources. Where we have found that there is a potential impact to the environment we have agreed to reduce the amount of water we can abstract. Currently all of our licences are considered to be sustainable , however our WINEP programme for AMP 7 includes an investigation to be undertaken with Southern Water to </w:t>
      </w:r>
      <w:r w:rsidR="005D4761">
        <w:rPr>
          <w:rFonts w:cs="Arial"/>
        </w:rPr>
        <w:t xml:space="preserve">further </w:t>
      </w:r>
      <w:r>
        <w:rPr>
          <w:rFonts w:cs="Arial"/>
        </w:rPr>
        <w:t>assess the impact of our abstractions on the River Itchen.</w:t>
      </w:r>
    </w:p>
    <w:p w:rsidR="00800C5D" w:rsidRPr="009349B8" w:rsidRDefault="00800C5D" w:rsidP="00800C5D">
      <w:pPr>
        <w:rPr>
          <w:rFonts w:cs="Arial"/>
        </w:rPr>
      </w:pPr>
      <w:r>
        <w:rPr>
          <w:rFonts w:cs="Arial"/>
        </w:rPr>
        <w:t>Our programme in AMP 7</w:t>
      </w:r>
      <w:r w:rsidR="004260AB">
        <w:rPr>
          <w:rFonts w:cs="Arial"/>
        </w:rPr>
        <w:t>,</w:t>
      </w:r>
      <w:r>
        <w:rPr>
          <w:rFonts w:cs="Arial"/>
        </w:rPr>
        <w:t xml:space="preserve"> and beyond</w:t>
      </w:r>
      <w:r w:rsidR="004260AB">
        <w:rPr>
          <w:rFonts w:cs="Arial"/>
        </w:rPr>
        <w:t>,</w:t>
      </w:r>
      <w:r>
        <w:rPr>
          <w:rFonts w:cs="Arial"/>
        </w:rPr>
        <w:t xml:space="preserve"> to reduce leakage and consumption of water by customers will also help reduce the amount of water we abstract from the Environment. </w:t>
      </w:r>
      <w:r w:rsidRPr="00E93C7F">
        <w:rPr>
          <w:rFonts w:cs="Arial"/>
        </w:rPr>
        <w:t>(</w:t>
      </w:r>
      <w:r w:rsidR="00212458" w:rsidRPr="00E93C7F">
        <w:rPr>
          <w:rFonts w:cs="Arial"/>
        </w:rPr>
        <w:t xml:space="preserve">For </w:t>
      </w:r>
      <w:r w:rsidR="004260AB" w:rsidRPr="00E93C7F">
        <w:rPr>
          <w:rFonts w:cs="Arial"/>
        </w:rPr>
        <w:t>details,</w:t>
      </w:r>
      <w:r w:rsidR="00212458" w:rsidRPr="00E93C7F">
        <w:rPr>
          <w:rFonts w:cs="Arial"/>
        </w:rPr>
        <w:t xml:space="preserve"> see sections 3.6 and 3.7)</w:t>
      </w:r>
    </w:p>
    <w:p w:rsidR="009A2FEB" w:rsidRPr="009A2FEB" w:rsidRDefault="00640925" w:rsidP="009A2FEB">
      <w:pPr>
        <w:rPr>
          <w:b/>
        </w:rPr>
      </w:pPr>
      <w:r>
        <w:rPr>
          <w:b/>
        </w:rPr>
        <w:t>4.</w:t>
      </w:r>
      <w:r>
        <w:rPr>
          <w:b/>
        </w:rPr>
        <w:tab/>
      </w:r>
      <w:r w:rsidR="009A2FEB" w:rsidRPr="009A2FEB">
        <w:rPr>
          <w:b/>
        </w:rPr>
        <w:t>Carbon</w:t>
      </w:r>
    </w:p>
    <w:tbl>
      <w:tblPr>
        <w:tblStyle w:val="TableGrid"/>
        <w:tblW w:w="8783" w:type="dxa"/>
        <w:tblInd w:w="851" w:type="dxa"/>
        <w:tblLayout w:type="fixed"/>
        <w:tblLook w:val="04A0" w:firstRow="1" w:lastRow="0" w:firstColumn="1" w:lastColumn="0" w:noHBand="0" w:noVBand="1"/>
      </w:tblPr>
      <w:tblGrid>
        <w:gridCol w:w="2405"/>
        <w:gridCol w:w="850"/>
        <w:gridCol w:w="1370"/>
        <w:gridCol w:w="1465"/>
        <w:gridCol w:w="1843"/>
        <w:gridCol w:w="850"/>
      </w:tblGrid>
      <w:tr w:rsidR="00732F33" w:rsidRPr="007B7FE8" w:rsidTr="000844DD">
        <w:tc>
          <w:tcPr>
            <w:tcW w:w="2405" w:type="dxa"/>
            <w:shd w:val="clear" w:color="auto" w:fill="2E74B5" w:themeFill="accent1" w:themeFillShade="BF"/>
          </w:tcPr>
          <w:p w:rsidR="00732F33" w:rsidRPr="007B7FE8" w:rsidRDefault="00732F33" w:rsidP="00732F33">
            <w:pPr>
              <w:spacing w:after="0"/>
              <w:ind w:left="0"/>
              <w:rPr>
                <w:sz w:val="16"/>
                <w:szCs w:val="16"/>
              </w:rPr>
            </w:pPr>
            <w:r w:rsidRPr="007B7FE8">
              <w:rPr>
                <w:b/>
                <w:bCs/>
                <w:color w:val="FFFFFF" w:themeColor="background1"/>
                <w:sz w:val="16"/>
                <w:szCs w:val="16"/>
              </w:rPr>
              <w:t>Performance Commitment</w:t>
            </w:r>
          </w:p>
        </w:tc>
        <w:tc>
          <w:tcPr>
            <w:tcW w:w="850" w:type="dxa"/>
            <w:shd w:val="clear" w:color="auto" w:fill="2E74B5" w:themeFill="accent1" w:themeFillShade="BF"/>
          </w:tcPr>
          <w:p w:rsidR="00732F33" w:rsidRPr="007B7FE8" w:rsidRDefault="00732F33" w:rsidP="00732F33">
            <w:pPr>
              <w:spacing w:before="20" w:after="20"/>
              <w:ind w:left="0"/>
              <w:jc w:val="center"/>
              <w:rPr>
                <w:b/>
                <w:bCs/>
                <w:color w:val="FFFFFF" w:themeColor="background1"/>
                <w:sz w:val="16"/>
                <w:szCs w:val="16"/>
              </w:rPr>
            </w:pPr>
            <w:r w:rsidRPr="007B7FE8">
              <w:rPr>
                <w:b/>
                <w:bCs/>
                <w:color w:val="FFFFFF" w:themeColor="background1"/>
                <w:sz w:val="16"/>
                <w:szCs w:val="16"/>
              </w:rPr>
              <w:t>Type</w:t>
            </w:r>
          </w:p>
        </w:tc>
        <w:tc>
          <w:tcPr>
            <w:tcW w:w="1370" w:type="dxa"/>
            <w:shd w:val="clear" w:color="auto" w:fill="2E74B5" w:themeFill="accent1" w:themeFillShade="BF"/>
          </w:tcPr>
          <w:p w:rsidR="00732F33" w:rsidRPr="007B7FE8" w:rsidRDefault="00732F33" w:rsidP="00732F33">
            <w:pPr>
              <w:spacing w:after="0"/>
              <w:ind w:left="0"/>
              <w:rPr>
                <w:b/>
                <w:color w:val="FFFFFF" w:themeColor="background1"/>
                <w:sz w:val="16"/>
                <w:szCs w:val="16"/>
              </w:rPr>
            </w:pPr>
            <w:r w:rsidRPr="007B7FE8">
              <w:rPr>
                <w:b/>
                <w:color w:val="FFFFFF" w:themeColor="background1"/>
                <w:sz w:val="16"/>
                <w:szCs w:val="16"/>
              </w:rPr>
              <w:t>AMP6 Performance</w:t>
            </w:r>
          </w:p>
        </w:tc>
        <w:tc>
          <w:tcPr>
            <w:tcW w:w="1465" w:type="dxa"/>
            <w:shd w:val="clear" w:color="auto" w:fill="2E74B5" w:themeFill="accent1" w:themeFillShade="BF"/>
          </w:tcPr>
          <w:p w:rsidR="00732F33" w:rsidRPr="007B7FE8" w:rsidRDefault="00732F33" w:rsidP="00732F33">
            <w:pPr>
              <w:spacing w:after="0"/>
              <w:ind w:left="0"/>
              <w:rPr>
                <w:b/>
                <w:color w:val="FFFFFF" w:themeColor="background1"/>
                <w:sz w:val="16"/>
                <w:szCs w:val="16"/>
              </w:rPr>
            </w:pPr>
            <w:r w:rsidRPr="007B7FE8">
              <w:rPr>
                <w:b/>
                <w:color w:val="FFFFFF" w:themeColor="background1"/>
                <w:sz w:val="16"/>
                <w:szCs w:val="16"/>
              </w:rPr>
              <w:t>2024/25 Target</w:t>
            </w:r>
          </w:p>
        </w:tc>
        <w:tc>
          <w:tcPr>
            <w:tcW w:w="1843" w:type="dxa"/>
            <w:shd w:val="clear" w:color="auto" w:fill="2E74B5" w:themeFill="accent1" w:themeFillShade="BF"/>
          </w:tcPr>
          <w:p w:rsidR="00732F33" w:rsidRPr="007B7FE8" w:rsidRDefault="00732F33" w:rsidP="00732F33">
            <w:pPr>
              <w:spacing w:after="0"/>
              <w:ind w:left="0"/>
              <w:rPr>
                <w:b/>
                <w:color w:val="FFFFFF" w:themeColor="background1"/>
                <w:sz w:val="16"/>
                <w:szCs w:val="16"/>
              </w:rPr>
            </w:pPr>
            <w:r w:rsidRPr="007B7FE8">
              <w:rPr>
                <w:b/>
                <w:color w:val="FFFFFF" w:themeColor="background1"/>
                <w:sz w:val="16"/>
                <w:szCs w:val="16"/>
              </w:rPr>
              <w:t>2034/35 Target</w:t>
            </w:r>
          </w:p>
        </w:tc>
        <w:tc>
          <w:tcPr>
            <w:tcW w:w="850" w:type="dxa"/>
            <w:shd w:val="clear" w:color="auto" w:fill="2E74B5" w:themeFill="accent1" w:themeFillShade="BF"/>
          </w:tcPr>
          <w:p w:rsidR="00732F33" w:rsidRPr="007B7FE8" w:rsidRDefault="00732F33" w:rsidP="00732F33">
            <w:pPr>
              <w:spacing w:after="0"/>
              <w:ind w:left="0"/>
              <w:jc w:val="center"/>
              <w:rPr>
                <w:b/>
                <w:color w:val="FFFFFF" w:themeColor="background1"/>
                <w:sz w:val="16"/>
                <w:szCs w:val="16"/>
              </w:rPr>
            </w:pPr>
            <w:r w:rsidRPr="007B7FE8">
              <w:rPr>
                <w:b/>
                <w:color w:val="FFFFFF" w:themeColor="background1"/>
                <w:sz w:val="16"/>
                <w:szCs w:val="16"/>
              </w:rPr>
              <w:t>Reward/Penalty</w:t>
            </w:r>
          </w:p>
        </w:tc>
      </w:tr>
      <w:tr w:rsidR="00A407A5" w:rsidRPr="007B7FE8" w:rsidTr="000844DD">
        <w:tc>
          <w:tcPr>
            <w:tcW w:w="2405" w:type="dxa"/>
          </w:tcPr>
          <w:p w:rsidR="00A407A5" w:rsidRPr="007B7FE8" w:rsidRDefault="00A407A5" w:rsidP="00A407A5">
            <w:pPr>
              <w:spacing w:before="20" w:after="20"/>
              <w:ind w:left="0"/>
              <w:rPr>
                <w:sz w:val="16"/>
                <w:szCs w:val="16"/>
              </w:rPr>
            </w:pPr>
            <w:r w:rsidRPr="007B7FE8">
              <w:rPr>
                <w:sz w:val="16"/>
                <w:szCs w:val="16"/>
              </w:rPr>
              <w:t xml:space="preserve">Carbon </w:t>
            </w:r>
            <w:r>
              <w:rPr>
                <w:sz w:val="16"/>
                <w:szCs w:val="16"/>
              </w:rPr>
              <w:t>tCO</w:t>
            </w:r>
            <w:r w:rsidRPr="004157FD">
              <w:rPr>
                <w:sz w:val="16"/>
                <w:szCs w:val="16"/>
                <w:vertAlign w:val="subscript"/>
              </w:rPr>
              <w:t>2</w:t>
            </w:r>
            <w:r>
              <w:rPr>
                <w:sz w:val="16"/>
                <w:szCs w:val="16"/>
              </w:rPr>
              <w:t xml:space="preserve"> per Ml/d</w:t>
            </w:r>
          </w:p>
        </w:tc>
        <w:tc>
          <w:tcPr>
            <w:tcW w:w="850" w:type="dxa"/>
          </w:tcPr>
          <w:p w:rsidR="00A407A5" w:rsidRPr="007B7FE8" w:rsidRDefault="00A407A5" w:rsidP="00A407A5">
            <w:pPr>
              <w:spacing w:before="20" w:after="20"/>
              <w:ind w:left="0"/>
              <w:jc w:val="center"/>
              <w:rPr>
                <w:sz w:val="16"/>
                <w:szCs w:val="16"/>
              </w:rPr>
            </w:pPr>
            <w:r w:rsidRPr="007B7FE8">
              <w:rPr>
                <w:sz w:val="16"/>
                <w:szCs w:val="16"/>
              </w:rPr>
              <w:t>B</w:t>
            </w:r>
          </w:p>
        </w:tc>
        <w:tc>
          <w:tcPr>
            <w:tcW w:w="1370" w:type="dxa"/>
          </w:tcPr>
          <w:p w:rsidR="00A407A5" w:rsidRPr="007B7FE8" w:rsidRDefault="00A407A5" w:rsidP="00A407A5">
            <w:pPr>
              <w:spacing w:after="0"/>
              <w:ind w:left="0"/>
              <w:jc w:val="left"/>
              <w:rPr>
                <w:sz w:val="16"/>
                <w:szCs w:val="16"/>
              </w:rPr>
            </w:pPr>
            <w:r w:rsidRPr="007B7FE8">
              <w:rPr>
                <w:sz w:val="16"/>
                <w:szCs w:val="16"/>
              </w:rPr>
              <w:t>UQ</w:t>
            </w:r>
          </w:p>
        </w:tc>
        <w:tc>
          <w:tcPr>
            <w:tcW w:w="1465" w:type="dxa"/>
          </w:tcPr>
          <w:p w:rsidR="00A407A5" w:rsidRPr="007B7FE8" w:rsidRDefault="00A407A5" w:rsidP="00A407A5">
            <w:pPr>
              <w:spacing w:after="0"/>
              <w:ind w:left="0"/>
              <w:jc w:val="left"/>
              <w:rPr>
                <w:sz w:val="16"/>
                <w:szCs w:val="16"/>
              </w:rPr>
            </w:pPr>
            <w:r w:rsidRPr="007B7FE8">
              <w:rPr>
                <w:sz w:val="16"/>
                <w:szCs w:val="16"/>
              </w:rPr>
              <w:t>UQ</w:t>
            </w:r>
          </w:p>
        </w:tc>
        <w:tc>
          <w:tcPr>
            <w:tcW w:w="1843" w:type="dxa"/>
          </w:tcPr>
          <w:p w:rsidR="00A407A5" w:rsidRPr="007B7FE8" w:rsidRDefault="00A407A5" w:rsidP="00A407A5">
            <w:pPr>
              <w:spacing w:after="0"/>
              <w:ind w:left="0"/>
              <w:jc w:val="left"/>
              <w:rPr>
                <w:sz w:val="16"/>
                <w:szCs w:val="16"/>
              </w:rPr>
            </w:pPr>
            <w:r w:rsidRPr="007B7FE8">
              <w:rPr>
                <w:sz w:val="16"/>
                <w:szCs w:val="16"/>
              </w:rPr>
              <w:t>UQ</w:t>
            </w:r>
          </w:p>
        </w:tc>
        <w:tc>
          <w:tcPr>
            <w:tcW w:w="850" w:type="dxa"/>
          </w:tcPr>
          <w:p w:rsidR="00A407A5" w:rsidRPr="007B7FE8" w:rsidRDefault="00A407A5" w:rsidP="00A407A5">
            <w:pPr>
              <w:spacing w:after="0"/>
              <w:ind w:left="0"/>
              <w:jc w:val="center"/>
              <w:rPr>
                <w:sz w:val="16"/>
                <w:szCs w:val="16"/>
              </w:rPr>
            </w:pPr>
            <w:r w:rsidRPr="007B7FE8">
              <w:rPr>
                <w:sz w:val="16"/>
                <w:szCs w:val="16"/>
              </w:rPr>
              <w:t>REP</w:t>
            </w:r>
          </w:p>
        </w:tc>
      </w:tr>
    </w:tbl>
    <w:p w:rsidR="001F3FA5" w:rsidRDefault="001F3FA5" w:rsidP="001F3FA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640925" w:rsidRDefault="00640925" w:rsidP="009A2FEB">
      <w:r>
        <w:t xml:space="preserve">This is a bespoke </w:t>
      </w:r>
      <w:r w:rsidR="00451E46">
        <w:t>P</w:t>
      </w:r>
      <w:r>
        <w:t xml:space="preserve">erformance </w:t>
      </w:r>
      <w:r w:rsidR="00451E46">
        <w:t>C</w:t>
      </w:r>
      <w:r>
        <w:t>ommitment.</w:t>
      </w:r>
    </w:p>
    <w:p w:rsidR="00800C5D" w:rsidRPr="009A2FEB" w:rsidRDefault="00800C5D" w:rsidP="00800C5D">
      <w:r w:rsidRPr="009A2FEB">
        <w:t>We have a long-term commitment to further reduce carbon emissions through AMP7 and beyond.</w:t>
      </w:r>
    </w:p>
    <w:p w:rsidR="00800C5D" w:rsidRPr="009A2FEB" w:rsidRDefault="00800C5D" w:rsidP="00800C5D">
      <w:r w:rsidRPr="009A2FEB">
        <w:t xml:space="preserve">In an average year, </w:t>
      </w:r>
      <w:r w:rsidR="00451E46">
        <w:t xml:space="preserve">we </w:t>
      </w:r>
      <w:r w:rsidRPr="009A2FEB">
        <w:t>produce approximately 10 tonnes of carbon (tCO</w:t>
      </w:r>
      <w:r w:rsidRPr="00A407A5">
        <w:rPr>
          <w:vertAlign w:val="subscript"/>
        </w:rPr>
        <w:t>²</w:t>
      </w:r>
      <w:r w:rsidRPr="009A2FEB">
        <w:t xml:space="preserve">) 96% of which is derived from electrical consumption to abstract, treat and deliver water.  Consequently, our primary focus is on improving the efficient use of electrical power.  We have commenced development trials in preparation for implementation in AMP7 of a new software tool.  This will select and operate pumps to maximise electrical efficiency.  They indicate savings </w:t>
      </w:r>
      <w:r w:rsidR="009E1269">
        <w:t>in</w:t>
      </w:r>
      <w:r w:rsidRPr="009A2FEB">
        <w:t xml:space="preserve"> the area of 3-5%.</w:t>
      </w:r>
    </w:p>
    <w:p w:rsidR="00800C5D" w:rsidRPr="009A2FEB" w:rsidRDefault="00800C5D" w:rsidP="00800C5D">
      <w:r w:rsidRPr="009A2FEB">
        <w:t>We are also trialling the use of electrical vehicles together with software to manage vehicle movements.  It has an objective to reduce fossil fuel annual mileage by between 8-10%.</w:t>
      </w:r>
    </w:p>
    <w:p w:rsidR="00800C5D" w:rsidRPr="009A2FEB" w:rsidRDefault="00800C5D" w:rsidP="00800C5D">
      <w:r w:rsidRPr="009A2FEB">
        <w:t xml:space="preserve">In addition, we will continue to undertake </w:t>
      </w:r>
      <w:r w:rsidR="004260AB">
        <w:t>other our current activities to:</w:t>
      </w:r>
    </w:p>
    <w:p w:rsidR="00800C5D" w:rsidRPr="009A2FEB" w:rsidRDefault="00800C5D" w:rsidP="00800C5D">
      <w:pPr>
        <w:pStyle w:val="Bullets"/>
      </w:pPr>
      <w:r w:rsidRPr="009A2FEB">
        <w:t>Work with the National Grid operators in their frequency response and demand management systems.</w:t>
      </w:r>
    </w:p>
    <w:p w:rsidR="00800C5D" w:rsidRPr="009A2FEB" w:rsidRDefault="00800C5D" w:rsidP="00800C5D">
      <w:pPr>
        <w:pStyle w:val="Bullets"/>
      </w:pPr>
      <w:r w:rsidRPr="009A2FEB">
        <w:t xml:space="preserve">Maintain the level of energy obtained from renewable sources at &gt;90%. </w:t>
      </w:r>
    </w:p>
    <w:p w:rsidR="00800C5D" w:rsidRDefault="00800C5D" w:rsidP="00800C5D">
      <w:pPr>
        <w:pStyle w:val="Bullets"/>
      </w:pPr>
      <w:r w:rsidRPr="009A2FEB">
        <w:t xml:space="preserve">Investigate further opportunities for developing third party funded wind and solar energy projects. </w:t>
      </w:r>
    </w:p>
    <w:p w:rsidR="00800C5D" w:rsidRPr="009A2FEB" w:rsidRDefault="00800C5D" w:rsidP="00800C5D">
      <w:pPr>
        <w:pStyle w:val="Bullets"/>
        <w:numPr>
          <w:ilvl w:val="0"/>
          <w:numId w:val="0"/>
        </w:numPr>
        <w:ind w:left="1848"/>
      </w:pPr>
    </w:p>
    <w:p w:rsidR="00800C5D" w:rsidRDefault="00800C5D" w:rsidP="00800C5D">
      <w:r w:rsidRPr="009A2FEB">
        <w:t>The Company proposes to develop the Havant Thicket Winter Storage Reservoir Scheme (HTWSR).  The scheme, the first of its kind for several decades in the South East of England, will be promoted as an exemplar scheme concerning minimising carbon impact, promoting sustainable practices throughout the projects construction and operational life span</w:t>
      </w:r>
      <w:r>
        <w:t>.</w:t>
      </w:r>
    </w:p>
    <w:p w:rsidR="00800C5D" w:rsidRDefault="00800C5D" w:rsidP="00800C5D">
      <w:pPr>
        <w:rPr>
          <w:rFonts w:cs="Arial"/>
          <w:b/>
        </w:rPr>
      </w:pPr>
      <w:r>
        <w:rPr>
          <w:rFonts w:cs="Arial"/>
          <w:b/>
        </w:rPr>
        <w:t>5.</w:t>
      </w:r>
      <w:r>
        <w:rPr>
          <w:rFonts w:cs="Arial"/>
          <w:b/>
        </w:rPr>
        <w:tab/>
        <w:t>The Eel Regulations 2009</w:t>
      </w:r>
    </w:p>
    <w:p w:rsidR="00A407A5" w:rsidRDefault="00800C5D" w:rsidP="00800C5D">
      <w:pPr>
        <w:rPr>
          <w:rFonts w:cs="Arial"/>
        </w:rPr>
      </w:pPr>
      <w:r>
        <w:rPr>
          <w:rFonts w:cs="Arial"/>
        </w:rPr>
        <w:t xml:space="preserve">Under </w:t>
      </w:r>
      <w:r w:rsidR="004260AB">
        <w:rPr>
          <w:rFonts w:cs="Arial"/>
        </w:rPr>
        <w:t>the</w:t>
      </w:r>
      <w:r>
        <w:rPr>
          <w:rFonts w:cs="Arial"/>
        </w:rPr>
        <w:t xml:space="preserve"> regulations</w:t>
      </w:r>
      <w:r w:rsidR="004260AB">
        <w:rPr>
          <w:rFonts w:cs="Arial"/>
        </w:rPr>
        <w:t>,</w:t>
      </w:r>
      <w:r>
        <w:rPr>
          <w:rFonts w:cs="Arial"/>
        </w:rPr>
        <w:t xml:space="preserve"> where a risk </w:t>
      </w:r>
      <w:r w:rsidR="004260AB">
        <w:rPr>
          <w:rFonts w:cs="Arial"/>
        </w:rPr>
        <w:t xml:space="preserve">of eel entrapment at abstraction intakes </w:t>
      </w:r>
      <w:r>
        <w:rPr>
          <w:rFonts w:cs="Arial"/>
        </w:rPr>
        <w:t>is identified</w:t>
      </w:r>
      <w:r w:rsidR="004260AB">
        <w:rPr>
          <w:rFonts w:cs="Arial"/>
        </w:rPr>
        <w:t>, s</w:t>
      </w:r>
      <w:r>
        <w:rPr>
          <w:rFonts w:cs="Arial"/>
        </w:rPr>
        <w:t xml:space="preserve">creens must be erected to prevent this. At </w:t>
      </w:r>
      <w:r w:rsidR="004260AB">
        <w:rPr>
          <w:rFonts w:cs="Arial"/>
        </w:rPr>
        <w:t>PR14,</w:t>
      </w:r>
      <w:r>
        <w:rPr>
          <w:rFonts w:cs="Arial"/>
        </w:rPr>
        <w:t xml:space="preserve"> </w:t>
      </w:r>
      <w:r w:rsidR="00A407A5">
        <w:rPr>
          <w:rFonts w:cs="Arial"/>
        </w:rPr>
        <w:t xml:space="preserve">we </w:t>
      </w:r>
      <w:r>
        <w:rPr>
          <w:rFonts w:cs="Arial"/>
        </w:rPr>
        <w:t xml:space="preserve">successfully argued that a study was required at its River Itchen intake to establish whether it was a danger to eels. Accordingly, the EA issued an exemption notice allowing the company to undertake a study </w:t>
      </w:r>
      <w:r w:rsidR="004260AB">
        <w:rPr>
          <w:rFonts w:cs="Arial"/>
        </w:rPr>
        <w:t>that it undertook</w:t>
      </w:r>
      <w:r>
        <w:rPr>
          <w:rFonts w:cs="Arial"/>
        </w:rPr>
        <w:t xml:space="preserve"> over 2015 and 2016. In this </w:t>
      </w:r>
      <w:r w:rsidR="004260AB">
        <w:rPr>
          <w:rFonts w:cs="Arial"/>
        </w:rPr>
        <w:t>investigation,</w:t>
      </w:r>
      <w:r>
        <w:rPr>
          <w:rFonts w:cs="Arial"/>
        </w:rPr>
        <w:t xml:space="preserve"> one eel was found to be present and this was sufficient for the EA’s cost benefit analysis to classify the intake as high risk and therefore determine that Eel Screens were required. </w:t>
      </w:r>
      <w:r w:rsidR="00E93C7F">
        <w:rPr>
          <w:rFonts w:cs="Arial"/>
        </w:rPr>
        <w:t xml:space="preserve"> </w:t>
      </w:r>
    </w:p>
    <w:p w:rsidR="00A407A5" w:rsidRDefault="00A407A5" w:rsidP="00800C5D">
      <w:pPr>
        <w:rPr>
          <w:rFonts w:cs="Arial"/>
        </w:rPr>
      </w:pPr>
      <w:r>
        <w:rPr>
          <w:rFonts w:cs="Arial"/>
        </w:rPr>
        <w:t xml:space="preserve">We </w:t>
      </w:r>
      <w:r w:rsidR="00800C5D">
        <w:rPr>
          <w:rFonts w:cs="Arial"/>
        </w:rPr>
        <w:t>challenged this conclusion, but the EA were clear this w</w:t>
      </w:r>
      <w:r w:rsidR="00212458">
        <w:rPr>
          <w:rFonts w:cs="Arial"/>
        </w:rPr>
        <w:t xml:space="preserve">as a statutory responsibility. </w:t>
      </w:r>
      <w:r w:rsidR="00800C5D">
        <w:rPr>
          <w:rFonts w:cs="Arial"/>
        </w:rPr>
        <w:t>During this process it was also establish</w:t>
      </w:r>
      <w:r w:rsidR="00E93C7F">
        <w:rPr>
          <w:rFonts w:cs="Arial"/>
        </w:rPr>
        <w:t>ed</w:t>
      </w:r>
      <w:r w:rsidR="00800C5D">
        <w:rPr>
          <w:rFonts w:cs="Arial"/>
        </w:rPr>
        <w:t xml:space="preserve"> that there was also a risk to Brooke Lamprey and under the Habitat’s directive, the screens should be sufficient to prevent that species from being entrapped. </w:t>
      </w:r>
      <w:r w:rsidR="00E93C7F">
        <w:rPr>
          <w:rFonts w:cs="Arial"/>
        </w:rPr>
        <w:t xml:space="preserve"> </w:t>
      </w:r>
      <w:r w:rsidR="00800C5D">
        <w:rPr>
          <w:rFonts w:cs="Arial"/>
        </w:rPr>
        <w:t xml:space="preserve">The size of screen would be dependent on the flow velocity of the river </w:t>
      </w:r>
      <w:r w:rsidR="009E1269">
        <w:rPr>
          <w:rFonts w:cs="Arial"/>
        </w:rPr>
        <w:t xml:space="preserve">and </w:t>
      </w:r>
      <w:r w:rsidR="00800C5D">
        <w:rPr>
          <w:rFonts w:cs="Arial"/>
        </w:rPr>
        <w:t>based on the early view o</w:t>
      </w:r>
      <w:r w:rsidR="009E1269">
        <w:rPr>
          <w:rFonts w:cs="Arial"/>
        </w:rPr>
        <w:t>f</w:t>
      </w:r>
      <w:r w:rsidR="00800C5D">
        <w:rPr>
          <w:rFonts w:cs="Arial"/>
        </w:rPr>
        <w:t xml:space="preserve"> the EA, they would have had to be erected in the river rather than within the intake itself. The cost of this would have been over £4m. </w:t>
      </w:r>
    </w:p>
    <w:p w:rsidR="00800C5D" w:rsidRDefault="00A407A5" w:rsidP="00800C5D">
      <w:pPr>
        <w:rPr>
          <w:rFonts w:cs="Arial"/>
        </w:rPr>
      </w:pPr>
      <w:r>
        <w:rPr>
          <w:rFonts w:cs="Arial"/>
        </w:rPr>
        <w:t xml:space="preserve">We </w:t>
      </w:r>
      <w:r w:rsidR="00800C5D">
        <w:rPr>
          <w:rFonts w:cs="Arial"/>
        </w:rPr>
        <w:t>challenged this and through constructive dialogue with the EA, agreement was reached to build the screens flush</w:t>
      </w:r>
      <w:r w:rsidR="00212458">
        <w:rPr>
          <w:rFonts w:cs="Arial"/>
        </w:rPr>
        <w:t xml:space="preserve"> to the intake at a cost of £2.3</w:t>
      </w:r>
      <w:r w:rsidR="00800C5D">
        <w:rPr>
          <w:rFonts w:cs="Arial"/>
        </w:rPr>
        <w:t>m. This is a statutory requirement and part of the WINEP</w:t>
      </w:r>
      <w:r>
        <w:rPr>
          <w:rFonts w:cs="Arial"/>
        </w:rPr>
        <w:t xml:space="preserve"> to be completed by March 2021</w:t>
      </w:r>
      <w:r w:rsidR="00800C5D">
        <w:rPr>
          <w:rFonts w:cs="Arial"/>
        </w:rPr>
        <w:t>.</w:t>
      </w:r>
    </w:p>
    <w:p w:rsidR="00C07CAE" w:rsidRDefault="00C07CAE" w:rsidP="00B44ED5">
      <w:pPr>
        <w:pStyle w:val="Heading3"/>
      </w:pPr>
      <w:bookmarkStart w:id="85" w:name="_Toc522199989"/>
      <w:bookmarkStart w:id="86" w:name="_Toc522200086"/>
      <w:bookmarkStart w:id="87" w:name="_Toc523651268"/>
      <w:r w:rsidRPr="003F193D">
        <w:t>Securing long term resilience</w:t>
      </w:r>
      <w:bookmarkEnd w:id="85"/>
      <w:bookmarkEnd w:id="86"/>
      <w:bookmarkEnd w:id="87"/>
    </w:p>
    <w:p w:rsidR="00C07CAE" w:rsidRPr="000C468A" w:rsidRDefault="00C07CAE" w:rsidP="004456AC">
      <w:pPr>
        <w:rPr>
          <w:b/>
          <w:bCs/>
        </w:rPr>
      </w:pPr>
      <w:r w:rsidRPr="000C468A">
        <w:rPr>
          <w:b/>
          <w:bCs/>
        </w:rPr>
        <w:t>Biodiversity</w:t>
      </w:r>
    </w:p>
    <w:p w:rsidR="008B3495" w:rsidRDefault="009A2FEB" w:rsidP="009A2FEB">
      <w:pPr>
        <w:rPr>
          <w:bCs/>
        </w:rPr>
      </w:pPr>
      <w:r w:rsidRPr="009A2FEB">
        <w:rPr>
          <w:bCs/>
        </w:rPr>
        <w:t xml:space="preserve">Our proposed biodiversity programme for AMP 7 will directly contribute to </w:t>
      </w:r>
      <w:r w:rsidR="00D87981" w:rsidRPr="009A2FEB">
        <w:rPr>
          <w:bCs/>
        </w:rPr>
        <w:t>long-term</w:t>
      </w:r>
      <w:r w:rsidRPr="009A2FEB">
        <w:rPr>
          <w:bCs/>
        </w:rPr>
        <w:t xml:space="preserve"> environmental resilience through conserving and enhancing priority species and habitat.</w:t>
      </w:r>
    </w:p>
    <w:p w:rsidR="009A2FEB" w:rsidRPr="009A2FEB" w:rsidRDefault="009A2FEB" w:rsidP="009A2FEB">
      <w:pPr>
        <w:rPr>
          <w:b/>
          <w:bCs/>
        </w:rPr>
      </w:pPr>
      <w:r w:rsidRPr="009A2FEB">
        <w:rPr>
          <w:b/>
          <w:bCs/>
        </w:rPr>
        <w:t>Catchment Management</w:t>
      </w:r>
    </w:p>
    <w:p w:rsidR="00800C5D" w:rsidRPr="009A2FEB" w:rsidRDefault="00800C5D" w:rsidP="00800C5D">
      <w:pPr>
        <w:rPr>
          <w:bCs/>
        </w:rPr>
      </w:pPr>
      <w:r w:rsidRPr="009A2FEB">
        <w:rPr>
          <w:bCs/>
        </w:rPr>
        <w:t>Our evidence work undertaken in AMP 6 has identified how catchment management can help secure long-term resilience associated with public water supply and the wider environment.</w:t>
      </w:r>
    </w:p>
    <w:p w:rsidR="00800C5D" w:rsidRPr="009A2FEB" w:rsidRDefault="00800C5D" w:rsidP="00800C5D">
      <w:pPr>
        <w:rPr>
          <w:bCs/>
        </w:rPr>
      </w:pPr>
      <w:r w:rsidRPr="009A2FEB">
        <w:rPr>
          <w:bCs/>
        </w:rPr>
        <w:t xml:space="preserve">Our nitrate trend modelling has shown how </w:t>
      </w:r>
      <w:r w:rsidR="001F3FA5">
        <w:rPr>
          <w:bCs/>
        </w:rPr>
        <w:t>C</w:t>
      </w:r>
      <w:r w:rsidRPr="009A2FEB">
        <w:rPr>
          <w:bCs/>
        </w:rPr>
        <w:t xml:space="preserve">atchment </w:t>
      </w:r>
      <w:r w:rsidR="001F3FA5">
        <w:rPr>
          <w:bCs/>
        </w:rPr>
        <w:t>M</w:t>
      </w:r>
      <w:r w:rsidRPr="009A2FEB">
        <w:rPr>
          <w:bCs/>
        </w:rPr>
        <w:t xml:space="preserve">anagement, if targeted appropriately  across our catchments, can reduce autumn-winter ‘peaking’ of nitrate concentrations in our boreholes, and coincident nitrate ‘spiking’ associated with intense or prolonged rainfall events. </w:t>
      </w:r>
      <w:r w:rsidR="009E1269">
        <w:rPr>
          <w:bCs/>
        </w:rPr>
        <w:t xml:space="preserve"> </w:t>
      </w:r>
      <w:r w:rsidRPr="009A2FEB">
        <w:rPr>
          <w:bCs/>
        </w:rPr>
        <w:t xml:space="preserve">In such instances, </w:t>
      </w:r>
      <w:r w:rsidR="001F3FA5">
        <w:rPr>
          <w:bCs/>
        </w:rPr>
        <w:t>C</w:t>
      </w:r>
      <w:r w:rsidRPr="009A2FEB">
        <w:rPr>
          <w:bCs/>
        </w:rPr>
        <w:t xml:space="preserve">atchment </w:t>
      </w:r>
      <w:r w:rsidR="001F3FA5">
        <w:rPr>
          <w:bCs/>
        </w:rPr>
        <w:t>M</w:t>
      </w:r>
      <w:r w:rsidRPr="009A2FEB">
        <w:rPr>
          <w:bCs/>
        </w:rPr>
        <w:t>anagement can reduce the breaching of drinking water standards in the raw water of our boreholes</w:t>
      </w:r>
      <w:r w:rsidR="004260AB">
        <w:rPr>
          <w:bCs/>
        </w:rPr>
        <w:t>,</w:t>
      </w:r>
      <w:r w:rsidRPr="009A2FEB">
        <w:rPr>
          <w:bCs/>
        </w:rPr>
        <w:t xml:space="preserve"> thereby eliminating the need to either temporarily shut down the source, or treat the raw water by blending it with that from another (lower nitrate) borehole. This, therefore, increases the resilience of our public water supply.</w:t>
      </w:r>
    </w:p>
    <w:p w:rsidR="00800C5D" w:rsidRPr="009A2FEB" w:rsidRDefault="00800C5D" w:rsidP="00800C5D">
      <w:pPr>
        <w:rPr>
          <w:bCs/>
        </w:rPr>
      </w:pPr>
      <w:r w:rsidRPr="009A2FEB">
        <w:rPr>
          <w:bCs/>
        </w:rPr>
        <w:t xml:space="preserve">With regards to the long term resilience of the environment, the </w:t>
      </w:r>
      <w:r w:rsidR="001F3FA5">
        <w:rPr>
          <w:bCs/>
        </w:rPr>
        <w:t>C</w:t>
      </w:r>
      <w:r w:rsidRPr="009A2FEB">
        <w:rPr>
          <w:bCs/>
        </w:rPr>
        <w:t xml:space="preserve">atchment </w:t>
      </w:r>
      <w:r w:rsidR="001F3FA5">
        <w:rPr>
          <w:bCs/>
        </w:rPr>
        <w:t>M</w:t>
      </w:r>
      <w:r w:rsidRPr="009A2FEB">
        <w:rPr>
          <w:bCs/>
        </w:rPr>
        <w:t>anagement interventions we wish to roll out in AMP 7 such as arable reversion, improved soil management, use of cover crops, reduced cultivation systems</w:t>
      </w:r>
      <w:r w:rsidR="00451E46">
        <w:rPr>
          <w:bCs/>
        </w:rPr>
        <w:t>,</w:t>
      </w:r>
      <w:r w:rsidRPr="009A2FEB">
        <w:rPr>
          <w:bCs/>
        </w:rPr>
        <w:t xml:space="preserve"> will deliver wider environmental and biodiversity benefits associated with the following ‘ecosystem services’: </w:t>
      </w:r>
    </w:p>
    <w:p w:rsidR="00800C5D" w:rsidRPr="009A2FEB" w:rsidRDefault="00800C5D" w:rsidP="00800C5D">
      <w:pPr>
        <w:pStyle w:val="Bullets"/>
      </w:pPr>
      <w:r w:rsidRPr="009A2FEB">
        <w:t>provisioning services – benefits in the form of goods or products that people use or are used in the production of other goods (e.g. crops, timber etc.);</w:t>
      </w:r>
    </w:p>
    <w:p w:rsidR="00800C5D" w:rsidRPr="009A2FEB" w:rsidRDefault="00800C5D" w:rsidP="00800C5D">
      <w:pPr>
        <w:pStyle w:val="Bullets"/>
      </w:pPr>
      <w:r w:rsidRPr="009A2FEB">
        <w:t>regulating services – benefits through the control of natural processes such as water quality and flows, natural hazard protection and erosion control;</w:t>
      </w:r>
    </w:p>
    <w:p w:rsidR="00800C5D" w:rsidRPr="009A2FEB" w:rsidRDefault="00800C5D" w:rsidP="00800C5D">
      <w:pPr>
        <w:pStyle w:val="Bullets"/>
      </w:pPr>
      <w:r w:rsidRPr="009A2FEB">
        <w:t>cultural services – non-material benefits that people derive from the natural environment such as recreation, spiritual values and aesthetic enjoyment; and,</w:t>
      </w:r>
    </w:p>
    <w:p w:rsidR="00800C5D" w:rsidRDefault="00800C5D" w:rsidP="00800C5D">
      <w:pPr>
        <w:pStyle w:val="Bullets"/>
      </w:pPr>
      <w:r w:rsidRPr="009A2FEB">
        <w:t>supporting services – natural processes that maintain the production of all other ecosystem services such as habitat provision, nutrient cycling, soil formation and water cycling.</w:t>
      </w:r>
    </w:p>
    <w:p w:rsidR="00800C5D" w:rsidRPr="009A2FEB" w:rsidRDefault="00800C5D" w:rsidP="00800C5D">
      <w:pPr>
        <w:pStyle w:val="Bullets"/>
        <w:numPr>
          <w:ilvl w:val="0"/>
          <w:numId w:val="0"/>
        </w:numPr>
        <w:ind w:left="1848"/>
      </w:pPr>
    </w:p>
    <w:p w:rsidR="00800C5D" w:rsidRPr="009A2FEB" w:rsidRDefault="00800C5D" w:rsidP="00800C5D">
      <w:pPr>
        <w:rPr>
          <w:b/>
          <w:bCs/>
        </w:rPr>
      </w:pPr>
      <w:r w:rsidRPr="009A2FEB">
        <w:rPr>
          <w:b/>
          <w:bCs/>
        </w:rPr>
        <w:t>Sustainable Abstraction Regime</w:t>
      </w:r>
    </w:p>
    <w:p w:rsidR="005E61BF" w:rsidRDefault="00800C5D" w:rsidP="00800C5D">
      <w:pPr>
        <w:rPr>
          <w:bCs/>
        </w:rPr>
      </w:pPr>
      <w:r>
        <w:rPr>
          <w:bCs/>
        </w:rPr>
        <w:t xml:space="preserve">Our activities in AMP 7, represents a major step towards the </w:t>
      </w:r>
      <w:r w:rsidR="004260AB">
        <w:rPr>
          <w:bCs/>
        </w:rPr>
        <w:t>Government’s</w:t>
      </w:r>
      <w:r>
        <w:rPr>
          <w:bCs/>
        </w:rPr>
        <w:t xml:space="preserve"> aspirations for a more resilient South East of England. </w:t>
      </w:r>
      <w:r w:rsidRPr="009A2FEB">
        <w:rPr>
          <w:bCs/>
        </w:rPr>
        <w:t>As evidence</w:t>
      </w:r>
      <w:r>
        <w:rPr>
          <w:bCs/>
        </w:rPr>
        <w:t>d</w:t>
      </w:r>
      <w:r w:rsidRPr="009A2FEB">
        <w:rPr>
          <w:bCs/>
        </w:rPr>
        <w:t xml:space="preserve"> by our Water Resources Management Plan, our water resources management programme of work delivers long-term resilience of public water supply for our customers</w:t>
      </w:r>
      <w:r>
        <w:rPr>
          <w:bCs/>
        </w:rPr>
        <w:t xml:space="preserve"> and those of neighbouring companies who are in areas of serious water stress.</w:t>
      </w:r>
      <w:r w:rsidR="009E1269">
        <w:rPr>
          <w:bCs/>
        </w:rPr>
        <w:t xml:space="preserve">  </w:t>
      </w:r>
      <w:r w:rsidRPr="009A2FEB">
        <w:rPr>
          <w:bCs/>
        </w:rPr>
        <w:t xml:space="preserve">However, in addition to this, through sustainable abstraction and ensuring that the flow/volume requirements of the water environment are accounted for, this work will deliver further environmental resilience benefits in the form of regulating and supporting ecosystem services. </w:t>
      </w:r>
    </w:p>
    <w:p w:rsidR="003702ED" w:rsidRDefault="003702ED" w:rsidP="00800C5D">
      <w:pPr>
        <w:rPr>
          <w:b/>
          <w:bCs/>
        </w:rPr>
      </w:pPr>
      <w:r w:rsidRPr="003702ED">
        <w:rPr>
          <w:b/>
          <w:bCs/>
        </w:rPr>
        <w:t>Blueprint for Water Priorities for PR19</w:t>
      </w:r>
    </w:p>
    <w:p w:rsidR="003702ED" w:rsidRPr="003702ED" w:rsidRDefault="003702ED" w:rsidP="00800C5D">
      <w:pPr>
        <w:rPr>
          <w:bCs/>
        </w:rPr>
      </w:pPr>
      <w:r>
        <w:rPr>
          <w:bCs/>
        </w:rPr>
        <w:t>We believe our Plan supports the priorities established by Blueprint for Water.  In particular, our bulk supplies to Southern Water allow them to reduce abstraction on the rivers Test and Itchen, allowing them to achieve good status.  Our new resource options are environmentally sound and our solutions include leakage and PCC reductions.</w:t>
      </w:r>
    </w:p>
    <w:p w:rsidR="004260AB" w:rsidRPr="00453F64" w:rsidRDefault="005D4761" w:rsidP="00800C5D">
      <w:pPr>
        <w:rPr>
          <w:bCs/>
          <w:color w:val="2E74B5" w:themeColor="accent1" w:themeShade="BF"/>
        </w:rPr>
      </w:pPr>
      <w:r w:rsidRPr="00453F64">
        <w:rPr>
          <w:bCs/>
          <w:color w:val="2E74B5" w:themeColor="accent1" w:themeShade="BF"/>
        </w:rPr>
        <w:t>Appendices relevant to this section</w:t>
      </w:r>
    </w:p>
    <w:tbl>
      <w:tblPr>
        <w:tblStyle w:val="TableGrid22"/>
        <w:tblW w:w="0" w:type="auto"/>
        <w:jc w:val="center"/>
        <w:tblLook w:val="04A0" w:firstRow="1" w:lastRow="0" w:firstColumn="1" w:lastColumn="0" w:noHBand="0" w:noVBand="1"/>
      </w:tblPr>
      <w:tblGrid>
        <w:gridCol w:w="1838"/>
        <w:gridCol w:w="4173"/>
        <w:gridCol w:w="1781"/>
      </w:tblGrid>
      <w:tr w:rsidR="00762933" w:rsidRPr="001E0DCD" w:rsidTr="00762933">
        <w:trPr>
          <w:jc w:val="center"/>
        </w:trPr>
        <w:tc>
          <w:tcPr>
            <w:tcW w:w="1838" w:type="dxa"/>
            <w:shd w:val="clear" w:color="auto" w:fill="2E74B5" w:themeFill="accent1" w:themeFillShade="BF"/>
          </w:tcPr>
          <w:p w:rsidR="00762933" w:rsidRPr="001E0DCD" w:rsidRDefault="00762933" w:rsidP="00762933">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762933" w:rsidRPr="001E0DCD" w:rsidRDefault="00762933" w:rsidP="00762933">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762933" w:rsidRPr="001E0DCD" w:rsidRDefault="00762933" w:rsidP="00762933">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762933" w:rsidRPr="001E0DCD" w:rsidTr="00762933">
        <w:trPr>
          <w:jc w:val="center"/>
        </w:trPr>
        <w:tc>
          <w:tcPr>
            <w:tcW w:w="1838" w:type="dxa"/>
          </w:tcPr>
          <w:p w:rsidR="00762933" w:rsidRPr="001E0DCD" w:rsidRDefault="00762933" w:rsidP="00762933">
            <w:pPr>
              <w:tabs>
                <w:tab w:val="clear" w:pos="851"/>
              </w:tabs>
              <w:spacing w:after="0"/>
              <w:ind w:left="0"/>
              <w:jc w:val="left"/>
              <w:rPr>
                <w:rFonts w:cs="Arial"/>
                <w:sz w:val="16"/>
                <w:szCs w:val="16"/>
              </w:rPr>
            </w:pPr>
            <w:r>
              <w:rPr>
                <w:rFonts w:cs="Arial"/>
                <w:sz w:val="16"/>
                <w:szCs w:val="16"/>
              </w:rPr>
              <w:t>2.3</w:t>
            </w:r>
          </w:p>
        </w:tc>
        <w:tc>
          <w:tcPr>
            <w:tcW w:w="4173" w:type="dxa"/>
          </w:tcPr>
          <w:p w:rsidR="00762933" w:rsidRPr="001E0DCD" w:rsidRDefault="00762933" w:rsidP="00762933">
            <w:pPr>
              <w:tabs>
                <w:tab w:val="clear" w:pos="851"/>
              </w:tabs>
              <w:spacing w:after="0"/>
              <w:ind w:left="0"/>
              <w:jc w:val="left"/>
              <w:rPr>
                <w:rFonts w:cs="Arial"/>
                <w:sz w:val="16"/>
                <w:szCs w:val="16"/>
              </w:rPr>
            </w:pPr>
            <w:r>
              <w:rPr>
                <w:rFonts w:cs="Arial"/>
                <w:sz w:val="16"/>
                <w:szCs w:val="16"/>
              </w:rPr>
              <w:t>Accent – Qualitative Research into Outcomes</w:t>
            </w:r>
          </w:p>
        </w:tc>
        <w:tc>
          <w:tcPr>
            <w:tcW w:w="1781" w:type="dxa"/>
          </w:tcPr>
          <w:p w:rsidR="00762933" w:rsidRPr="001E0DCD" w:rsidRDefault="00762933" w:rsidP="00762933">
            <w:pPr>
              <w:tabs>
                <w:tab w:val="clear" w:pos="851"/>
              </w:tabs>
              <w:spacing w:after="0"/>
              <w:ind w:left="0"/>
              <w:jc w:val="left"/>
              <w:rPr>
                <w:rFonts w:cs="Arial"/>
                <w:sz w:val="16"/>
                <w:szCs w:val="16"/>
              </w:rPr>
            </w:pPr>
            <w:r>
              <w:rPr>
                <w:rFonts w:cs="Arial"/>
                <w:sz w:val="16"/>
                <w:szCs w:val="16"/>
              </w:rPr>
              <w:t>December 2016</w:t>
            </w:r>
          </w:p>
        </w:tc>
      </w:tr>
      <w:tr w:rsidR="00762933" w:rsidRPr="001E0DCD" w:rsidTr="00762933">
        <w:trPr>
          <w:jc w:val="center"/>
        </w:trPr>
        <w:tc>
          <w:tcPr>
            <w:tcW w:w="1838" w:type="dxa"/>
          </w:tcPr>
          <w:p w:rsidR="00762933" w:rsidRDefault="00762933" w:rsidP="00762933">
            <w:pPr>
              <w:tabs>
                <w:tab w:val="clear" w:pos="851"/>
              </w:tabs>
              <w:spacing w:after="0"/>
              <w:ind w:left="0"/>
              <w:jc w:val="left"/>
              <w:rPr>
                <w:rFonts w:cs="Arial"/>
                <w:sz w:val="16"/>
                <w:szCs w:val="16"/>
              </w:rPr>
            </w:pPr>
            <w:r>
              <w:rPr>
                <w:rFonts w:cs="Arial"/>
                <w:sz w:val="16"/>
                <w:szCs w:val="16"/>
              </w:rPr>
              <w:t>2.17</w:t>
            </w:r>
          </w:p>
        </w:tc>
        <w:tc>
          <w:tcPr>
            <w:tcW w:w="4173" w:type="dxa"/>
          </w:tcPr>
          <w:p w:rsidR="00762933" w:rsidRDefault="00762933" w:rsidP="00762933">
            <w:pPr>
              <w:tabs>
                <w:tab w:val="clear" w:pos="851"/>
              </w:tabs>
              <w:spacing w:after="0"/>
              <w:ind w:left="0"/>
              <w:jc w:val="left"/>
              <w:rPr>
                <w:rFonts w:cs="Arial"/>
                <w:sz w:val="16"/>
                <w:szCs w:val="16"/>
              </w:rPr>
            </w:pPr>
            <w:r>
              <w:rPr>
                <w:rFonts w:cs="Arial"/>
                <w:sz w:val="16"/>
                <w:szCs w:val="16"/>
              </w:rPr>
              <w:t xml:space="preserve">ICS – PC + ODI Customer Survey Results </w:t>
            </w:r>
          </w:p>
        </w:tc>
        <w:tc>
          <w:tcPr>
            <w:tcW w:w="1781" w:type="dxa"/>
          </w:tcPr>
          <w:p w:rsidR="00762933" w:rsidRDefault="00762933" w:rsidP="00762933">
            <w:pPr>
              <w:tabs>
                <w:tab w:val="clear" w:pos="851"/>
              </w:tabs>
              <w:spacing w:after="0"/>
              <w:ind w:left="0"/>
              <w:jc w:val="left"/>
              <w:rPr>
                <w:rFonts w:cs="Arial"/>
                <w:sz w:val="16"/>
                <w:szCs w:val="16"/>
              </w:rPr>
            </w:pPr>
            <w:r>
              <w:rPr>
                <w:rFonts w:cs="Arial"/>
                <w:sz w:val="16"/>
                <w:szCs w:val="16"/>
              </w:rPr>
              <w:t>April 2018</w:t>
            </w:r>
          </w:p>
        </w:tc>
      </w:tr>
      <w:tr w:rsidR="00762933" w:rsidRPr="001E0DCD" w:rsidTr="00762933">
        <w:trPr>
          <w:jc w:val="center"/>
        </w:trPr>
        <w:tc>
          <w:tcPr>
            <w:tcW w:w="1838" w:type="dxa"/>
          </w:tcPr>
          <w:p w:rsidR="00762933" w:rsidRDefault="00762933" w:rsidP="00762933">
            <w:pPr>
              <w:tabs>
                <w:tab w:val="clear" w:pos="851"/>
              </w:tabs>
              <w:spacing w:after="0"/>
              <w:ind w:left="0"/>
              <w:jc w:val="left"/>
              <w:rPr>
                <w:rFonts w:cs="Arial"/>
                <w:sz w:val="16"/>
                <w:szCs w:val="16"/>
              </w:rPr>
            </w:pPr>
            <w:r>
              <w:rPr>
                <w:rFonts w:cs="Arial"/>
                <w:sz w:val="16"/>
                <w:szCs w:val="16"/>
              </w:rPr>
              <w:t>2.11</w:t>
            </w:r>
          </w:p>
        </w:tc>
        <w:tc>
          <w:tcPr>
            <w:tcW w:w="4173" w:type="dxa"/>
          </w:tcPr>
          <w:p w:rsidR="00762933" w:rsidRDefault="00762933" w:rsidP="00762933">
            <w:pPr>
              <w:tabs>
                <w:tab w:val="clear" w:pos="851"/>
              </w:tabs>
              <w:spacing w:after="0"/>
              <w:ind w:left="0"/>
              <w:jc w:val="left"/>
              <w:rPr>
                <w:rFonts w:cs="Arial"/>
                <w:sz w:val="16"/>
                <w:szCs w:val="16"/>
              </w:rPr>
            </w:pPr>
            <w:r>
              <w:rPr>
                <w:rFonts w:cs="Arial"/>
                <w:sz w:val="16"/>
                <w:szCs w:val="16"/>
              </w:rPr>
              <w:t>Student Customer Survey Report</w:t>
            </w:r>
          </w:p>
        </w:tc>
        <w:tc>
          <w:tcPr>
            <w:tcW w:w="1781" w:type="dxa"/>
          </w:tcPr>
          <w:p w:rsidR="00762933" w:rsidRDefault="00762933" w:rsidP="00762933">
            <w:pPr>
              <w:tabs>
                <w:tab w:val="clear" w:pos="851"/>
              </w:tabs>
              <w:spacing w:after="0"/>
              <w:ind w:left="0"/>
              <w:jc w:val="left"/>
              <w:rPr>
                <w:rFonts w:cs="Arial"/>
                <w:sz w:val="16"/>
                <w:szCs w:val="16"/>
              </w:rPr>
            </w:pPr>
            <w:r>
              <w:rPr>
                <w:rFonts w:cs="Arial"/>
                <w:sz w:val="16"/>
                <w:szCs w:val="16"/>
              </w:rPr>
              <w:t>October 2017</w:t>
            </w:r>
          </w:p>
        </w:tc>
      </w:tr>
      <w:tr w:rsidR="00762933" w:rsidRPr="001E0DCD" w:rsidTr="00762933">
        <w:trPr>
          <w:jc w:val="center"/>
        </w:trPr>
        <w:tc>
          <w:tcPr>
            <w:tcW w:w="1838" w:type="dxa"/>
          </w:tcPr>
          <w:p w:rsidR="00762933" w:rsidRDefault="00762933" w:rsidP="00762933">
            <w:pPr>
              <w:tabs>
                <w:tab w:val="clear" w:pos="851"/>
              </w:tabs>
              <w:spacing w:after="0"/>
              <w:ind w:left="0"/>
              <w:jc w:val="left"/>
              <w:rPr>
                <w:rFonts w:cs="Arial"/>
                <w:sz w:val="16"/>
                <w:szCs w:val="16"/>
              </w:rPr>
            </w:pPr>
            <w:r>
              <w:rPr>
                <w:rFonts w:cs="Arial"/>
                <w:sz w:val="16"/>
                <w:szCs w:val="16"/>
              </w:rPr>
              <w:t>2.9</w:t>
            </w:r>
          </w:p>
        </w:tc>
        <w:tc>
          <w:tcPr>
            <w:tcW w:w="4173" w:type="dxa"/>
          </w:tcPr>
          <w:p w:rsidR="00762933" w:rsidRDefault="00762933" w:rsidP="00762933">
            <w:pPr>
              <w:tabs>
                <w:tab w:val="clear" w:pos="851"/>
              </w:tabs>
              <w:spacing w:after="0"/>
              <w:ind w:left="0"/>
              <w:jc w:val="left"/>
              <w:rPr>
                <w:rFonts w:cs="Arial"/>
                <w:sz w:val="16"/>
                <w:szCs w:val="16"/>
              </w:rPr>
            </w:pPr>
            <w:r>
              <w:rPr>
                <w:rFonts w:cs="Arial"/>
                <w:sz w:val="16"/>
                <w:szCs w:val="16"/>
              </w:rPr>
              <w:t>Workplace Key Points</w:t>
            </w:r>
          </w:p>
        </w:tc>
        <w:tc>
          <w:tcPr>
            <w:tcW w:w="1781" w:type="dxa"/>
          </w:tcPr>
          <w:p w:rsidR="00762933" w:rsidRDefault="00762933" w:rsidP="00762933">
            <w:pPr>
              <w:tabs>
                <w:tab w:val="clear" w:pos="851"/>
              </w:tabs>
              <w:spacing w:after="0"/>
              <w:ind w:left="0"/>
              <w:jc w:val="left"/>
              <w:rPr>
                <w:rFonts w:cs="Arial"/>
                <w:sz w:val="16"/>
                <w:szCs w:val="16"/>
              </w:rPr>
            </w:pPr>
            <w:r>
              <w:rPr>
                <w:rFonts w:cs="Arial"/>
                <w:sz w:val="16"/>
                <w:szCs w:val="16"/>
              </w:rPr>
              <w:t>August 2017</w:t>
            </w:r>
          </w:p>
        </w:tc>
      </w:tr>
      <w:tr w:rsidR="00762933" w:rsidRPr="001E0DCD" w:rsidTr="00762933">
        <w:trPr>
          <w:jc w:val="center"/>
        </w:trPr>
        <w:tc>
          <w:tcPr>
            <w:tcW w:w="1838" w:type="dxa"/>
          </w:tcPr>
          <w:p w:rsidR="00762933" w:rsidRDefault="00762933" w:rsidP="00762933">
            <w:pPr>
              <w:tabs>
                <w:tab w:val="clear" w:pos="851"/>
              </w:tabs>
              <w:spacing w:after="0"/>
              <w:ind w:left="0"/>
              <w:jc w:val="left"/>
              <w:rPr>
                <w:rFonts w:cs="Arial"/>
                <w:sz w:val="16"/>
                <w:szCs w:val="16"/>
              </w:rPr>
            </w:pPr>
            <w:r>
              <w:rPr>
                <w:rFonts w:cs="Arial"/>
                <w:sz w:val="16"/>
                <w:szCs w:val="16"/>
              </w:rPr>
              <w:t>2.12</w:t>
            </w:r>
          </w:p>
        </w:tc>
        <w:tc>
          <w:tcPr>
            <w:tcW w:w="4173" w:type="dxa"/>
          </w:tcPr>
          <w:p w:rsidR="00762933" w:rsidRDefault="00762933" w:rsidP="00762933">
            <w:pPr>
              <w:tabs>
                <w:tab w:val="clear" w:pos="851"/>
              </w:tabs>
              <w:spacing w:after="0"/>
              <w:ind w:left="0"/>
              <w:jc w:val="left"/>
              <w:rPr>
                <w:rFonts w:cs="Arial"/>
                <w:sz w:val="16"/>
                <w:szCs w:val="16"/>
              </w:rPr>
            </w:pPr>
            <w:r>
              <w:rPr>
                <w:rFonts w:cs="Arial"/>
                <w:sz w:val="16"/>
                <w:szCs w:val="16"/>
              </w:rPr>
              <w:t>Results from Cowplain School</w:t>
            </w:r>
          </w:p>
        </w:tc>
        <w:tc>
          <w:tcPr>
            <w:tcW w:w="1781" w:type="dxa"/>
          </w:tcPr>
          <w:p w:rsidR="00762933" w:rsidRDefault="00762933" w:rsidP="00762933">
            <w:pPr>
              <w:tabs>
                <w:tab w:val="clear" w:pos="851"/>
              </w:tabs>
              <w:spacing w:after="0"/>
              <w:ind w:left="0"/>
              <w:jc w:val="left"/>
              <w:rPr>
                <w:rFonts w:cs="Arial"/>
                <w:sz w:val="16"/>
                <w:szCs w:val="16"/>
              </w:rPr>
            </w:pPr>
            <w:r>
              <w:rPr>
                <w:rFonts w:cs="Arial"/>
                <w:sz w:val="16"/>
                <w:szCs w:val="16"/>
              </w:rPr>
              <w:t>November 2017</w:t>
            </w:r>
          </w:p>
        </w:tc>
      </w:tr>
      <w:tr w:rsidR="00762933" w:rsidRPr="001E0DCD" w:rsidTr="00762933">
        <w:trPr>
          <w:jc w:val="center"/>
        </w:trPr>
        <w:tc>
          <w:tcPr>
            <w:tcW w:w="1838" w:type="dxa"/>
          </w:tcPr>
          <w:p w:rsidR="00762933" w:rsidRDefault="00762933" w:rsidP="00762933">
            <w:pPr>
              <w:tabs>
                <w:tab w:val="clear" w:pos="851"/>
              </w:tabs>
              <w:spacing w:after="0"/>
              <w:ind w:left="0"/>
              <w:jc w:val="left"/>
              <w:rPr>
                <w:rFonts w:cs="Arial"/>
                <w:sz w:val="16"/>
                <w:szCs w:val="16"/>
              </w:rPr>
            </w:pPr>
            <w:r>
              <w:rPr>
                <w:rFonts w:cs="Arial"/>
                <w:sz w:val="16"/>
                <w:szCs w:val="16"/>
              </w:rPr>
              <w:t>2.13</w:t>
            </w:r>
          </w:p>
        </w:tc>
        <w:tc>
          <w:tcPr>
            <w:tcW w:w="4173" w:type="dxa"/>
          </w:tcPr>
          <w:p w:rsidR="00762933" w:rsidRDefault="00762933" w:rsidP="00762933">
            <w:pPr>
              <w:tabs>
                <w:tab w:val="clear" w:pos="851"/>
              </w:tabs>
              <w:spacing w:after="0"/>
              <w:ind w:left="0"/>
              <w:jc w:val="left"/>
              <w:rPr>
                <w:rFonts w:cs="Arial"/>
                <w:sz w:val="16"/>
                <w:szCs w:val="16"/>
              </w:rPr>
            </w:pPr>
            <w:r>
              <w:rPr>
                <w:rFonts w:cs="Arial"/>
                <w:sz w:val="16"/>
                <w:szCs w:val="16"/>
              </w:rPr>
              <w:t>Ark Charter Academy School</w:t>
            </w:r>
          </w:p>
        </w:tc>
        <w:tc>
          <w:tcPr>
            <w:tcW w:w="1781" w:type="dxa"/>
          </w:tcPr>
          <w:p w:rsidR="00762933" w:rsidRDefault="00762933" w:rsidP="00762933">
            <w:pPr>
              <w:tabs>
                <w:tab w:val="clear" w:pos="851"/>
              </w:tabs>
              <w:spacing w:after="0"/>
              <w:ind w:left="0"/>
              <w:jc w:val="left"/>
              <w:rPr>
                <w:rFonts w:cs="Arial"/>
                <w:sz w:val="16"/>
                <w:szCs w:val="16"/>
              </w:rPr>
            </w:pPr>
            <w:r>
              <w:rPr>
                <w:rFonts w:cs="Arial"/>
                <w:sz w:val="16"/>
                <w:szCs w:val="16"/>
              </w:rPr>
              <w:t>November 2017</w:t>
            </w:r>
          </w:p>
        </w:tc>
      </w:tr>
      <w:tr w:rsidR="00762933" w:rsidRPr="001E0DCD" w:rsidTr="00762933">
        <w:trPr>
          <w:jc w:val="center"/>
        </w:trPr>
        <w:tc>
          <w:tcPr>
            <w:tcW w:w="1838" w:type="dxa"/>
          </w:tcPr>
          <w:p w:rsidR="00762933" w:rsidRDefault="00762933" w:rsidP="00762933">
            <w:pPr>
              <w:tabs>
                <w:tab w:val="clear" w:pos="851"/>
              </w:tabs>
              <w:spacing w:after="0"/>
              <w:ind w:left="0"/>
              <w:jc w:val="left"/>
              <w:rPr>
                <w:rFonts w:cs="Arial"/>
                <w:sz w:val="16"/>
                <w:szCs w:val="16"/>
              </w:rPr>
            </w:pPr>
            <w:r>
              <w:rPr>
                <w:rFonts w:cs="Arial"/>
                <w:sz w:val="16"/>
                <w:szCs w:val="16"/>
              </w:rPr>
              <w:t>2.1</w:t>
            </w:r>
          </w:p>
        </w:tc>
        <w:tc>
          <w:tcPr>
            <w:tcW w:w="4173" w:type="dxa"/>
          </w:tcPr>
          <w:p w:rsidR="00762933" w:rsidRDefault="00762933" w:rsidP="00762933">
            <w:pPr>
              <w:tabs>
                <w:tab w:val="clear" w:pos="851"/>
              </w:tabs>
              <w:spacing w:after="0"/>
              <w:ind w:left="0"/>
              <w:jc w:val="left"/>
              <w:rPr>
                <w:rFonts w:cs="Arial"/>
                <w:sz w:val="16"/>
                <w:szCs w:val="16"/>
              </w:rPr>
            </w:pPr>
            <w:r>
              <w:rPr>
                <w:rFonts w:cs="Arial"/>
                <w:sz w:val="16"/>
                <w:szCs w:val="16"/>
              </w:rPr>
              <w:t>Customer Engagement and Triangulation</w:t>
            </w:r>
          </w:p>
        </w:tc>
        <w:tc>
          <w:tcPr>
            <w:tcW w:w="1781" w:type="dxa"/>
          </w:tcPr>
          <w:p w:rsidR="00762933" w:rsidRDefault="00762933" w:rsidP="00762933">
            <w:pPr>
              <w:tabs>
                <w:tab w:val="clear" w:pos="851"/>
              </w:tabs>
              <w:spacing w:after="0"/>
              <w:ind w:left="0"/>
              <w:jc w:val="left"/>
              <w:rPr>
                <w:rFonts w:cs="Arial"/>
                <w:sz w:val="16"/>
                <w:szCs w:val="16"/>
              </w:rPr>
            </w:pPr>
            <w:r>
              <w:rPr>
                <w:rFonts w:cs="Arial"/>
                <w:sz w:val="16"/>
                <w:szCs w:val="16"/>
              </w:rPr>
              <w:t>August 2018</w:t>
            </w:r>
          </w:p>
        </w:tc>
      </w:tr>
      <w:tr w:rsidR="00762933" w:rsidRPr="001E0DCD" w:rsidTr="00762933">
        <w:trPr>
          <w:jc w:val="center"/>
        </w:trPr>
        <w:tc>
          <w:tcPr>
            <w:tcW w:w="1838" w:type="dxa"/>
          </w:tcPr>
          <w:p w:rsidR="00762933" w:rsidRDefault="00011015" w:rsidP="00762933">
            <w:pPr>
              <w:tabs>
                <w:tab w:val="clear" w:pos="851"/>
              </w:tabs>
              <w:spacing w:after="0"/>
              <w:ind w:left="0"/>
              <w:jc w:val="left"/>
              <w:rPr>
                <w:rFonts w:cs="Arial"/>
                <w:sz w:val="16"/>
                <w:szCs w:val="16"/>
              </w:rPr>
            </w:pPr>
            <w:r>
              <w:rPr>
                <w:rFonts w:cs="Arial"/>
                <w:sz w:val="16"/>
                <w:szCs w:val="16"/>
              </w:rPr>
              <w:t>3.7</w:t>
            </w:r>
          </w:p>
        </w:tc>
        <w:tc>
          <w:tcPr>
            <w:tcW w:w="4173" w:type="dxa"/>
          </w:tcPr>
          <w:p w:rsidR="00762933" w:rsidRDefault="00762933" w:rsidP="00762933">
            <w:pPr>
              <w:tabs>
                <w:tab w:val="clear" w:pos="851"/>
              </w:tabs>
              <w:spacing w:after="0"/>
              <w:ind w:left="0"/>
              <w:jc w:val="left"/>
              <w:rPr>
                <w:rFonts w:cs="Arial"/>
                <w:sz w:val="16"/>
                <w:szCs w:val="16"/>
              </w:rPr>
            </w:pPr>
            <w:r>
              <w:rPr>
                <w:rFonts w:cs="Arial"/>
                <w:sz w:val="16"/>
                <w:szCs w:val="16"/>
              </w:rPr>
              <w:t>WINEP – Actions agreed with EA</w:t>
            </w:r>
          </w:p>
        </w:tc>
        <w:tc>
          <w:tcPr>
            <w:tcW w:w="1781" w:type="dxa"/>
          </w:tcPr>
          <w:p w:rsidR="00762933" w:rsidRDefault="00AF5729" w:rsidP="00762933">
            <w:pPr>
              <w:tabs>
                <w:tab w:val="clear" w:pos="851"/>
              </w:tabs>
              <w:spacing w:after="0"/>
              <w:ind w:left="0"/>
              <w:jc w:val="left"/>
              <w:rPr>
                <w:rFonts w:cs="Arial"/>
                <w:sz w:val="16"/>
                <w:szCs w:val="16"/>
              </w:rPr>
            </w:pPr>
            <w:r>
              <w:rPr>
                <w:rFonts w:cs="Arial"/>
                <w:sz w:val="16"/>
                <w:szCs w:val="16"/>
              </w:rPr>
              <w:t>August 2018</w:t>
            </w:r>
          </w:p>
        </w:tc>
      </w:tr>
      <w:tr w:rsidR="00762933" w:rsidRPr="001E0DCD" w:rsidTr="00762933">
        <w:trPr>
          <w:jc w:val="center"/>
        </w:trPr>
        <w:tc>
          <w:tcPr>
            <w:tcW w:w="1838" w:type="dxa"/>
          </w:tcPr>
          <w:p w:rsidR="00762933" w:rsidRDefault="00011015" w:rsidP="00762933">
            <w:pPr>
              <w:tabs>
                <w:tab w:val="clear" w:pos="851"/>
              </w:tabs>
              <w:spacing w:after="0"/>
              <w:ind w:left="0"/>
              <w:jc w:val="left"/>
              <w:rPr>
                <w:rFonts w:cs="Arial"/>
                <w:sz w:val="16"/>
                <w:szCs w:val="16"/>
              </w:rPr>
            </w:pPr>
            <w:r>
              <w:rPr>
                <w:rFonts w:cs="Arial"/>
                <w:sz w:val="16"/>
                <w:szCs w:val="16"/>
              </w:rPr>
              <w:t>3.8</w:t>
            </w:r>
          </w:p>
        </w:tc>
        <w:tc>
          <w:tcPr>
            <w:tcW w:w="4173" w:type="dxa"/>
          </w:tcPr>
          <w:p w:rsidR="00762933" w:rsidRDefault="00762933" w:rsidP="00762933">
            <w:pPr>
              <w:tabs>
                <w:tab w:val="clear" w:pos="851"/>
              </w:tabs>
              <w:spacing w:after="0"/>
              <w:ind w:left="0"/>
              <w:jc w:val="left"/>
              <w:rPr>
                <w:rFonts w:cs="Arial"/>
                <w:sz w:val="16"/>
                <w:szCs w:val="16"/>
              </w:rPr>
            </w:pPr>
            <w:r>
              <w:rPr>
                <w:rFonts w:cs="Arial"/>
                <w:sz w:val="16"/>
                <w:szCs w:val="16"/>
              </w:rPr>
              <w:t>WINEP - Schemes</w:t>
            </w:r>
          </w:p>
        </w:tc>
        <w:tc>
          <w:tcPr>
            <w:tcW w:w="1781" w:type="dxa"/>
          </w:tcPr>
          <w:p w:rsidR="00762933" w:rsidRDefault="00AF5729" w:rsidP="00762933">
            <w:pPr>
              <w:tabs>
                <w:tab w:val="clear" w:pos="851"/>
              </w:tabs>
              <w:spacing w:after="0"/>
              <w:ind w:left="0"/>
              <w:jc w:val="left"/>
              <w:rPr>
                <w:rFonts w:cs="Arial"/>
                <w:sz w:val="16"/>
                <w:szCs w:val="16"/>
              </w:rPr>
            </w:pPr>
            <w:r>
              <w:rPr>
                <w:rFonts w:cs="Arial"/>
                <w:sz w:val="16"/>
                <w:szCs w:val="16"/>
              </w:rPr>
              <w:t>August 2018</w:t>
            </w:r>
          </w:p>
        </w:tc>
      </w:tr>
      <w:tr w:rsidR="00AF5729" w:rsidRPr="001E0DCD" w:rsidTr="00762933">
        <w:trPr>
          <w:jc w:val="center"/>
        </w:trPr>
        <w:tc>
          <w:tcPr>
            <w:tcW w:w="1838" w:type="dxa"/>
          </w:tcPr>
          <w:p w:rsidR="00AF5729" w:rsidRDefault="00AF5729" w:rsidP="00762933">
            <w:pPr>
              <w:tabs>
                <w:tab w:val="clear" w:pos="851"/>
              </w:tabs>
              <w:spacing w:after="0"/>
              <w:ind w:left="0"/>
              <w:jc w:val="left"/>
              <w:rPr>
                <w:rFonts w:cs="Arial"/>
                <w:sz w:val="16"/>
                <w:szCs w:val="16"/>
              </w:rPr>
            </w:pPr>
            <w:r>
              <w:rPr>
                <w:rFonts w:cs="Arial"/>
                <w:sz w:val="16"/>
                <w:szCs w:val="16"/>
              </w:rPr>
              <w:t>9.4.7</w:t>
            </w:r>
          </w:p>
        </w:tc>
        <w:tc>
          <w:tcPr>
            <w:tcW w:w="4173" w:type="dxa"/>
          </w:tcPr>
          <w:p w:rsidR="00AF5729" w:rsidRDefault="00AF5729" w:rsidP="00AF5729">
            <w:pPr>
              <w:tabs>
                <w:tab w:val="clear" w:pos="851"/>
              </w:tabs>
              <w:spacing w:after="0"/>
              <w:ind w:left="0"/>
              <w:jc w:val="left"/>
              <w:rPr>
                <w:rFonts w:cs="Arial"/>
                <w:sz w:val="16"/>
                <w:szCs w:val="16"/>
              </w:rPr>
            </w:pPr>
            <w:r>
              <w:rPr>
                <w:rFonts w:cs="Arial"/>
                <w:sz w:val="16"/>
                <w:szCs w:val="16"/>
              </w:rPr>
              <w:t>AMP7 PPA 1002 – Catchment Management Strategy</w:t>
            </w:r>
          </w:p>
        </w:tc>
        <w:tc>
          <w:tcPr>
            <w:tcW w:w="1781" w:type="dxa"/>
          </w:tcPr>
          <w:p w:rsidR="00AF5729" w:rsidRPr="00011015" w:rsidRDefault="00BA1427" w:rsidP="00762933">
            <w:pPr>
              <w:tabs>
                <w:tab w:val="clear" w:pos="851"/>
              </w:tabs>
              <w:spacing w:after="0"/>
              <w:ind w:left="0"/>
              <w:jc w:val="left"/>
              <w:rPr>
                <w:rFonts w:cs="Arial"/>
                <w:sz w:val="16"/>
                <w:szCs w:val="16"/>
                <w:highlight w:val="yellow"/>
              </w:rPr>
            </w:pPr>
            <w:r w:rsidRPr="00BA1427">
              <w:rPr>
                <w:rFonts w:cs="Arial"/>
                <w:sz w:val="16"/>
                <w:szCs w:val="16"/>
              </w:rPr>
              <w:t>March 2018</w:t>
            </w:r>
          </w:p>
        </w:tc>
      </w:tr>
    </w:tbl>
    <w:p w:rsidR="005C61B7" w:rsidRDefault="005C61B7" w:rsidP="008D497C">
      <w:pPr>
        <w:spacing w:after="0"/>
        <w:rPr>
          <w:bCs/>
        </w:rPr>
      </w:pPr>
    </w:p>
    <w:p w:rsidR="005C61B7" w:rsidRDefault="005C61B7">
      <w:pPr>
        <w:tabs>
          <w:tab w:val="clear" w:pos="851"/>
        </w:tabs>
        <w:spacing w:after="0"/>
        <w:ind w:left="0"/>
        <w:jc w:val="left"/>
        <w:rPr>
          <w:bCs/>
        </w:rPr>
      </w:pPr>
      <w:r>
        <w:rPr>
          <w:bCs/>
        </w:rPr>
        <w:br w:type="page"/>
      </w:r>
    </w:p>
    <w:p w:rsidR="00A73A0F" w:rsidRDefault="00A73A0F" w:rsidP="001523F8">
      <w:pPr>
        <w:pStyle w:val="Heading2"/>
      </w:pPr>
      <w:bookmarkStart w:id="88" w:name="_Toc522199990"/>
      <w:bookmarkStart w:id="89" w:name="_Toc522200087"/>
      <w:bookmarkStart w:id="90" w:name="_Toc523651269"/>
      <w:r>
        <w:t>Being recognised by the community as a good corporate citizen</w:t>
      </w:r>
      <w:bookmarkEnd w:id="88"/>
      <w:bookmarkEnd w:id="89"/>
      <w:bookmarkEnd w:id="90"/>
    </w:p>
    <w:p w:rsidR="006071D6" w:rsidRPr="006071D6" w:rsidRDefault="006071D6" w:rsidP="006071D6">
      <w:r>
        <w:t xml:space="preserve">This section explains our outcome ‘Being recognised by the community as a good corporate citizen’.  We start with a table summarising the Performance Commitment that underpins it, explain the insight that has shaped this outcome and then explain our Performance Commitment in detail.  We then go on to explain how, beyond our </w:t>
      </w:r>
      <w:r w:rsidR="00423B36">
        <w:t>s</w:t>
      </w:r>
      <w:r>
        <w:t xml:space="preserve">pecific </w:t>
      </w:r>
      <w:r w:rsidR="00423B36">
        <w:t>c</w:t>
      </w:r>
      <w:r>
        <w:t>ommitment, we will act to deliver this outcome.</w:t>
      </w:r>
    </w:p>
    <w:tbl>
      <w:tblPr>
        <w:tblStyle w:val="TableGrid210"/>
        <w:tblW w:w="8783" w:type="dxa"/>
        <w:tblInd w:w="851" w:type="dxa"/>
        <w:tblLayout w:type="fixed"/>
        <w:tblLook w:val="04A0" w:firstRow="1" w:lastRow="0" w:firstColumn="1" w:lastColumn="0" w:noHBand="0" w:noVBand="1"/>
      </w:tblPr>
      <w:tblGrid>
        <w:gridCol w:w="2405"/>
        <w:gridCol w:w="708"/>
        <w:gridCol w:w="1512"/>
        <w:gridCol w:w="2032"/>
        <w:gridCol w:w="1276"/>
        <w:gridCol w:w="850"/>
      </w:tblGrid>
      <w:tr w:rsidR="00F76973" w:rsidRPr="007B7FE8" w:rsidTr="007B7FE8">
        <w:tc>
          <w:tcPr>
            <w:tcW w:w="2405" w:type="dxa"/>
            <w:shd w:val="clear" w:color="auto" w:fill="2E74B5" w:themeFill="accent1" w:themeFillShade="BF"/>
          </w:tcPr>
          <w:p w:rsidR="00F76973" w:rsidRPr="007B7FE8" w:rsidRDefault="00F76973" w:rsidP="00F76973">
            <w:pPr>
              <w:spacing w:after="0"/>
              <w:ind w:left="0"/>
              <w:rPr>
                <w:sz w:val="16"/>
                <w:szCs w:val="16"/>
              </w:rPr>
            </w:pPr>
            <w:r w:rsidRPr="007B7FE8">
              <w:rPr>
                <w:b/>
                <w:bCs/>
                <w:color w:val="FFFFFF" w:themeColor="background1"/>
                <w:sz w:val="16"/>
                <w:szCs w:val="16"/>
              </w:rPr>
              <w:t>Performance Commitment</w:t>
            </w:r>
          </w:p>
        </w:tc>
        <w:tc>
          <w:tcPr>
            <w:tcW w:w="708" w:type="dxa"/>
            <w:shd w:val="clear" w:color="auto" w:fill="2E74B5" w:themeFill="accent1" w:themeFillShade="BF"/>
          </w:tcPr>
          <w:p w:rsidR="00F76973" w:rsidRPr="007B7FE8" w:rsidRDefault="00F76973" w:rsidP="00F76973">
            <w:pPr>
              <w:spacing w:before="20" w:after="20"/>
              <w:ind w:left="0"/>
              <w:jc w:val="center"/>
              <w:rPr>
                <w:b/>
                <w:bCs/>
                <w:color w:val="FFFFFF" w:themeColor="background1"/>
                <w:sz w:val="16"/>
                <w:szCs w:val="16"/>
              </w:rPr>
            </w:pPr>
            <w:r w:rsidRPr="007B7FE8">
              <w:rPr>
                <w:b/>
                <w:bCs/>
                <w:color w:val="FFFFFF" w:themeColor="background1"/>
                <w:sz w:val="16"/>
                <w:szCs w:val="16"/>
              </w:rPr>
              <w:t>Type</w:t>
            </w:r>
          </w:p>
        </w:tc>
        <w:tc>
          <w:tcPr>
            <w:tcW w:w="1512" w:type="dxa"/>
            <w:shd w:val="clear" w:color="auto" w:fill="2E74B5" w:themeFill="accent1" w:themeFillShade="BF"/>
          </w:tcPr>
          <w:p w:rsidR="00F76973" w:rsidRPr="007B7FE8" w:rsidRDefault="00F76973" w:rsidP="00F76973">
            <w:pPr>
              <w:spacing w:after="0"/>
              <w:ind w:left="0"/>
              <w:jc w:val="center"/>
              <w:rPr>
                <w:b/>
                <w:color w:val="FFFFFF" w:themeColor="background1"/>
                <w:sz w:val="16"/>
                <w:szCs w:val="16"/>
              </w:rPr>
            </w:pPr>
            <w:r w:rsidRPr="007B7FE8">
              <w:rPr>
                <w:b/>
                <w:color w:val="FFFFFF" w:themeColor="background1"/>
                <w:sz w:val="16"/>
                <w:szCs w:val="16"/>
              </w:rPr>
              <w:t>AMP6 Performance</w:t>
            </w:r>
          </w:p>
        </w:tc>
        <w:tc>
          <w:tcPr>
            <w:tcW w:w="2032" w:type="dxa"/>
            <w:shd w:val="clear" w:color="auto" w:fill="2E74B5" w:themeFill="accent1" w:themeFillShade="BF"/>
          </w:tcPr>
          <w:p w:rsidR="00F76973" w:rsidRPr="007B7FE8" w:rsidRDefault="00F76973" w:rsidP="00F76973">
            <w:pPr>
              <w:spacing w:after="0"/>
              <w:ind w:left="0"/>
              <w:rPr>
                <w:b/>
                <w:color w:val="FFFFFF" w:themeColor="background1"/>
                <w:sz w:val="16"/>
                <w:szCs w:val="16"/>
              </w:rPr>
            </w:pPr>
            <w:r w:rsidRPr="007B7FE8">
              <w:rPr>
                <w:b/>
                <w:color w:val="FFFFFF" w:themeColor="background1"/>
                <w:sz w:val="16"/>
                <w:szCs w:val="16"/>
              </w:rPr>
              <w:t>2024/25 Target</w:t>
            </w:r>
          </w:p>
        </w:tc>
        <w:tc>
          <w:tcPr>
            <w:tcW w:w="1276" w:type="dxa"/>
            <w:shd w:val="clear" w:color="auto" w:fill="2E74B5" w:themeFill="accent1" w:themeFillShade="BF"/>
          </w:tcPr>
          <w:p w:rsidR="00F76973" w:rsidRPr="007B7FE8" w:rsidRDefault="00F76973" w:rsidP="00F76973">
            <w:pPr>
              <w:spacing w:after="0"/>
              <w:ind w:left="0"/>
              <w:jc w:val="center"/>
              <w:rPr>
                <w:b/>
                <w:color w:val="FFFFFF" w:themeColor="background1"/>
                <w:sz w:val="16"/>
                <w:szCs w:val="16"/>
              </w:rPr>
            </w:pPr>
            <w:r w:rsidRPr="007B7FE8">
              <w:rPr>
                <w:b/>
                <w:color w:val="FFFFFF" w:themeColor="background1"/>
                <w:sz w:val="16"/>
                <w:szCs w:val="16"/>
              </w:rPr>
              <w:t>2034/35 Target</w:t>
            </w:r>
          </w:p>
        </w:tc>
        <w:tc>
          <w:tcPr>
            <w:tcW w:w="850" w:type="dxa"/>
            <w:shd w:val="clear" w:color="auto" w:fill="2E74B5" w:themeFill="accent1" w:themeFillShade="BF"/>
          </w:tcPr>
          <w:p w:rsidR="00F76973" w:rsidRPr="007B7FE8" w:rsidRDefault="00F76973" w:rsidP="00F76973">
            <w:pPr>
              <w:spacing w:after="0"/>
              <w:ind w:left="0"/>
              <w:jc w:val="center"/>
              <w:rPr>
                <w:b/>
                <w:color w:val="FFFFFF" w:themeColor="background1"/>
                <w:sz w:val="16"/>
                <w:szCs w:val="16"/>
              </w:rPr>
            </w:pPr>
            <w:r w:rsidRPr="007B7FE8">
              <w:rPr>
                <w:b/>
                <w:color w:val="FFFFFF" w:themeColor="background1"/>
                <w:sz w:val="16"/>
                <w:szCs w:val="16"/>
              </w:rPr>
              <w:t>Reward/Penalty</w:t>
            </w:r>
          </w:p>
        </w:tc>
      </w:tr>
      <w:tr w:rsidR="00F76973" w:rsidRPr="007B7FE8" w:rsidTr="007B7FE8">
        <w:tc>
          <w:tcPr>
            <w:tcW w:w="2405" w:type="dxa"/>
          </w:tcPr>
          <w:p w:rsidR="00F76973" w:rsidRPr="007B7FE8" w:rsidRDefault="00F76973" w:rsidP="00806312">
            <w:pPr>
              <w:spacing w:before="20" w:after="20"/>
              <w:ind w:left="0"/>
              <w:jc w:val="left"/>
              <w:rPr>
                <w:sz w:val="16"/>
                <w:szCs w:val="16"/>
              </w:rPr>
            </w:pPr>
            <w:r w:rsidRPr="007B7FE8">
              <w:rPr>
                <w:sz w:val="16"/>
                <w:szCs w:val="16"/>
              </w:rPr>
              <w:t>Satisfaction survey rating of our vulnerability management</w:t>
            </w:r>
          </w:p>
        </w:tc>
        <w:tc>
          <w:tcPr>
            <w:tcW w:w="708" w:type="dxa"/>
          </w:tcPr>
          <w:p w:rsidR="00F76973" w:rsidRPr="007B7FE8" w:rsidRDefault="00F76973" w:rsidP="00806312">
            <w:pPr>
              <w:spacing w:before="20" w:after="20"/>
              <w:ind w:left="0"/>
              <w:jc w:val="left"/>
              <w:rPr>
                <w:sz w:val="16"/>
                <w:szCs w:val="16"/>
              </w:rPr>
            </w:pPr>
            <w:r w:rsidRPr="007B7FE8">
              <w:rPr>
                <w:sz w:val="16"/>
                <w:szCs w:val="16"/>
              </w:rPr>
              <w:t>B</w:t>
            </w:r>
          </w:p>
        </w:tc>
        <w:tc>
          <w:tcPr>
            <w:tcW w:w="1512" w:type="dxa"/>
          </w:tcPr>
          <w:p w:rsidR="00F76973" w:rsidRPr="007B7FE8" w:rsidRDefault="00F76973" w:rsidP="00F76973">
            <w:pPr>
              <w:spacing w:after="0"/>
              <w:ind w:left="0"/>
              <w:jc w:val="center"/>
              <w:rPr>
                <w:sz w:val="16"/>
                <w:szCs w:val="16"/>
              </w:rPr>
            </w:pPr>
            <w:r w:rsidRPr="007B7FE8">
              <w:rPr>
                <w:sz w:val="16"/>
                <w:szCs w:val="16"/>
              </w:rPr>
              <w:t>n/a</w:t>
            </w:r>
          </w:p>
        </w:tc>
        <w:tc>
          <w:tcPr>
            <w:tcW w:w="2032" w:type="dxa"/>
          </w:tcPr>
          <w:p w:rsidR="00F76973" w:rsidRPr="007B7FE8" w:rsidRDefault="00F76973" w:rsidP="00806312">
            <w:pPr>
              <w:spacing w:before="20" w:after="20"/>
              <w:ind w:left="0"/>
              <w:jc w:val="left"/>
              <w:rPr>
                <w:sz w:val="16"/>
                <w:szCs w:val="16"/>
              </w:rPr>
            </w:pPr>
            <w:r w:rsidRPr="007B7FE8">
              <w:rPr>
                <w:sz w:val="16"/>
                <w:szCs w:val="16"/>
              </w:rPr>
              <w:t>Target – approval rating of 85% or greater.</w:t>
            </w:r>
          </w:p>
        </w:tc>
        <w:tc>
          <w:tcPr>
            <w:tcW w:w="1276" w:type="dxa"/>
          </w:tcPr>
          <w:p w:rsidR="00F76973" w:rsidRPr="007B7FE8" w:rsidRDefault="00F76973" w:rsidP="00F76973">
            <w:pPr>
              <w:spacing w:after="0"/>
              <w:ind w:left="0"/>
              <w:jc w:val="center"/>
              <w:rPr>
                <w:sz w:val="16"/>
                <w:szCs w:val="16"/>
              </w:rPr>
            </w:pPr>
            <w:r w:rsidRPr="007B7FE8">
              <w:rPr>
                <w:sz w:val="16"/>
                <w:szCs w:val="16"/>
              </w:rPr>
              <w:t>90%</w:t>
            </w:r>
          </w:p>
        </w:tc>
        <w:tc>
          <w:tcPr>
            <w:tcW w:w="850" w:type="dxa"/>
          </w:tcPr>
          <w:p w:rsidR="00F76973" w:rsidRPr="007B7FE8" w:rsidRDefault="00212458" w:rsidP="00806312">
            <w:pPr>
              <w:spacing w:after="0"/>
              <w:ind w:left="0"/>
              <w:jc w:val="center"/>
              <w:rPr>
                <w:sz w:val="16"/>
                <w:szCs w:val="16"/>
              </w:rPr>
            </w:pPr>
            <w:r w:rsidRPr="007B7FE8">
              <w:rPr>
                <w:sz w:val="16"/>
                <w:szCs w:val="16"/>
              </w:rPr>
              <w:t>RE</w:t>
            </w:r>
            <w:r w:rsidR="00F76973" w:rsidRPr="007B7FE8">
              <w:rPr>
                <w:sz w:val="16"/>
                <w:szCs w:val="16"/>
              </w:rPr>
              <w:t xml:space="preserve">P </w:t>
            </w:r>
          </w:p>
        </w:tc>
      </w:tr>
    </w:tbl>
    <w:p w:rsidR="006071D6" w:rsidRDefault="006071D6" w:rsidP="006071D6">
      <w:pPr>
        <w:rPr>
          <w:sz w:val="14"/>
          <w:szCs w:val="14"/>
        </w:rPr>
      </w:pPr>
      <w:bookmarkStart w:id="91" w:name="_Toc522199991"/>
      <w:bookmarkStart w:id="92" w:name="_Toc522200088"/>
      <w:r w:rsidRPr="00F84F6A">
        <w:rPr>
          <w:sz w:val="14"/>
          <w:szCs w:val="14"/>
        </w:rPr>
        <w:t>Key: C= Co</w:t>
      </w:r>
      <w:r>
        <w:rPr>
          <w:sz w:val="14"/>
          <w:szCs w:val="14"/>
        </w:rPr>
        <w:t>mmon B=Bespoke P=Penalty Only R = Reward Only R/P = Reward/Penalty REP = Reputational ER/EP = Enhanced Reward/Penalty UQ = Upper Quartile</w:t>
      </w:r>
    </w:p>
    <w:p w:rsidR="00B44ED5" w:rsidRDefault="00B44ED5" w:rsidP="00D16001">
      <w:pPr>
        <w:pStyle w:val="Heading3"/>
      </w:pPr>
      <w:bookmarkStart w:id="93" w:name="_Toc523651270"/>
      <w:r>
        <w:t>Engaging with Customers</w:t>
      </w:r>
      <w:bookmarkEnd w:id="91"/>
      <w:bookmarkEnd w:id="92"/>
      <w:bookmarkEnd w:id="93"/>
    </w:p>
    <w:tbl>
      <w:tblPr>
        <w:tblStyle w:val="TableGrid32"/>
        <w:tblW w:w="8787" w:type="dxa"/>
        <w:tblInd w:w="846" w:type="dxa"/>
        <w:tblLook w:val="04A0" w:firstRow="1" w:lastRow="0" w:firstColumn="1" w:lastColumn="0" w:noHBand="0" w:noVBand="1"/>
      </w:tblPr>
      <w:tblGrid>
        <w:gridCol w:w="2776"/>
        <w:gridCol w:w="3005"/>
        <w:gridCol w:w="3006"/>
      </w:tblGrid>
      <w:tr w:rsidR="007D0A69" w:rsidRPr="007D0A69" w:rsidTr="00E61AF6">
        <w:tc>
          <w:tcPr>
            <w:tcW w:w="2776" w:type="dxa"/>
            <w:shd w:val="clear" w:color="auto" w:fill="2E74B5" w:themeFill="accent1" w:themeFillShade="BF"/>
          </w:tcPr>
          <w:p w:rsidR="007D0A69" w:rsidRPr="007D0A69" w:rsidRDefault="007D0A69" w:rsidP="007D0A69">
            <w:pPr>
              <w:tabs>
                <w:tab w:val="clear" w:pos="851"/>
              </w:tabs>
              <w:spacing w:after="0"/>
              <w:ind w:left="0"/>
              <w:jc w:val="left"/>
              <w:rPr>
                <w:rFonts w:cs="Arial"/>
                <w:b/>
                <w:color w:val="FFFFFF"/>
                <w:sz w:val="16"/>
                <w:szCs w:val="16"/>
              </w:rPr>
            </w:pPr>
            <w:r w:rsidRPr="007D0A69">
              <w:rPr>
                <w:rFonts w:cs="Arial"/>
                <w:b/>
                <w:color w:val="FFFFFF"/>
                <w:sz w:val="16"/>
                <w:szCs w:val="16"/>
              </w:rPr>
              <w:t>Research</w:t>
            </w:r>
            <w:r w:rsidR="000C468A">
              <w:rPr>
                <w:rFonts w:cs="Arial"/>
                <w:b/>
                <w:color w:val="FFFFFF"/>
                <w:sz w:val="16"/>
                <w:szCs w:val="16"/>
              </w:rPr>
              <w:t xml:space="preserve"> and Triangulation</w:t>
            </w:r>
          </w:p>
        </w:tc>
        <w:tc>
          <w:tcPr>
            <w:tcW w:w="3005" w:type="dxa"/>
            <w:shd w:val="clear" w:color="auto" w:fill="2E74B5" w:themeFill="accent1" w:themeFillShade="BF"/>
          </w:tcPr>
          <w:p w:rsidR="007D0A69" w:rsidRPr="007D0A69" w:rsidRDefault="007D0A69" w:rsidP="007D0A69">
            <w:pPr>
              <w:tabs>
                <w:tab w:val="clear" w:pos="851"/>
              </w:tabs>
              <w:spacing w:after="0"/>
              <w:ind w:left="0"/>
              <w:jc w:val="left"/>
              <w:rPr>
                <w:rFonts w:cs="Arial"/>
                <w:b/>
                <w:color w:val="FFFFFF"/>
                <w:sz w:val="16"/>
                <w:szCs w:val="16"/>
              </w:rPr>
            </w:pPr>
            <w:r w:rsidRPr="007D0A69">
              <w:rPr>
                <w:rFonts w:cs="Arial"/>
                <w:b/>
                <w:color w:val="FFFFFF"/>
                <w:sz w:val="16"/>
                <w:szCs w:val="16"/>
              </w:rPr>
              <w:t>Insight</w:t>
            </w:r>
          </w:p>
        </w:tc>
        <w:tc>
          <w:tcPr>
            <w:tcW w:w="3006" w:type="dxa"/>
            <w:shd w:val="clear" w:color="auto" w:fill="2E74B5" w:themeFill="accent1" w:themeFillShade="BF"/>
          </w:tcPr>
          <w:p w:rsidR="007D0A69" w:rsidRPr="007D0A69" w:rsidRDefault="007D0A69" w:rsidP="007D0A69">
            <w:pPr>
              <w:tabs>
                <w:tab w:val="clear" w:pos="851"/>
              </w:tabs>
              <w:spacing w:after="0"/>
              <w:ind w:left="0"/>
              <w:jc w:val="left"/>
              <w:rPr>
                <w:rFonts w:cs="Arial"/>
                <w:b/>
                <w:color w:val="FFFFFF"/>
                <w:sz w:val="16"/>
                <w:szCs w:val="16"/>
              </w:rPr>
            </w:pPr>
            <w:r w:rsidRPr="007D0A69">
              <w:rPr>
                <w:rFonts w:cs="Arial"/>
                <w:b/>
                <w:color w:val="FFFFFF"/>
                <w:sz w:val="16"/>
                <w:szCs w:val="16"/>
              </w:rPr>
              <w:t>Impact on the business plan</w:t>
            </w:r>
          </w:p>
        </w:tc>
      </w:tr>
      <w:tr w:rsidR="007D0A69" w:rsidRPr="007D0A69" w:rsidTr="00E61AF6">
        <w:tc>
          <w:tcPr>
            <w:tcW w:w="277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Baseline Research Focus Groups run by Accent</w:t>
            </w:r>
            <w:r w:rsidR="00762933">
              <w:rPr>
                <w:rFonts w:cs="Arial"/>
                <w:sz w:val="16"/>
                <w:szCs w:val="16"/>
              </w:rPr>
              <w:t xml:space="preserve"> (Appendix 2.3)</w:t>
            </w:r>
          </w:p>
        </w:tc>
        <w:tc>
          <w:tcPr>
            <w:tcW w:w="3005"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Need to lead more community initiatives, educate and help the vulnerable more.</w:t>
            </w:r>
          </w:p>
        </w:tc>
        <w:tc>
          <w:tcPr>
            <w:tcW w:w="3006" w:type="dxa"/>
          </w:tcPr>
          <w:p w:rsidR="007D0A69" w:rsidRPr="007D0A69" w:rsidRDefault="00212458" w:rsidP="007D0A69">
            <w:pPr>
              <w:tabs>
                <w:tab w:val="clear" w:pos="851"/>
              </w:tabs>
              <w:spacing w:after="0"/>
              <w:ind w:left="0"/>
              <w:jc w:val="left"/>
              <w:rPr>
                <w:rFonts w:cs="Arial"/>
                <w:sz w:val="16"/>
                <w:szCs w:val="16"/>
              </w:rPr>
            </w:pPr>
            <w:r>
              <w:rPr>
                <w:rFonts w:cs="Arial"/>
                <w:sz w:val="16"/>
                <w:szCs w:val="16"/>
              </w:rPr>
              <w:t>Supported more ambition with vulnerability target.</w:t>
            </w:r>
          </w:p>
        </w:tc>
      </w:tr>
      <w:tr w:rsidR="007D0A69" w:rsidRPr="007D0A69" w:rsidTr="00E61AF6">
        <w:tc>
          <w:tcPr>
            <w:tcW w:w="2776" w:type="dxa"/>
          </w:tcPr>
          <w:p w:rsidR="007D0A69" w:rsidRPr="007D0A69" w:rsidRDefault="007D0A69" w:rsidP="00762933">
            <w:pPr>
              <w:tabs>
                <w:tab w:val="clear" w:pos="851"/>
              </w:tabs>
              <w:spacing w:after="0"/>
              <w:ind w:left="0"/>
              <w:jc w:val="left"/>
              <w:rPr>
                <w:rFonts w:cs="Arial"/>
                <w:sz w:val="16"/>
                <w:szCs w:val="16"/>
              </w:rPr>
            </w:pPr>
            <w:r w:rsidRPr="007D0A69">
              <w:rPr>
                <w:rFonts w:cs="Arial"/>
                <w:sz w:val="16"/>
                <w:szCs w:val="16"/>
              </w:rPr>
              <w:t xml:space="preserve">Customer Advisory Panels </w:t>
            </w:r>
            <w:r w:rsidR="00762933">
              <w:rPr>
                <w:rFonts w:cs="Arial"/>
                <w:sz w:val="16"/>
                <w:szCs w:val="16"/>
              </w:rPr>
              <w:t>(Appendix 2.4, 2.22)</w:t>
            </w:r>
          </w:p>
        </w:tc>
        <w:tc>
          <w:tcPr>
            <w:tcW w:w="3005" w:type="dxa"/>
          </w:tcPr>
          <w:p w:rsidR="007F6FD3" w:rsidRDefault="007D0A69" w:rsidP="007F6FD3">
            <w:pPr>
              <w:tabs>
                <w:tab w:val="clear" w:pos="851"/>
              </w:tabs>
              <w:spacing w:after="0"/>
              <w:ind w:left="0"/>
              <w:jc w:val="left"/>
              <w:rPr>
                <w:rFonts w:cs="Arial"/>
                <w:sz w:val="16"/>
                <w:szCs w:val="16"/>
              </w:rPr>
            </w:pPr>
            <w:r w:rsidRPr="007D0A69">
              <w:rPr>
                <w:rFonts w:cs="Arial"/>
                <w:sz w:val="16"/>
                <w:szCs w:val="16"/>
              </w:rPr>
              <w:t>Low awareness on community activities</w:t>
            </w:r>
            <w:r w:rsidR="007F6FD3">
              <w:rPr>
                <w:rFonts w:cs="Arial"/>
                <w:sz w:val="16"/>
                <w:szCs w:val="16"/>
              </w:rPr>
              <w:t>.</w:t>
            </w:r>
          </w:p>
          <w:p w:rsidR="007D0A69" w:rsidRPr="007D0A69" w:rsidRDefault="007D0A69" w:rsidP="007F6FD3">
            <w:pPr>
              <w:tabs>
                <w:tab w:val="clear" w:pos="851"/>
              </w:tabs>
              <w:spacing w:after="0"/>
              <w:ind w:left="0"/>
              <w:jc w:val="left"/>
              <w:rPr>
                <w:rFonts w:cs="Arial"/>
                <w:sz w:val="16"/>
                <w:szCs w:val="16"/>
              </w:rPr>
            </w:pPr>
            <w:r w:rsidRPr="007D0A69">
              <w:rPr>
                <w:rFonts w:cs="Arial"/>
                <w:sz w:val="16"/>
                <w:szCs w:val="16"/>
              </w:rPr>
              <w:t xml:space="preserve">Advertising the social tariff on bills &amp; working more closely with organisations to help the vulnerable. </w:t>
            </w:r>
          </w:p>
        </w:tc>
        <w:tc>
          <w:tcPr>
            <w:tcW w:w="3006" w:type="dxa"/>
          </w:tcPr>
          <w:p w:rsidR="007D0A69" w:rsidRPr="007D0A69" w:rsidRDefault="007D0A69" w:rsidP="007D0A69">
            <w:pPr>
              <w:tabs>
                <w:tab w:val="clear" w:pos="851"/>
              </w:tabs>
              <w:spacing w:after="0"/>
              <w:ind w:left="0"/>
              <w:jc w:val="left"/>
              <w:rPr>
                <w:rFonts w:cs="Arial"/>
                <w:sz w:val="16"/>
                <w:szCs w:val="16"/>
              </w:rPr>
            </w:pPr>
          </w:p>
        </w:tc>
      </w:tr>
      <w:tr w:rsidR="007D0A69" w:rsidRPr="007D0A69" w:rsidTr="00E61AF6">
        <w:tc>
          <w:tcPr>
            <w:tcW w:w="277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 xml:space="preserve">ICS Consulting research- Survey work on Outcome priorities, Performance Commitment targets &amp; rewards &amp; penalties </w:t>
            </w:r>
            <w:r w:rsidR="00762933">
              <w:rPr>
                <w:rFonts w:cs="Arial"/>
                <w:sz w:val="16"/>
                <w:szCs w:val="16"/>
              </w:rPr>
              <w:t>(Appendix 2.17)</w:t>
            </w:r>
          </w:p>
        </w:tc>
        <w:tc>
          <w:tcPr>
            <w:tcW w:w="3005"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 xml:space="preserve">More information on our achievements in the media. </w:t>
            </w:r>
          </w:p>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 xml:space="preserve">Opportunity to involve the customers. </w:t>
            </w:r>
          </w:p>
          <w:p w:rsidR="007D0A69" w:rsidRPr="007D0A69" w:rsidRDefault="007D0A69" w:rsidP="007D0A69">
            <w:pPr>
              <w:tabs>
                <w:tab w:val="clear" w:pos="851"/>
              </w:tabs>
              <w:spacing w:after="0"/>
              <w:ind w:left="0"/>
              <w:jc w:val="left"/>
              <w:rPr>
                <w:rFonts w:cs="Arial"/>
                <w:sz w:val="16"/>
                <w:szCs w:val="16"/>
              </w:rPr>
            </w:pPr>
          </w:p>
        </w:tc>
        <w:tc>
          <w:tcPr>
            <w:tcW w:w="3006" w:type="dxa"/>
          </w:tcPr>
          <w:p w:rsidR="007D0A69" w:rsidRPr="007D0A69" w:rsidRDefault="00212458" w:rsidP="007D0A69">
            <w:pPr>
              <w:tabs>
                <w:tab w:val="clear" w:pos="851"/>
              </w:tabs>
              <w:spacing w:after="0"/>
              <w:ind w:left="0"/>
              <w:jc w:val="left"/>
              <w:rPr>
                <w:rFonts w:cs="Arial"/>
                <w:sz w:val="16"/>
                <w:szCs w:val="16"/>
              </w:rPr>
            </w:pPr>
            <w:r>
              <w:rPr>
                <w:rFonts w:cs="Arial"/>
                <w:sz w:val="16"/>
                <w:szCs w:val="16"/>
              </w:rPr>
              <w:t xml:space="preserve">Highlighted need to focus on communication strategy. </w:t>
            </w:r>
          </w:p>
        </w:tc>
      </w:tr>
      <w:tr w:rsidR="007D0A69" w:rsidRPr="007D0A69" w:rsidTr="00E61AF6">
        <w:tc>
          <w:tcPr>
            <w:tcW w:w="277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Vulnerability survey</w:t>
            </w:r>
            <w:r w:rsidR="00762933">
              <w:rPr>
                <w:rFonts w:cs="Arial"/>
                <w:sz w:val="16"/>
                <w:szCs w:val="16"/>
              </w:rPr>
              <w:t xml:space="preserve"> (Appendix 2.10)</w:t>
            </w:r>
          </w:p>
        </w:tc>
        <w:tc>
          <w:tcPr>
            <w:tcW w:w="3005"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Potential ways to measure success suggested.</w:t>
            </w:r>
          </w:p>
        </w:tc>
        <w:tc>
          <w:tcPr>
            <w:tcW w:w="300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Bespoke Performance Commitment co-creation.</w:t>
            </w:r>
          </w:p>
        </w:tc>
      </w:tr>
      <w:tr w:rsidR="007D0A69" w:rsidRPr="007D0A69" w:rsidTr="00E61AF6">
        <w:tc>
          <w:tcPr>
            <w:tcW w:w="277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 xml:space="preserve">Future Issues- Student Survey </w:t>
            </w:r>
            <w:r w:rsidR="00762933">
              <w:rPr>
                <w:rFonts w:cs="Arial"/>
                <w:sz w:val="16"/>
                <w:szCs w:val="16"/>
              </w:rPr>
              <w:t>(Appendix 2.11)</w:t>
            </w:r>
          </w:p>
        </w:tc>
        <w:tc>
          <w:tcPr>
            <w:tcW w:w="3005"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Best method of communication from students is social media or online.</w:t>
            </w:r>
          </w:p>
        </w:tc>
        <w:tc>
          <w:tcPr>
            <w:tcW w:w="300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Supports ongoing development of greater on-line services.</w:t>
            </w:r>
          </w:p>
        </w:tc>
      </w:tr>
      <w:tr w:rsidR="007D0A69" w:rsidRPr="007D0A69" w:rsidTr="00E61AF6">
        <w:tc>
          <w:tcPr>
            <w:tcW w:w="277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Institute of Customer Service (I</w:t>
            </w:r>
            <w:r w:rsidR="00DA6223">
              <w:rPr>
                <w:rFonts w:cs="Arial"/>
                <w:sz w:val="16"/>
                <w:szCs w:val="16"/>
              </w:rPr>
              <w:t>o</w:t>
            </w:r>
            <w:r w:rsidRPr="007D0A69">
              <w:rPr>
                <w:rFonts w:cs="Arial"/>
                <w:sz w:val="16"/>
                <w:szCs w:val="16"/>
              </w:rPr>
              <w:t>CS)</w:t>
            </w:r>
            <w:r w:rsidR="00762933">
              <w:rPr>
                <w:rFonts w:cs="Arial"/>
                <w:sz w:val="16"/>
                <w:szCs w:val="16"/>
              </w:rPr>
              <w:t xml:space="preserve"> (Appendix 2.8)</w:t>
            </w:r>
          </w:p>
        </w:tc>
        <w:tc>
          <w:tcPr>
            <w:tcW w:w="3005"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Better signposting of help.  High Trust score.</w:t>
            </w:r>
          </w:p>
        </w:tc>
        <w:tc>
          <w:tcPr>
            <w:tcW w:w="300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Continuation of dedicated person to drive improving awareness of help and support that we offer.</w:t>
            </w:r>
          </w:p>
        </w:tc>
      </w:tr>
      <w:tr w:rsidR="007D0A69" w:rsidRPr="007D0A69" w:rsidTr="00E61AF6">
        <w:tc>
          <w:tcPr>
            <w:tcW w:w="277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Non-Household Customer survey</w:t>
            </w:r>
            <w:r w:rsidR="00762933">
              <w:rPr>
                <w:rFonts w:cs="Arial"/>
                <w:sz w:val="16"/>
                <w:szCs w:val="16"/>
              </w:rPr>
              <w:t xml:space="preserve"> (Appendix 2.21)</w:t>
            </w:r>
          </w:p>
        </w:tc>
        <w:tc>
          <w:tcPr>
            <w:tcW w:w="3005"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Non-Household customers dis</w:t>
            </w:r>
            <w:r w:rsidR="008D497C">
              <w:rPr>
                <w:rFonts w:cs="Arial"/>
                <w:sz w:val="16"/>
                <w:szCs w:val="16"/>
              </w:rPr>
              <w:t>missive of this outcome.</w:t>
            </w:r>
          </w:p>
        </w:tc>
        <w:tc>
          <w:tcPr>
            <w:tcW w:w="3006" w:type="dxa"/>
          </w:tcPr>
          <w:p w:rsidR="007D0A69" w:rsidRPr="007D0A69" w:rsidRDefault="007D0A69" w:rsidP="007D0A69">
            <w:pPr>
              <w:tabs>
                <w:tab w:val="clear" w:pos="851"/>
              </w:tabs>
              <w:spacing w:after="0"/>
              <w:ind w:left="0"/>
              <w:jc w:val="left"/>
              <w:rPr>
                <w:rFonts w:cs="Arial"/>
                <w:sz w:val="16"/>
                <w:szCs w:val="16"/>
              </w:rPr>
            </w:pPr>
          </w:p>
        </w:tc>
      </w:tr>
      <w:tr w:rsidR="007D0A69" w:rsidRPr="007D0A69" w:rsidTr="00E61AF6">
        <w:tc>
          <w:tcPr>
            <w:tcW w:w="277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Affordability survey with our customers</w:t>
            </w:r>
            <w:r w:rsidR="00762933">
              <w:rPr>
                <w:rFonts w:cs="Arial"/>
                <w:sz w:val="16"/>
                <w:szCs w:val="16"/>
              </w:rPr>
              <w:t xml:space="preserve"> (Appendix 2.14)</w:t>
            </w:r>
          </w:p>
        </w:tc>
        <w:tc>
          <w:tcPr>
            <w:tcW w:w="3005"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 xml:space="preserve">Felt non-judged by us. Vulnerable customers feel that we have been informative, helpful &amp; considerate. In line with our values. </w:t>
            </w:r>
          </w:p>
        </w:tc>
        <w:tc>
          <w:tcPr>
            <w:tcW w:w="3006" w:type="dxa"/>
          </w:tcPr>
          <w:p w:rsidR="007D0A69" w:rsidRPr="007D0A69" w:rsidRDefault="007D0A69" w:rsidP="007D0A69">
            <w:pPr>
              <w:tabs>
                <w:tab w:val="clear" w:pos="851"/>
              </w:tabs>
              <w:spacing w:after="0"/>
              <w:ind w:left="0"/>
              <w:jc w:val="left"/>
              <w:rPr>
                <w:rFonts w:cs="Arial"/>
                <w:sz w:val="16"/>
                <w:szCs w:val="16"/>
              </w:rPr>
            </w:pPr>
            <w:r w:rsidRPr="007D0A69">
              <w:rPr>
                <w:rFonts w:cs="Arial"/>
                <w:sz w:val="16"/>
                <w:szCs w:val="16"/>
              </w:rPr>
              <w:t>Build on this positive feedback in striving for continuous improvement.</w:t>
            </w:r>
          </w:p>
        </w:tc>
      </w:tr>
    </w:tbl>
    <w:p w:rsidR="00B44ED5" w:rsidRDefault="00B44ED5" w:rsidP="007B7FE8">
      <w:pPr>
        <w:spacing w:after="0"/>
      </w:pPr>
    </w:p>
    <w:p w:rsidR="007F6FD3" w:rsidRDefault="007F6FD3" w:rsidP="007F6FD3">
      <w:pPr>
        <w:rPr>
          <w:b/>
        </w:rPr>
      </w:pPr>
      <w:r w:rsidRPr="007F6FD3">
        <w:rPr>
          <w:b/>
        </w:rPr>
        <w:t>What customers said</w:t>
      </w:r>
    </w:p>
    <w:p w:rsidR="007F6FD3" w:rsidRDefault="007F6FD3" w:rsidP="007F6FD3">
      <w:r>
        <w:t>There was clear support in focus groups for this outcome and the need for us to play our part in supporting customers at times of vulnerability.</w:t>
      </w:r>
    </w:p>
    <w:p w:rsidR="007F6FD3" w:rsidRDefault="007F6FD3" w:rsidP="007F6FD3">
      <w:r>
        <w:t>Our survey of customers with affordability issues</w:t>
      </w:r>
      <w:r w:rsidR="00762933">
        <w:t xml:space="preserve"> (Appendix 2.14)</w:t>
      </w:r>
      <w:r>
        <w:t xml:space="preserve">, </w:t>
      </w:r>
      <w:r w:rsidR="00451E46">
        <w:t xml:space="preserve">who </w:t>
      </w:r>
      <w:r>
        <w:t>we had identified from our records and specifically targeted, found their experiences were good when they contacted us at times of need.</w:t>
      </w:r>
    </w:p>
    <w:p w:rsidR="007F6FD3" w:rsidRDefault="007F6FD3" w:rsidP="007F6FD3">
      <w:r>
        <w:t xml:space="preserve">Our </w:t>
      </w:r>
      <w:r w:rsidR="004260AB">
        <w:t xml:space="preserve">focus groups </w:t>
      </w:r>
      <w:r w:rsidR="00451E46">
        <w:t xml:space="preserve">discussing </w:t>
      </w:r>
      <w:r w:rsidR="004260AB">
        <w:t>a</w:t>
      </w:r>
      <w:r>
        <w:t xml:space="preserve"> company</w:t>
      </w:r>
      <w:r w:rsidR="004260AB">
        <w:t xml:space="preserve"> specific</w:t>
      </w:r>
      <w:r>
        <w:t xml:space="preserve"> premium </w:t>
      </w:r>
      <w:r w:rsidR="00203ADB">
        <w:t xml:space="preserve">(Appendix 2.26) </w:t>
      </w:r>
      <w:r>
        <w:t xml:space="preserve">showed that </w:t>
      </w:r>
      <w:r w:rsidR="004260AB">
        <w:t>our</w:t>
      </w:r>
      <w:r>
        <w:t xml:space="preserve"> </w:t>
      </w:r>
      <w:r w:rsidR="004260AB">
        <w:t>customers valued a small company, with high levels of performance</w:t>
      </w:r>
      <w:r>
        <w:t>.</w:t>
      </w:r>
    </w:p>
    <w:p w:rsidR="00203ADB" w:rsidRPr="007F6FD3" w:rsidRDefault="00203ADB" w:rsidP="007F6FD3">
      <w:r>
        <w:t>A summary of customer engagement and triangulation can be found in Appendix 2.1.</w:t>
      </w:r>
    </w:p>
    <w:p w:rsidR="00B44ED5" w:rsidRDefault="00B44ED5" w:rsidP="00B44ED5">
      <w:pPr>
        <w:pStyle w:val="Heading3"/>
      </w:pPr>
      <w:bookmarkStart w:id="94" w:name="_Toc522199992"/>
      <w:bookmarkStart w:id="95" w:name="_Toc522200089"/>
      <w:bookmarkStart w:id="96" w:name="_Toc523651271"/>
      <w:r>
        <w:t>Deliver</w:t>
      </w:r>
      <w:r w:rsidR="00D16001">
        <w:t>ing O</w:t>
      </w:r>
      <w:r>
        <w:t>utcomes for Customers</w:t>
      </w:r>
      <w:bookmarkEnd w:id="94"/>
      <w:bookmarkEnd w:id="95"/>
      <w:bookmarkEnd w:id="96"/>
    </w:p>
    <w:p w:rsidR="00614DE0" w:rsidRPr="00D16001" w:rsidRDefault="00614DE0" w:rsidP="00614DE0">
      <w:r w:rsidRPr="00D16001">
        <w:t xml:space="preserve">This section of the </w:t>
      </w:r>
      <w:r w:rsidR="00451E46">
        <w:t>B</w:t>
      </w:r>
      <w:r w:rsidRPr="00D16001">
        <w:t xml:space="preserve">usiness </w:t>
      </w:r>
      <w:r w:rsidR="00451E46">
        <w:t>P</w:t>
      </w:r>
      <w:r w:rsidRPr="00D16001">
        <w:t xml:space="preserve">lan is about the role Portsmouth Water plays in the wider community, its culture and its governance. How we address most of the corporate commitments made below will be covered in other sections and these are clearly signposted. </w:t>
      </w:r>
    </w:p>
    <w:p w:rsidR="00614DE0" w:rsidRDefault="00614DE0" w:rsidP="00614DE0">
      <w:r>
        <w:t xml:space="preserve">Portsmouth Water was formed more </w:t>
      </w:r>
      <w:r w:rsidR="00D87981">
        <w:t>than</w:t>
      </w:r>
      <w:r>
        <w:t xml:space="preserve"> 160 years ago and has never been in public ownership. We have a long history of providing an essential public service under private ownership and have at our core a strong public service ethos.</w:t>
      </w:r>
    </w:p>
    <w:p w:rsidR="00614DE0" w:rsidRDefault="00614DE0" w:rsidP="00614DE0">
      <w:r>
        <w:t xml:space="preserve">Our smaller scale, and flat management structure, provides close links between the Board, senior management, colleagues throughout the </w:t>
      </w:r>
      <w:r w:rsidR="00A407A5">
        <w:t xml:space="preserve">business </w:t>
      </w:r>
      <w:r>
        <w:t xml:space="preserve">and the communities we serve.  This provides a firm foundation to ensure that all key decisions, relating to our services and our investment programme, meet the needs of our customers, both now and in the long-term. </w:t>
      </w:r>
    </w:p>
    <w:p w:rsidR="00614DE0" w:rsidRDefault="00614DE0" w:rsidP="004260AB">
      <w:r>
        <w:t xml:space="preserve">Our </w:t>
      </w:r>
      <w:r w:rsidR="0064283F">
        <w:t xml:space="preserve">Vision </w:t>
      </w:r>
      <w:r>
        <w:t>is “Delivering excellence for our customers our people and our environment” and we bring customers into the heart of whatever w</w:t>
      </w:r>
      <w:r w:rsidR="004260AB">
        <w:t xml:space="preserve">e do.  </w:t>
      </w:r>
      <w:r w:rsidR="000E00EE">
        <w:t xml:space="preserve">We are </w:t>
      </w:r>
      <w:r>
        <w:t xml:space="preserve">committed to a high standard of business ethics and corporate governance. Specifically, </w:t>
      </w:r>
      <w:r w:rsidR="000E00EE">
        <w:t xml:space="preserve">we </w:t>
      </w:r>
      <w:r>
        <w:t>will:</w:t>
      </w:r>
    </w:p>
    <w:p w:rsidR="00614DE0" w:rsidRDefault="00614DE0" w:rsidP="00D87981">
      <w:pPr>
        <w:pStyle w:val="Bullets"/>
      </w:pPr>
      <w:r>
        <w:t>Put the customer at the heart o</w:t>
      </w:r>
      <w:r w:rsidR="00212458">
        <w:t>f our</w:t>
      </w:r>
      <w:r>
        <w:t xml:space="preserve"> </w:t>
      </w:r>
      <w:r w:rsidR="00451E46">
        <w:t>b</w:t>
      </w:r>
      <w:r>
        <w:t>usiness</w:t>
      </w:r>
    </w:p>
    <w:p w:rsidR="00614DE0" w:rsidRDefault="00614DE0" w:rsidP="00D87981">
      <w:pPr>
        <w:pStyle w:val="Bullets"/>
      </w:pPr>
      <w:r>
        <w:t>Adopt policies and behaviours to support those in society who are in circumstances that make them vulnerable.</w:t>
      </w:r>
    </w:p>
    <w:p w:rsidR="00614DE0" w:rsidRDefault="00614DE0" w:rsidP="00D87981">
      <w:pPr>
        <w:pStyle w:val="Bullets"/>
      </w:pPr>
      <w:r>
        <w:t>Ensure our practises do not do harm to the environment and promote activities that improve the biodiversity of our area. (</w:t>
      </w:r>
      <w:r w:rsidR="009E1269" w:rsidRPr="00E93C7F">
        <w:t>Chapter 3.9</w:t>
      </w:r>
      <w:r>
        <w:t>)</w:t>
      </w:r>
    </w:p>
    <w:p w:rsidR="00614DE0" w:rsidRDefault="00614DE0" w:rsidP="00D87981">
      <w:pPr>
        <w:pStyle w:val="Bullets"/>
      </w:pPr>
      <w:r>
        <w:t>Adopt payment processes and tariffs that make it easier for those struggling to meet their b</w:t>
      </w:r>
      <w:r w:rsidR="00305B58">
        <w:t>ills. At an average bill of £10</w:t>
      </w:r>
      <w:r w:rsidR="0064283F">
        <w:t>1</w:t>
      </w:r>
      <w:r>
        <w:t xml:space="preserve"> and a social tariff of </w:t>
      </w:r>
      <w:r w:rsidRPr="009E1269">
        <w:t>£</w:t>
      </w:r>
      <w:r w:rsidR="009E1269">
        <w:t>77</w:t>
      </w:r>
      <w:r>
        <w:t xml:space="preserve"> our bill are already the lowest in the country, but we work to ensure that those struggling are made aware o</w:t>
      </w:r>
      <w:r w:rsidR="00212458">
        <w:t xml:space="preserve">f the help available. </w:t>
      </w:r>
      <w:r w:rsidR="00212458" w:rsidRPr="00E93C7F">
        <w:t>(</w:t>
      </w:r>
      <w:r w:rsidR="009E1269" w:rsidRPr="00E93C7F">
        <w:t>Chapter 3.8)</w:t>
      </w:r>
    </w:p>
    <w:p w:rsidR="00614DE0" w:rsidRDefault="00614DE0" w:rsidP="00D87981">
      <w:pPr>
        <w:pStyle w:val="Bullets"/>
      </w:pPr>
      <w:r>
        <w:t xml:space="preserve">Play its part in improving resilience to potential future water shortages in the South East of England by providing bulk supplies of water </w:t>
      </w:r>
      <w:r w:rsidR="004260AB">
        <w:t>to neighbouring companies. All c</w:t>
      </w:r>
      <w:r>
        <w:t>ompanies in the South East are</w:t>
      </w:r>
      <w:r w:rsidR="004260AB">
        <w:t xml:space="preserve"> deemed to be in ‘serious water s</w:t>
      </w:r>
      <w:r>
        <w:t>tre</w:t>
      </w:r>
      <w:r w:rsidR="00212458">
        <w:t>ss</w:t>
      </w:r>
      <w:r w:rsidR="004260AB">
        <w:t>’</w:t>
      </w:r>
      <w:r w:rsidR="00212458">
        <w:t xml:space="preserve"> except Portsmouth</w:t>
      </w:r>
      <w:r w:rsidR="00423B36">
        <w:t xml:space="preserve"> Water</w:t>
      </w:r>
      <w:r w:rsidR="00212458">
        <w:t xml:space="preserve">. </w:t>
      </w:r>
      <w:r w:rsidR="00212458" w:rsidRPr="00E93C7F">
        <w:t>(</w:t>
      </w:r>
      <w:r w:rsidR="009E1269" w:rsidRPr="00E93C7F">
        <w:t xml:space="preserve">Chapter </w:t>
      </w:r>
      <w:r w:rsidR="00212458" w:rsidRPr="00E93C7F">
        <w:t>3.6</w:t>
      </w:r>
      <w:r w:rsidRPr="00E93C7F">
        <w:t>)</w:t>
      </w:r>
    </w:p>
    <w:p w:rsidR="00614DE0" w:rsidRDefault="00D87981" w:rsidP="00D87981">
      <w:pPr>
        <w:pStyle w:val="Bullets"/>
      </w:pPr>
      <w:r>
        <w:t>Having</w:t>
      </w:r>
      <w:r w:rsidR="00614DE0">
        <w:t xml:space="preserve"> financially sustainable policies on funding, dividends and executive pay.</w:t>
      </w:r>
    </w:p>
    <w:p w:rsidR="00614DE0" w:rsidRDefault="00614DE0" w:rsidP="00D87981">
      <w:pPr>
        <w:pStyle w:val="Bullets"/>
      </w:pPr>
      <w:r>
        <w:t>Be fully compliant with UK tax laws and be transparent with its tax affairs.</w:t>
      </w:r>
    </w:p>
    <w:p w:rsidR="00614DE0" w:rsidRDefault="00614DE0" w:rsidP="00D87981">
      <w:pPr>
        <w:pStyle w:val="Bullets"/>
      </w:pPr>
      <w:r>
        <w:t>Be a r</w:t>
      </w:r>
      <w:r w:rsidR="00212458">
        <w:t>esponsible employer, providing</w:t>
      </w:r>
      <w:r>
        <w:t xml:space="preserve"> compe</w:t>
      </w:r>
      <w:r w:rsidR="00212458">
        <w:t>titive salaries and benefits. We</w:t>
      </w:r>
      <w:r>
        <w:t xml:space="preserve"> will encourage diversity and equal opportunities. The health and safety of </w:t>
      </w:r>
      <w:r w:rsidR="00212458">
        <w:t>our</w:t>
      </w:r>
      <w:r>
        <w:t xml:space="preserve"> employees and the public in its activities is paramount. </w:t>
      </w:r>
    </w:p>
    <w:p w:rsidR="00614DE0" w:rsidRDefault="00614DE0" w:rsidP="00D87981">
      <w:pPr>
        <w:pStyle w:val="Bullets"/>
      </w:pPr>
      <w:r>
        <w:t>Display</w:t>
      </w:r>
      <w:r w:rsidR="000E00EE">
        <w:t xml:space="preserve"> a</w:t>
      </w:r>
      <w:r>
        <w:t xml:space="preserve"> high standard of </w:t>
      </w:r>
      <w:r w:rsidR="00D87981">
        <w:t>corporate</w:t>
      </w:r>
      <w:r>
        <w:t xml:space="preserve"> governance</w:t>
      </w:r>
      <w:r w:rsidR="000E00EE">
        <w:t xml:space="preserve"> and transparency</w:t>
      </w:r>
      <w:r>
        <w:t>.</w:t>
      </w:r>
    </w:p>
    <w:p w:rsidR="00D87981" w:rsidRDefault="00D87981" w:rsidP="00D87981">
      <w:pPr>
        <w:pStyle w:val="Bullets"/>
        <w:numPr>
          <w:ilvl w:val="0"/>
          <w:numId w:val="0"/>
        </w:numPr>
        <w:ind w:left="1848"/>
      </w:pPr>
    </w:p>
    <w:p w:rsidR="00285C74" w:rsidRPr="00285C74" w:rsidRDefault="00285C74" w:rsidP="00285C74">
      <w:pPr>
        <w:rPr>
          <w:b/>
        </w:rPr>
      </w:pPr>
      <w:r w:rsidRPr="00285C74">
        <w:rPr>
          <w:b/>
        </w:rPr>
        <w:t>Vulnerability</w:t>
      </w:r>
    </w:p>
    <w:p w:rsidR="008A354D" w:rsidRDefault="008A354D" w:rsidP="008A354D">
      <w:r>
        <w:t xml:space="preserve">The following sections set out our approach to vulnerability that will deliver the desired customer outcome. </w:t>
      </w:r>
    </w:p>
    <w:p w:rsidR="00B75CD9" w:rsidRDefault="008A354D" w:rsidP="00130EC0">
      <w:r>
        <w:t xml:space="preserve">One </w:t>
      </w:r>
      <w:r w:rsidR="00451E46">
        <w:t>P</w:t>
      </w:r>
      <w:r>
        <w:t xml:space="preserve">erformance </w:t>
      </w:r>
      <w:r w:rsidR="00451E46">
        <w:t>C</w:t>
      </w:r>
      <w:r>
        <w:t>ommitment underpins this outcome.</w:t>
      </w:r>
    </w:p>
    <w:p w:rsidR="00B75CD9" w:rsidRDefault="00B75CD9">
      <w:pPr>
        <w:tabs>
          <w:tab w:val="clear" w:pos="851"/>
        </w:tabs>
        <w:spacing w:after="0"/>
        <w:ind w:left="0"/>
        <w:jc w:val="left"/>
      </w:pPr>
      <w:r>
        <w:br w:type="page"/>
      </w:r>
    </w:p>
    <w:p w:rsidR="008A354D" w:rsidRPr="008A354D" w:rsidRDefault="008A354D" w:rsidP="00946D16">
      <w:pPr>
        <w:pStyle w:val="ListParagraph"/>
        <w:numPr>
          <w:ilvl w:val="0"/>
          <w:numId w:val="20"/>
        </w:numPr>
        <w:rPr>
          <w:rFonts w:ascii="Arial" w:hAnsi="Arial" w:cs="Arial"/>
          <w:b/>
          <w:sz w:val="24"/>
          <w:szCs w:val="24"/>
        </w:rPr>
      </w:pPr>
      <w:r w:rsidRPr="008A354D">
        <w:rPr>
          <w:rFonts w:ascii="Arial" w:hAnsi="Arial" w:cs="Arial"/>
          <w:b/>
          <w:sz w:val="24"/>
          <w:szCs w:val="24"/>
        </w:rPr>
        <w:t xml:space="preserve">Satisfaction survey rating </w:t>
      </w:r>
      <w:r>
        <w:rPr>
          <w:rFonts w:ascii="Arial" w:hAnsi="Arial" w:cs="Arial"/>
          <w:b/>
          <w:sz w:val="24"/>
          <w:szCs w:val="24"/>
        </w:rPr>
        <w:t>of our vulnerability management</w:t>
      </w:r>
    </w:p>
    <w:tbl>
      <w:tblPr>
        <w:tblStyle w:val="TableGrid210"/>
        <w:tblW w:w="8783" w:type="dxa"/>
        <w:tblInd w:w="851" w:type="dxa"/>
        <w:tblLayout w:type="fixed"/>
        <w:tblLook w:val="04A0" w:firstRow="1" w:lastRow="0" w:firstColumn="1" w:lastColumn="0" w:noHBand="0" w:noVBand="1"/>
      </w:tblPr>
      <w:tblGrid>
        <w:gridCol w:w="2405"/>
        <w:gridCol w:w="708"/>
        <w:gridCol w:w="1512"/>
        <w:gridCol w:w="1654"/>
        <w:gridCol w:w="1654"/>
        <w:gridCol w:w="850"/>
      </w:tblGrid>
      <w:tr w:rsidR="008A354D" w:rsidRPr="007B7FE8" w:rsidTr="0064283F">
        <w:tc>
          <w:tcPr>
            <w:tcW w:w="2405" w:type="dxa"/>
            <w:shd w:val="clear" w:color="auto" w:fill="2E74B5" w:themeFill="accent1" w:themeFillShade="BF"/>
          </w:tcPr>
          <w:p w:rsidR="008A354D" w:rsidRPr="007B7FE8" w:rsidRDefault="008A354D" w:rsidP="00691989">
            <w:pPr>
              <w:spacing w:after="0"/>
              <w:ind w:left="0"/>
              <w:rPr>
                <w:sz w:val="16"/>
                <w:szCs w:val="16"/>
              </w:rPr>
            </w:pPr>
            <w:r w:rsidRPr="007B7FE8">
              <w:rPr>
                <w:b/>
                <w:bCs/>
                <w:color w:val="FFFFFF" w:themeColor="background1"/>
                <w:sz w:val="16"/>
                <w:szCs w:val="16"/>
              </w:rPr>
              <w:t>Performance Commitment</w:t>
            </w:r>
          </w:p>
        </w:tc>
        <w:tc>
          <w:tcPr>
            <w:tcW w:w="708" w:type="dxa"/>
            <w:shd w:val="clear" w:color="auto" w:fill="2E74B5" w:themeFill="accent1" w:themeFillShade="BF"/>
          </w:tcPr>
          <w:p w:rsidR="008A354D" w:rsidRPr="007B7FE8" w:rsidRDefault="008A354D" w:rsidP="00691989">
            <w:pPr>
              <w:spacing w:before="20" w:after="20"/>
              <w:ind w:left="0"/>
              <w:jc w:val="center"/>
              <w:rPr>
                <w:b/>
                <w:bCs/>
                <w:color w:val="FFFFFF" w:themeColor="background1"/>
                <w:sz w:val="16"/>
                <w:szCs w:val="16"/>
              </w:rPr>
            </w:pPr>
            <w:r w:rsidRPr="007B7FE8">
              <w:rPr>
                <w:b/>
                <w:bCs/>
                <w:color w:val="FFFFFF" w:themeColor="background1"/>
                <w:sz w:val="16"/>
                <w:szCs w:val="16"/>
              </w:rPr>
              <w:t>Type</w:t>
            </w:r>
          </w:p>
        </w:tc>
        <w:tc>
          <w:tcPr>
            <w:tcW w:w="1512" w:type="dxa"/>
            <w:shd w:val="clear" w:color="auto" w:fill="2E74B5" w:themeFill="accent1" w:themeFillShade="BF"/>
          </w:tcPr>
          <w:p w:rsidR="008A354D" w:rsidRPr="007B7FE8" w:rsidRDefault="008A354D" w:rsidP="00691989">
            <w:pPr>
              <w:spacing w:after="0"/>
              <w:ind w:left="0"/>
              <w:jc w:val="center"/>
              <w:rPr>
                <w:b/>
                <w:color w:val="FFFFFF" w:themeColor="background1"/>
                <w:sz w:val="16"/>
                <w:szCs w:val="16"/>
              </w:rPr>
            </w:pPr>
            <w:r w:rsidRPr="007B7FE8">
              <w:rPr>
                <w:b/>
                <w:color w:val="FFFFFF" w:themeColor="background1"/>
                <w:sz w:val="16"/>
                <w:szCs w:val="16"/>
              </w:rPr>
              <w:t>AMP6 Performance</w:t>
            </w:r>
          </w:p>
        </w:tc>
        <w:tc>
          <w:tcPr>
            <w:tcW w:w="1654" w:type="dxa"/>
            <w:shd w:val="clear" w:color="auto" w:fill="2E74B5" w:themeFill="accent1" w:themeFillShade="BF"/>
          </w:tcPr>
          <w:p w:rsidR="008A354D" w:rsidRPr="007B7FE8" w:rsidRDefault="008A354D" w:rsidP="00691989">
            <w:pPr>
              <w:spacing w:after="0"/>
              <w:ind w:left="0"/>
              <w:rPr>
                <w:b/>
                <w:color w:val="FFFFFF" w:themeColor="background1"/>
                <w:sz w:val="16"/>
                <w:szCs w:val="16"/>
              </w:rPr>
            </w:pPr>
            <w:r w:rsidRPr="007B7FE8">
              <w:rPr>
                <w:b/>
                <w:color w:val="FFFFFF" w:themeColor="background1"/>
                <w:sz w:val="16"/>
                <w:szCs w:val="16"/>
              </w:rPr>
              <w:t>2024/25 Target</w:t>
            </w:r>
          </w:p>
        </w:tc>
        <w:tc>
          <w:tcPr>
            <w:tcW w:w="1654" w:type="dxa"/>
            <w:shd w:val="clear" w:color="auto" w:fill="2E74B5" w:themeFill="accent1" w:themeFillShade="BF"/>
          </w:tcPr>
          <w:p w:rsidR="008A354D" w:rsidRPr="007B7FE8" w:rsidRDefault="008A354D" w:rsidP="00691989">
            <w:pPr>
              <w:spacing w:after="0"/>
              <w:ind w:left="0"/>
              <w:jc w:val="center"/>
              <w:rPr>
                <w:b/>
                <w:color w:val="FFFFFF" w:themeColor="background1"/>
                <w:sz w:val="16"/>
                <w:szCs w:val="16"/>
              </w:rPr>
            </w:pPr>
            <w:r w:rsidRPr="007B7FE8">
              <w:rPr>
                <w:b/>
                <w:color w:val="FFFFFF" w:themeColor="background1"/>
                <w:sz w:val="16"/>
                <w:szCs w:val="16"/>
              </w:rPr>
              <w:t>2034/35 Target</w:t>
            </w:r>
          </w:p>
        </w:tc>
        <w:tc>
          <w:tcPr>
            <w:tcW w:w="850" w:type="dxa"/>
            <w:shd w:val="clear" w:color="auto" w:fill="2E74B5" w:themeFill="accent1" w:themeFillShade="BF"/>
          </w:tcPr>
          <w:p w:rsidR="008A354D" w:rsidRPr="007B7FE8" w:rsidRDefault="008A354D" w:rsidP="00691989">
            <w:pPr>
              <w:spacing w:after="0"/>
              <w:ind w:left="0"/>
              <w:jc w:val="center"/>
              <w:rPr>
                <w:b/>
                <w:color w:val="FFFFFF" w:themeColor="background1"/>
                <w:sz w:val="16"/>
                <w:szCs w:val="16"/>
              </w:rPr>
            </w:pPr>
            <w:r w:rsidRPr="007B7FE8">
              <w:rPr>
                <w:b/>
                <w:color w:val="FFFFFF" w:themeColor="background1"/>
                <w:sz w:val="16"/>
                <w:szCs w:val="16"/>
              </w:rPr>
              <w:t>Reward/Penalty</w:t>
            </w:r>
          </w:p>
        </w:tc>
      </w:tr>
      <w:tr w:rsidR="008A354D" w:rsidRPr="007B7FE8" w:rsidTr="0064283F">
        <w:tc>
          <w:tcPr>
            <w:tcW w:w="2405" w:type="dxa"/>
          </w:tcPr>
          <w:p w:rsidR="008A354D" w:rsidRPr="007B7FE8" w:rsidRDefault="008A354D" w:rsidP="00691989">
            <w:pPr>
              <w:spacing w:before="20" w:after="20"/>
              <w:ind w:left="0"/>
              <w:jc w:val="left"/>
              <w:rPr>
                <w:sz w:val="16"/>
                <w:szCs w:val="16"/>
              </w:rPr>
            </w:pPr>
            <w:r w:rsidRPr="007B7FE8">
              <w:rPr>
                <w:sz w:val="16"/>
                <w:szCs w:val="16"/>
              </w:rPr>
              <w:t>Satisfaction survey rating of our vulnerability management</w:t>
            </w:r>
          </w:p>
        </w:tc>
        <w:tc>
          <w:tcPr>
            <w:tcW w:w="708" w:type="dxa"/>
          </w:tcPr>
          <w:p w:rsidR="008A354D" w:rsidRPr="007B7FE8" w:rsidRDefault="008A354D" w:rsidP="00691989">
            <w:pPr>
              <w:spacing w:before="20" w:after="20"/>
              <w:ind w:left="0"/>
              <w:jc w:val="left"/>
              <w:rPr>
                <w:sz w:val="16"/>
                <w:szCs w:val="16"/>
              </w:rPr>
            </w:pPr>
            <w:r w:rsidRPr="007B7FE8">
              <w:rPr>
                <w:sz w:val="16"/>
                <w:szCs w:val="16"/>
              </w:rPr>
              <w:t>B</w:t>
            </w:r>
          </w:p>
        </w:tc>
        <w:tc>
          <w:tcPr>
            <w:tcW w:w="1512" w:type="dxa"/>
          </w:tcPr>
          <w:p w:rsidR="008A354D" w:rsidRPr="007B7FE8" w:rsidRDefault="008A354D" w:rsidP="00691989">
            <w:pPr>
              <w:spacing w:after="0"/>
              <w:ind w:left="0"/>
              <w:jc w:val="center"/>
              <w:rPr>
                <w:sz w:val="16"/>
                <w:szCs w:val="16"/>
              </w:rPr>
            </w:pPr>
            <w:r w:rsidRPr="007B7FE8">
              <w:rPr>
                <w:sz w:val="16"/>
                <w:szCs w:val="16"/>
              </w:rPr>
              <w:t>n/a</w:t>
            </w:r>
          </w:p>
        </w:tc>
        <w:tc>
          <w:tcPr>
            <w:tcW w:w="1654" w:type="dxa"/>
          </w:tcPr>
          <w:p w:rsidR="008A354D" w:rsidRPr="007B7FE8" w:rsidRDefault="008A354D" w:rsidP="00691989">
            <w:pPr>
              <w:spacing w:before="20" w:after="20"/>
              <w:ind w:left="0"/>
              <w:jc w:val="left"/>
              <w:rPr>
                <w:sz w:val="16"/>
                <w:szCs w:val="16"/>
              </w:rPr>
            </w:pPr>
            <w:r w:rsidRPr="007B7FE8">
              <w:rPr>
                <w:sz w:val="16"/>
                <w:szCs w:val="16"/>
              </w:rPr>
              <w:t>Target – approval rating of 85% or greater.</w:t>
            </w:r>
          </w:p>
        </w:tc>
        <w:tc>
          <w:tcPr>
            <w:tcW w:w="1654" w:type="dxa"/>
          </w:tcPr>
          <w:p w:rsidR="008A354D" w:rsidRPr="007B7FE8" w:rsidRDefault="008A354D" w:rsidP="00691989">
            <w:pPr>
              <w:spacing w:after="0"/>
              <w:ind w:left="0"/>
              <w:jc w:val="center"/>
              <w:rPr>
                <w:sz w:val="16"/>
                <w:szCs w:val="16"/>
              </w:rPr>
            </w:pPr>
            <w:r w:rsidRPr="007B7FE8">
              <w:rPr>
                <w:sz w:val="16"/>
                <w:szCs w:val="16"/>
              </w:rPr>
              <w:t>90%</w:t>
            </w:r>
          </w:p>
        </w:tc>
        <w:tc>
          <w:tcPr>
            <w:tcW w:w="850" w:type="dxa"/>
          </w:tcPr>
          <w:p w:rsidR="008A354D" w:rsidRPr="007B7FE8" w:rsidRDefault="008A354D" w:rsidP="00691989">
            <w:pPr>
              <w:spacing w:after="0"/>
              <w:ind w:left="0"/>
              <w:jc w:val="center"/>
              <w:rPr>
                <w:sz w:val="16"/>
                <w:szCs w:val="16"/>
              </w:rPr>
            </w:pPr>
            <w:r w:rsidRPr="007B7FE8">
              <w:rPr>
                <w:sz w:val="16"/>
                <w:szCs w:val="16"/>
              </w:rPr>
              <w:t xml:space="preserve">P </w:t>
            </w:r>
          </w:p>
        </w:tc>
      </w:tr>
    </w:tbl>
    <w:p w:rsidR="0064283F" w:rsidRDefault="0064283F" w:rsidP="0064283F">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8A354D" w:rsidRDefault="008A354D" w:rsidP="00285C74">
      <w:r>
        <w:t xml:space="preserve">This bespoke </w:t>
      </w:r>
      <w:r w:rsidR="00451E46">
        <w:t>P</w:t>
      </w:r>
      <w:r>
        <w:t xml:space="preserve">erformance </w:t>
      </w:r>
      <w:r w:rsidR="00451E46">
        <w:t>C</w:t>
      </w:r>
      <w:r>
        <w:t>ommitment is reputational only.</w:t>
      </w:r>
    </w:p>
    <w:p w:rsidR="008B3495" w:rsidRDefault="00285C74" w:rsidP="00285C74">
      <w:r w:rsidRPr="00285C74">
        <w:t xml:space="preserve">Managing vulnerability is a key part of being a good corporate citizen.  In section </w:t>
      </w:r>
      <w:r w:rsidR="00D87981" w:rsidRPr="00285C74">
        <w:t>4,</w:t>
      </w:r>
      <w:r w:rsidRPr="00285C74">
        <w:t xml:space="preserve"> we cover our overall approach to vulnerability, using the questions posed within the Business Plan guidance to shape our narrative.</w:t>
      </w:r>
      <w:r w:rsidR="008D497C">
        <w:t xml:space="preserve">  Vulnerability is also covered in Section 5.2.</w:t>
      </w:r>
    </w:p>
    <w:p w:rsidR="00285C74" w:rsidRPr="00285C74" w:rsidRDefault="00285C74" w:rsidP="00285C74">
      <w:r w:rsidRPr="00285C74">
        <w:t xml:space="preserve">We consider the </w:t>
      </w:r>
      <w:r w:rsidR="00D87981" w:rsidRPr="00285C74">
        <w:t>three</w:t>
      </w:r>
      <w:r w:rsidRPr="00285C74">
        <w:t xml:space="preserve"> main themes in managing vulnerability </w:t>
      </w:r>
      <w:r w:rsidR="00D87981" w:rsidRPr="00285C74">
        <w:t>are</w:t>
      </w:r>
      <w:r w:rsidR="004260AB">
        <w:t xml:space="preserve">: </w:t>
      </w:r>
    </w:p>
    <w:p w:rsidR="00285C74" w:rsidRPr="00285C74" w:rsidRDefault="00285C74" w:rsidP="00D87981">
      <w:pPr>
        <w:pStyle w:val="Bullets"/>
      </w:pPr>
      <w:r w:rsidRPr="00285C74">
        <w:t>Customer Service – Putting Customers at the Heart of our Business</w:t>
      </w:r>
    </w:p>
    <w:p w:rsidR="00285C74" w:rsidRPr="00285C74" w:rsidRDefault="00285C74" w:rsidP="00D87981">
      <w:pPr>
        <w:pStyle w:val="Bullets"/>
      </w:pPr>
      <w:r w:rsidRPr="00285C74">
        <w:t>Collaboration – working with others to achieve the best customer outcomes</w:t>
      </w:r>
    </w:p>
    <w:p w:rsidR="00285C74" w:rsidRPr="00285C74" w:rsidRDefault="00285C74" w:rsidP="00D87981">
      <w:pPr>
        <w:pStyle w:val="Bullets"/>
      </w:pPr>
      <w:r w:rsidRPr="00285C74">
        <w:t xml:space="preserve">Managing with Data – </w:t>
      </w:r>
      <w:r w:rsidR="00423B36">
        <w:t>“k</w:t>
      </w:r>
      <w:r w:rsidRPr="00285C74">
        <w:t xml:space="preserve">now your </w:t>
      </w:r>
      <w:r w:rsidR="00423B36">
        <w:t>c</w:t>
      </w:r>
      <w:r w:rsidRPr="00285C74">
        <w:t>ustomer</w:t>
      </w:r>
      <w:r w:rsidR="00423B36">
        <w:t>”</w:t>
      </w:r>
    </w:p>
    <w:p w:rsidR="00614DE0" w:rsidRDefault="00614DE0" w:rsidP="007B7FE8">
      <w:pPr>
        <w:spacing w:after="0"/>
      </w:pPr>
    </w:p>
    <w:p w:rsidR="00614DE0" w:rsidRDefault="00614DE0" w:rsidP="00614DE0">
      <w:pPr>
        <w:rPr>
          <w:b/>
        </w:rPr>
      </w:pPr>
      <w:r w:rsidRPr="005D2C83">
        <w:rPr>
          <w:b/>
        </w:rPr>
        <w:t>Putting Customers at the heart of our business.</w:t>
      </w:r>
    </w:p>
    <w:p w:rsidR="00614DE0" w:rsidRDefault="00614DE0" w:rsidP="00614DE0">
      <w:r>
        <w:t xml:space="preserve">Our core principle is about “doing the right thing” and we drive this into the business culture.  </w:t>
      </w:r>
      <w:r w:rsidR="00D87981">
        <w:t>The following drive our service: -</w:t>
      </w:r>
    </w:p>
    <w:p w:rsidR="00614DE0" w:rsidRDefault="00D87981" w:rsidP="00D87981">
      <w:pPr>
        <w:pStyle w:val="Bullets"/>
      </w:pPr>
      <w:r>
        <w:t>An engaged and committed workforce delivers great customer service</w:t>
      </w:r>
      <w:r w:rsidR="00614DE0">
        <w:t>.</w:t>
      </w:r>
    </w:p>
    <w:p w:rsidR="00614DE0" w:rsidRDefault="00614DE0" w:rsidP="00D87981">
      <w:pPr>
        <w:pStyle w:val="Bullets"/>
      </w:pPr>
      <w:r>
        <w:t>Our behaviours, processes and systems should be aligned to customer needs.</w:t>
      </w:r>
    </w:p>
    <w:p w:rsidR="00614DE0" w:rsidRDefault="00614DE0" w:rsidP="00D87981">
      <w:pPr>
        <w:pStyle w:val="Bullets"/>
      </w:pPr>
      <w:r>
        <w:t xml:space="preserve">Always keep the customer informed. </w:t>
      </w:r>
    </w:p>
    <w:p w:rsidR="00614DE0" w:rsidRDefault="00614DE0" w:rsidP="00D87981">
      <w:pPr>
        <w:pStyle w:val="Bullets"/>
      </w:pPr>
      <w:r>
        <w:t>Do what we say we will do.</w:t>
      </w:r>
    </w:p>
    <w:p w:rsidR="00614DE0" w:rsidRDefault="00614DE0" w:rsidP="00D87981">
      <w:pPr>
        <w:pStyle w:val="Bullets"/>
      </w:pPr>
      <w:r>
        <w:t>If we get it wrong, put it right quickly and say sorry.</w:t>
      </w:r>
    </w:p>
    <w:p w:rsidR="00614DE0" w:rsidRDefault="00614DE0" w:rsidP="00D87981">
      <w:pPr>
        <w:pStyle w:val="Bullets"/>
      </w:pPr>
      <w:r>
        <w:t>Encourage staff to take responsibility for an issue.</w:t>
      </w:r>
    </w:p>
    <w:p w:rsidR="00D87981" w:rsidRDefault="00D87981" w:rsidP="00D87981">
      <w:pPr>
        <w:pStyle w:val="Bullets"/>
        <w:numPr>
          <w:ilvl w:val="0"/>
          <w:numId w:val="0"/>
        </w:numPr>
        <w:ind w:left="1848"/>
      </w:pPr>
    </w:p>
    <w:p w:rsidR="00614DE0" w:rsidRDefault="00614DE0" w:rsidP="00614DE0">
      <w:r>
        <w:t>We also apply the principle of “value for money”, recognising that whatever we spend our customers are paying for.  We apply this test across the business to help us make good cost-effective decisions – for customers now and in the long-term.  This helps us to embed the right behaviours such as driving innovation and collaboration.</w:t>
      </w:r>
    </w:p>
    <w:p w:rsidR="00614DE0" w:rsidRDefault="00614DE0" w:rsidP="00614DE0">
      <w:r>
        <w:t>Evidence that we do this is provided by our i</w:t>
      </w:r>
      <w:r w:rsidR="00767076">
        <w:t>nvolvement in the Institute of C</w:t>
      </w:r>
      <w:r>
        <w:t xml:space="preserve">ustomer </w:t>
      </w:r>
      <w:r w:rsidR="00767076">
        <w:t>S</w:t>
      </w:r>
      <w:r>
        <w:t>ervice where we were the s</w:t>
      </w:r>
      <w:r w:rsidRPr="008702EC">
        <w:t xml:space="preserve">econd highest rated utility for the second consecutive year and our </w:t>
      </w:r>
      <w:r w:rsidR="008D497C">
        <w:t xml:space="preserve">service </w:t>
      </w:r>
      <w:r w:rsidRPr="008702EC">
        <w:t xml:space="preserve">score was the highest of any water company. In </w:t>
      </w:r>
      <w:r w:rsidR="004260AB" w:rsidRPr="008702EC">
        <w:t>2018,</w:t>
      </w:r>
      <w:r w:rsidRPr="008702EC">
        <w:t xml:space="preserve"> we were awarded the Servi</w:t>
      </w:r>
      <w:r w:rsidR="00767076">
        <w:t>ce</w:t>
      </w:r>
      <w:r w:rsidRPr="008702EC">
        <w:t>Mark by the Institute.</w:t>
      </w:r>
    </w:p>
    <w:p w:rsidR="00285C74" w:rsidRPr="00285C74" w:rsidRDefault="00285C74" w:rsidP="00285C74">
      <w:pPr>
        <w:rPr>
          <w:b/>
        </w:rPr>
      </w:pPr>
      <w:r w:rsidRPr="00285C74">
        <w:rPr>
          <w:b/>
        </w:rPr>
        <w:t>Collaboration</w:t>
      </w:r>
      <w:r w:rsidRPr="00285C74">
        <w:t xml:space="preserve">– </w:t>
      </w:r>
      <w:r w:rsidRPr="00285C74">
        <w:rPr>
          <w:b/>
        </w:rPr>
        <w:t>working with others to achieve the best Customer Outcomes</w:t>
      </w:r>
    </w:p>
    <w:p w:rsidR="00285C74" w:rsidRPr="00285C74" w:rsidRDefault="00285C74" w:rsidP="00130EC0">
      <w:r w:rsidRPr="00285C74">
        <w:t>Working collaboratively</w:t>
      </w:r>
      <w:r w:rsidRPr="00285C74">
        <w:rPr>
          <w:b/>
        </w:rPr>
        <w:t xml:space="preserve"> </w:t>
      </w:r>
      <w:r w:rsidRPr="00285C74">
        <w:t>to address</w:t>
      </w:r>
      <w:r w:rsidRPr="00285C74">
        <w:rPr>
          <w:b/>
        </w:rPr>
        <w:t xml:space="preserve"> </w:t>
      </w:r>
      <w:r w:rsidRPr="00285C74">
        <w:t>vulnerability is e</w:t>
      </w:r>
      <w:r w:rsidR="00294E23">
        <w:t>ssential.  We collaborate with:</w:t>
      </w:r>
    </w:p>
    <w:p w:rsidR="00285C74" w:rsidRPr="00285C74" w:rsidRDefault="00285C74" w:rsidP="00D87981">
      <w:pPr>
        <w:pStyle w:val="Bullets"/>
      </w:pPr>
      <w:r w:rsidRPr="00285C74">
        <w:t xml:space="preserve">Support </w:t>
      </w:r>
      <w:r w:rsidR="00451E46">
        <w:t>a</w:t>
      </w:r>
      <w:r w:rsidRPr="00285C74">
        <w:t xml:space="preserve">gencies </w:t>
      </w:r>
    </w:p>
    <w:p w:rsidR="00285C74" w:rsidRPr="00285C74" w:rsidRDefault="00285C74" w:rsidP="00D87981">
      <w:pPr>
        <w:pStyle w:val="Bullets"/>
      </w:pPr>
      <w:r w:rsidRPr="00285C74">
        <w:t xml:space="preserve">Councils and </w:t>
      </w:r>
      <w:r w:rsidR="00451E46">
        <w:t>h</w:t>
      </w:r>
      <w:r w:rsidRPr="00285C74">
        <w:t xml:space="preserve">ousing </w:t>
      </w:r>
      <w:r w:rsidR="00451E46">
        <w:t>a</w:t>
      </w:r>
      <w:r w:rsidRPr="00285C74">
        <w:t>ssociations</w:t>
      </w:r>
    </w:p>
    <w:p w:rsidR="00285C74" w:rsidRDefault="00285C74" w:rsidP="00D87981">
      <w:pPr>
        <w:pStyle w:val="Bullets"/>
      </w:pPr>
      <w:r w:rsidRPr="00285C74">
        <w:t>Utilities</w:t>
      </w:r>
    </w:p>
    <w:p w:rsidR="00D87981" w:rsidRPr="00285C74" w:rsidRDefault="00D87981" w:rsidP="00D87981">
      <w:pPr>
        <w:pStyle w:val="Bullets"/>
        <w:numPr>
          <w:ilvl w:val="0"/>
          <w:numId w:val="0"/>
        </w:numPr>
        <w:ind w:left="1848"/>
      </w:pPr>
    </w:p>
    <w:p w:rsidR="008B3495" w:rsidRDefault="00285C74" w:rsidP="00285C74">
      <w:r w:rsidRPr="00285C74">
        <w:t xml:space="preserve">Developing and maintaining relationships with the above groups, and attending events together, is a powerful way of </w:t>
      </w:r>
      <w:r w:rsidR="00A67852">
        <w:t xml:space="preserve">supporting </w:t>
      </w:r>
      <w:r w:rsidRPr="00285C74">
        <w:t>those that most need help.</w:t>
      </w:r>
    </w:p>
    <w:p w:rsidR="00285C74" w:rsidRPr="00285C74" w:rsidRDefault="00285C74" w:rsidP="00285C74">
      <w:r w:rsidRPr="00285C74">
        <w:t>Collaborat</w:t>
      </w:r>
      <w:r w:rsidR="00D87981">
        <w:t>i</w:t>
      </w:r>
      <w:r w:rsidR="00294E23">
        <w:t xml:space="preserve">ng effectively is achieved by: </w:t>
      </w:r>
    </w:p>
    <w:p w:rsidR="00285C74" w:rsidRPr="00285C74" w:rsidRDefault="00285C74" w:rsidP="00946D16">
      <w:pPr>
        <w:numPr>
          <w:ilvl w:val="0"/>
          <w:numId w:val="10"/>
        </w:numPr>
        <w:spacing w:after="0"/>
        <w:ind w:left="1208" w:hanging="357"/>
      </w:pPr>
      <w:r w:rsidRPr="00285C74">
        <w:t>Visiting support agencies to increase awareness of the help that we can give, gaining insight into the problems and solutions that they offer customers and physically receiving introductions to vulnerable customers.  Attending events together, both at their offices and in the community.</w:t>
      </w:r>
    </w:p>
    <w:p w:rsidR="00285C74" w:rsidRPr="00285C74" w:rsidRDefault="00285C74" w:rsidP="00946D16">
      <w:pPr>
        <w:numPr>
          <w:ilvl w:val="0"/>
          <w:numId w:val="10"/>
        </w:numPr>
        <w:spacing w:after="0"/>
        <w:ind w:left="1208" w:hanging="357"/>
      </w:pPr>
      <w:r w:rsidRPr="00285C74">
        <w:t>Working with Councils and Housing Associations, attending drop in events for residents and liaising with personnel to resolve issues and improve awareness of our services.</w:t>
      </w:r>
    </w:p>
    <w:p w:rsidR="00285C74" w:rsidRDefault="00451E46" w:rsidP="00946D16">
      <w:pPr>
        <w:numPr>
          <w:ilvl w:val="0"/>
          <w:numId w:val="10"/>
        </w:numPr>
        <w:spacing w:after="0"/>
        <w:ind w:left="1208" w:hanging="357"/>
      </w:pPr>
      <w:r>
        <w:t>Working with w</w:t>
      </w:r>
      <w:r w:rsidR="00285C74" w:rsidRPr="00285C74">
        <w:t>ater companies to align our Social Tariff criteria and develop best practice.  Work with utilities outside of water for joint sign up schemes for the Priority Services Register and develop best practice in communication, incident management and staff training. Attend community events together in a co-ordinated way to ensure it is easy for customers to access help from multiple organisations at a single event.</w:t>
      </w:r>
    </w:p>
    <w:p w:rsidR="00D87981" w:rsidRPr="00285C74" w:rsidRDefault="00D87981" w:rsidP="00151C79">
      <w:pPr>
        <w:spacing w:after="0"/>
        <w:ind w:left="1208"/>
      </w:pPr>
    </w:p>
    <w:p w:rsidR="00285C74" w:rsidRPr="000E00EE" w:rsidRDefault="00285C74" w:rsidP="009E1269">
      <w:r w:rsidRPr="000E00EE">
        <w:t xml:space="preserve">Our </w:t>
      </w:r>
      <w:r w:rsidR="00A407A5">
        <w:t xml:space="preserve">proposed </w:t>
      </w:r>
      <w:r w:rsidRPr="000E00EE">
        <w:t>annual survey of support agencies will provide an assessment of our success in dealing with vulnerability that forms our P</w:t>
      </w:r>
      <w:r w:rsidR="00294E23">
        <w:t>erformance Commitment; we have</w:t>
      </w:r>
      <w:r w:rsidRPr="000E00EE">
        <w:t xml:space="preserve"> a success criteria of 85% satisfaction</w:t>
      </w:r>
      <w:r w:rsidR="009E1269">
        <w:t>.</w:t>
      </w:r>
      <w:r w:rsidRPr="000E00EE">
        <w:t xml:space="preserve"> </w:t>
      </w:r>
    </w:p>
    <w:p w:rsidR="00285C74" w:rsidRPr="00285C74" w:rsidRDefault="00285C74" w:rsidP="00285C74">
      <w:pPr>
        <w:rPr>
          <w:b/>
        </w:rPr>
      </w:pPr>
      <w:r w:rsidRPr="00285C74">
        <w:rPr>
          <w:b/>
        </w:rPr>
        <w:t>Managing with Data – Know your Customer</w:t>
      </w:r>
    </w:p>
    <w:p w:rsidR="00285C74" w:rsidRPr="00285C74" w:rsidRDefault="00285C74" w:rsidP="00285C74">
      <w:r w:rsidRPr="00285C74">
        <w:t xml:space="preserve">Our customer data needs to </w:t>
      </w:r>
      <w:r w:rsidR="000E00EE">
        <w:t xml:space="preserve">continually </w:t>
      </w:r>
      <w:r w:rsidRPr="00285C74">
        <w:t>improve if we are to care for customers properly at times of need.</w:t>
      </w:r>
    </w:p>
    <w:p w:rsidR="00285C74" w:rsidRPr="00285C74" w:rsidRDefault="000E00EE" w:rsidP="00285C74">
      <w:r>
        <w:t xml:space="preserve">In common with the rest of the industry, we </w:t>
      </w:r>
      <w:r w:rsidR="00285C74" w:rsidRPr="00285C74">
        <w:t>start from a point of often having poor data, with customers often registered with us by third parties who give us on</w:t>
      </w:r>
      <w:r w:rsidR="00E93C7F">
        <w:t>ly</w:t>
      </w:r>
      <w:r w:rsidR="00285C74" w:rsidRPr="00285C74">
        <w:t xml:space="preserve"> very basic details.  </w:t>
      </w:r>
      <w:r w:rsidR="00451E46">
        <w:t>H</w:t>
      </w:r>
      <w:r w:rsidR="00285C74" w:rsidRPr="00285C74">
        <w:t>istorically, data was mainly collected for accurate billing purposes rather than to enable targeted support when it is needed.</w:t>
      </w:r>
    </w:p>
    <w:p w:rsidR="00285C74" w:rsidRDefault="00285C74" w:rsidP="00285C74">
      <w:r w:rsidRPr="00285C74">
        <w:t>Improving data collection, when registering new customers, using databases to find out more about customers, and sharing data with others, where permitted, is key to improving the service we provide.</w:t>
      </w:r>
    </w:p>
    <w:p w:rsidR="00FB14F9" w:rsidRPr="00285C74" w:rsidRDefault="00FB14F9" w:rsidP="00285C74">
      <w:r>
        <w:t>Customer data is managed within our billing system.  We have commissioned a bespoke development to allow us to record more detailed and accessible customer information so that we can better tailor services to their individual needs.</w:t>
      </w:r>
    </w:p>
    <w:p w:rsidR="00B75CD9" w:rsidRDefault="00285C74" w:rsidP="00285C74">
      <w:r w:rsidRPr="00285C74">
        <w:t xml:space="preserve">Data can help us target activities, for </w:t>
      </w:r>
      <w:r w:rsidR="00D87981" w:rsidRPr="00285C74">
        <w:t>example,</w:t>
      </w:r>
      <w:r w:rsidRPr="00285C74">
        <w:t xml:space="preserve"> ONS data on deprivation has allowed us to target visits and activities to promote our Priority Service Register</w:t>
      </w:r>
      <w:r w:rsidR="008D497C">
        <w:t xml:space="preserve"> collaboratively with SSE Networks</w:t>
      </w:r>
      <w:r w:rsidRPr="00285C74">
        <w:t>.</w:t>
      </w:r>
    </w:p>
    <w:p w:rsidR="00B75CD9" w:rsidRDefault="00B75CD9">
      <w:pPr>
        <w:tabs>
          <w:tab w:val="clear" w:pos="851"/>
        </w:tabs>
        <w:spacing w:after="0"/>
        <w:ind w:left="0"/>
        <w:jc w:val="left"/>
      </w:pPr>
      <w:r>
        <w:br w:type="page"/>
      </w:r>
    </w:p>
    <w:p w:rsidR="00285C74" w:rsidRPr="00B43DAA" w:rsidRDefault="00285C74" w:rsidP="00285C74">
      <w:pPr>
        <w:rPr>
          <w:b/>
        </w:rPr>
      </w:pPr>
      <w:r w:rsidRPr="00B43DAA">
        <w:rPr>
          <w:b/>
        </w:rPr>
        <w:t>Business Culture</w:t>
      </w:r>
    </w:p>
    <w:p w:rsidR="00285C74" w:rsidRDefault="00285C74" w:rsidP="00285C74">
      <w:pPr>
        <w:rPr>
          <w:b/>
        </w:rPr>
      </w:pPr>
      <w:r>
        <w:t>We have a principle of doing the “right thing” which helps to drive our customer-focused corporate culture.  We can both celebrate success and learn from our failures in a positive way.  Our people are critical to us and we invest heavily in personal development together with a behaviour led performance and development review process.</w:t>
      </w:r>
    </w:p>
    <w:p w:rsidR="00614DE0" w:rsidRDefault="00151C79" w:rsidP="00614DE0">
      <w:pPr>
        <w:rPr>
          <w:b/>
        </w:rPr>
      </w:pPr>
      <w:r>
        <w:rPr>
          <w:b/>
        </w:rPr>
        <w:t>Sustainable Financial Policies</w:t>
      </w:r>
    </w:p>
    <w:p w:rsidR="00614DE0" w:rsidRDefault="00614DE0" w:rsidP="00614DE0">
      <w:r>
        <w:t xml:space="preserve">The Company has demonstrated a responsible dividend </w:t>
      </w:r>
      <w:r w:rsidR="00FB14F9">
        <w:t xml:space="preserve">policy </w:t>
      </w:r>
      <w:r>
        <w:t xml:space="preserve">for many years and </w:t>
      </w:r>
      <w:r w:rsidR="00793044">
        <w:t xml:space="preserve">have </w:t>
      </w:r>
      <w:r>
        <w:t xml:space="preserve">been well below the amount regarded as best practise by the economic regulator Ofwat. </w:t>
      </w:r>
    </w:p>
    <w:p w:rsidR="00614DE0" w:rsidRDefault="00614DE0" w:rsidP="00614DE0">
      <w:r>
        <w:t>For the period 2020 to 2025 our dividend policy will be:</w:t>
      </w:r>
    </w:p>
    <w:p w:rsidR="00614DE0" w:rsidRDefault="00E61AF6" w:rsidP="00614DE0">
      <w:r>
        <w:t>“</w:t>
      </w:r>
      <w:r w:rsidR="00614DE0">
        <w:t xml:space="preserve">A base dividend of </w:t>
      </w:r>
      <w:r w:rsidR="00D16001">
        <w:t>5</w:t>
      </w:r>
      <w:r w:rsidR="00614DE0">
        <w:t>%</w:t>
      </w:r>
      <w:r w:rsidR="008D497C">
        <w:t xml:space="preserve"> </w:t>
      </w:r>
      <w:r w:rsidR="00614DE0">
        <w:t xml:space="preserve">of </w:t>
      </w:r>
      <w:r w:rsidR="00793044">
        <w:t xml:space="preserve">average </w:t>
      </w:r>
      <w:r w:rsidR="00614DE0">
        <w:t xml:space="preserve">value of regulatory equity plus, a </w:t>
      </w:r>
      <w:r w:rsidR="00A407A5">
        <w:t xml:space="preserve">proportion </w:t>
      </w:r>
      <w:r w:rsidR="00614DE0">
        <w:t>of any out-performance on ODI</w:t>
      </w:r>
      <w:r w:rsidR="008D497C">
        <w:t>s</w:t>
      </w:r>
      <w:r w:rsidR="00614DE0">
        <w:t>.”</w:t>
      </w:r>
    </w:p>
    <w:p w:rsidR="00614DE0" w:rsidRDefault="00614DE0" w:rsidP="00614DE0">
      <w:r>
        <w:t>Currently a significant element of Executive pay is based on service to customers. This will continue in to the next regulatory period.</w:t>
      </w:r>
    </w:p>
    <w:p w:rsidR="00614DE0" w:rsidRDefault="00614DE0" w:rsidP="00614DE0">
      <w:pPr>
        <w:rPr>
          <w:b/>
        </w:rPr>
      </w:pPr>
      <w:r w:rsidRPr="0059229F">
        <w:rPr>
          <w:b/>
        </w:rPr>
        <w:t>Tax Strategy</w:t>
      </w:r>
    </w:p>
    <w:p w:rsidR="00614DE0" w:rsidRDefault="00614DE0" w:rsidP="00614DE0">
      <w:r>
        <w:t xml:space="preserve">We wish to be transparent </w:t>
      </w:r>
      <w:r w:rsidR="00451E46">
        <w:t xml:space="preserve">with </w:t>
      </w:r>
      <w:r>
        <w:t>customers regardi</w:t>
      </w:r>
      <w:r w:rsidR="00FB14F9">
        <w:t>ng our tax position. The Consumer</w:t>
      </w:r>
      <w:r>
        <w:t xml:space="preserve"> Council for Water </w:t>
      </w:r>
      <w:r w:rsidR="00451E46">
        <w:t xml:space="preserve">is </w:t>
      </w:r>
      <w:r>
        <w:t xml:space="preserve">keen develop a process for tax to be more transparent and we will work with them to develop a reporting method that will be accessible </w:t>
      </w:r>
      <w:r w:rsidR="00451E46">
        <w:t>for</w:t>
      </w:r>
      <w:r>
        <w:t xml:space="preserve"> the general public.</w:t>
      </w:r>
      <w:r w:rsidR="0067156E">
        <w:t xml:space="preserve">  We, and our owners, </w:t>
      </w:r>
      <w:r w:rsidR="00451E46">
        <w:t xml:space="preserve">are </w:t>
      </w:r>
      <w:r w:rsidR="0067156E">
        <w:t>UK domi</w:t>
      </w:r>
      <w:r w:rsidR="009E1269">
        <w:t>cil</w:t>
      </w:r>
      <w:r w:rsidR="0067156E">
        <w:t>ed companies.</w:t>
      </w:r>
    </w:p>
    <w:p w:rsidR="00614DE0" w:rsidRDefault="00151C79" w:rsidP="00614DE0">
      <w:pPr>
        <w:rPr>
          <w:b/>
        </w:rPr>
      </w:pPr>
      <w:r>
        <w:rPr>
          <w:b/>
        </w:rPr>
        <w:t>Being a responsible employer</w:t>
      </w:r>
    </w:p>
    <w:p w:rsidR="00614DE0" w:rsidRDefault="00614DE0" w:rsidP="00614DE0">
      <w:r>
        <w:t xml:space="preserve">We want our employees to be the best they can be. We actively promote development for all staff. Over 40% of all staff have undertaken some form of career training supported by the </w:t>
      </w:r>
      <w:r w:rsidR="00A407A5">
        <w:t>C</w:t>
      </w:r>
      <w:r>
        <w:t xml:space="preserve">ompany. We encourage staff to be </w:t>
      </w:r>
      <w:r w:rsidR="0064283F">
        <w:t xml:space="preserve">a </w:t>
      </w:r>
      <w:r>
        <w:t xml:space="preserve">member of the Institute of Water and to attend </w:t>
      </w:r>
      <w:r w:rsidR="0064283F">
        <w:t>C</w:t>
      </w:r>
      <w:r>
        <w:t xml:space="preserve">onference in order that they gain wide experience and get the opportunity to learn from other companies. </w:t>
      </w:r>
    </w:p>
    <w:p w:rsidR="00614DE0" w:rsidRDefault="00614DE0" w:rsidP="00614DE0">
      <w:r>
        <w:t>The Board review succession planning every 6 months identifying the gaps in skills and experience.</w:t>
      </w:r>
    </w:p>
    <w:p w:rsidR="00614DE0" w:rsidRDefault="00614DE0" w:rsidP="00614DE0">
      <w:r>
        <w:t xml:space="preserve">Our employee development reviews focus on the appropriate behaviours in line with our </w:t>
      </w:r>
      <w:r w:rsidR="0064283F">
        <w:t>V</w:t>
      </w:r>
      <w:r>
        <w:t xml:space="preserve">alues and </w:t>
      </w:r>
      <w:r w:rsidR="0064283F">
        <w:t>M</w:t>
      </w:r>
      <w:r>
        <w:t>ission.</w:t>
      </w:r>
    </w:p>
    <w:p w:rsidR="00614DE0" w:rsidRDefault="00614DE0" w:rsidP="00614DE0">
      <w:r>
        <w:t xml:space="preserve">The safety of our employees is of paramount importance and we have been given the </w:t>
      </w:r>
      <w:r w:rsidR="00D87981">
        <w:t>President’s A</w:t>
      </w:r>
      <w:r w:rsidR="00FB14F9">
        <w:t xml:space="preserve">ward </w:t>
      </w:r>
      <w:r w:rsidR="00AD02B5">
        <w:t xml:space="preserve">four </w:t>
      </w:r>
      <w:r w:rsidR="00FB14F9">
        <w:t>years running from Ro</w:t>
      </w:r>
      <w:r>
        <w:t xml:space="preserve">SPA. Every month we provide a health and safety </w:t>
      </w:r>
      <w:r w:rsidR="00D87981">
        <w:t>briefing</w:t>
      </w:r>
      <w:r>
        <w:t xml:space="preserve"> </w:t>
      </w:r>
      <w:r w:rsidR="00AD02B5">
        <w:t xml:space="preserve">to </w:t>
      </w:r>
      <w:r>
        <w:t>all employees which highlight any accidents around the industry and beyond, with lessons to be learnt.</w:t>
      </w:r>
    </w:p>
    <w:p w:rsidR="00B75CD9" w:rsidRDefault="00614DE0" w:rsidP="00614DE0">
      <w:r>
        <w:t>We run an employee survey every year and in 2018, 95% said they were proud to work for Portsmouth Water and over 80% said they felt valued by the Company.</w:t>
      </w:r>
    </w:p>
    <w:p w:rsidR="00B75CD9" w:rsidRDefault="00B75CD9">
      <w:pPr>
        <w:tabs>
          <w:tab w:val="clear" w:pos="851"/>
        </w:tabs>
        <w:spacing w:after="0"/>
        <w:ind w:left="0"/>
        <w:jc w:val="left"/>
      </w:pPr>
      <w:r>
        <w:br w:type="page"/>
      </w:r>
    </w:p>
    <w:p w:rsidR="00614DE0" w:rsidRDefault="00614DE0" w:rsidP="00614DE0">
      <w:r w:rsidRPr="00DF7FB4">
        <w:rPr>
          <w:b/>
        </w:rPr>
        <w:t>High Standards of Corporate Governance</w:t>
      </w:r>
    </w:p>
    <w:p w:rsidR="00614DE0" w:rsidRDefault="00614DE0" w:rsidP="00614DE0">
      <w:r>
        <w:t>Our Board operates, both in mind-set and in composition, in an independent fashion.  The Board is involved in all significant decisions and a high level of Board challenge and debate is encouraged.</w:t>
      </w:r>
      <w:r w:rsidRPr="00DD643E">
        <w:t xml:space="preserve"> </w:t>
      </w:r>
      <w:r>
        <w:t>The Board recognises our privileged position as a monopoly supplier, appl</w:t>
      </w:r>
      <w:r w:rsidR="00451E46">
        <w:t>ies</w:t>
      </w:r>
      <w:r>
        <w:t xml:space="preserve"> the principle of “value for money”, recognising that whatever we spend our customers are paying for.  We apply this test across the business to help us make good cost-effective decisions – for customers now and in the long-term.  This helps us to embed the right behaviours such as driving innovation and collaboration.</w:t>
      </w:r>
    </w:p>
    <w:p w:rsidR="00614DE0" w:rsidRPr="00D9047F" w:rsidRDefault="00130EC0" w:rsidP="00614DE0">
      <w:pPr>
        <w:rPr>
          <w:b/>
          <w:bCs/>
          <w:color w:val="000000" w:themeColor="text1"/>
        </w:rPr>
      </w:pPr>
      <w:r>
        <w:rPr>
          <w:b/>
          <w:bCs/>
          <w:color w:val="000000" w:themeColor="text1"/>
        </w:rPr>
        <w:t xml:space="preserve">In </w:t>
      </w:r>
      <w:r w:rsidR="00AD02B5">
        <w:rPr>
          <w:b/>
          <w:bCs/>
          <w:color w:val="000000" w:themeColor="text1"/>
        </w:rPr>
        <w:t>S</w:t>
      </w:r>
      <w:r>
        <w:rPr>
          <w:b/>
          <w:bCs/>
          <w:color w:val="000000" w:themeColor="text1"/>
        </w:rPr>
        <w:t>ummary</w:t>
      </w:r>
    </w:p>
    <w:p w:rsidR="005E61BF" w:rsidRDefault="00614DE0" w:rsidP="00130EC0">
      <w:r>
        <w:t xml:space="preserve">Portsmouth Water has a </w:t>
      </w:r>
      <w:r w:rsidR="00D87981">
        <w:t>long-standing</w:t>
      </w:r>
      <w:r>
        <w:t xml:space="preserve"> commitment to “doing the right thing”.  We see this </w:t>
      </w:r>
      <w:r w:rsidR="00451E46">
        <w:t xml:space="preserve">as </w:t>
      </w:r>
      <w:r>
        <w:t>an essential part of the Company’s culture encouraging the right behaviours so that we deliver for our customers.  Our Board and management team are committed to this principle and in continuing to work with the Industry</w:t>
      </w:r>
      <w:r w:rsidR="00AD02B5">
        <w:t>,</w:t>
      </w:r>
      <w:r>
        <w:t xml:space="preserve"> to ensure that we put customers at </w:t>
      </w:r>
      <w:r w:rsidR="00AD02B5">
        <w:t xml:space="preserve">its </w:t>
      </w:r>
      <w:r>
        <w:t>heart, as part of building trust and legitimacy.</w:t>
      </w:r>
    </w:p>
    <w:p w:rsidR="008D497C" w:rsidRPr="00453F64" w:rsidRDefault="008D497C" w:rsidP="00130EC0">
      <w:pPr>
        <w:rPr>
          <w:color w:val="2E74B5" w:themeColor="accent1" w:themeShade="BF"/>
        </w:rPr>
      </w:pPr>
      <w:r w:rsidRPr="00453F64">
        <w:rPr>
          <w:color w:val="2E74B5" w:themeColor="accent1" w:themeShade="BF"/>
        </w:rPr>
        <w:t>Appendices relevant to this section</w:t>
      </w:r>
    </w:p>
    <w:tbl>
      <w:tblPr>
        <w:tblStyle w:val="TableGrid22"/>
        <w:tblW w:w="0" w:type="auto"/>
        <w:jc w:val="center"/>
        <w:tblLook w:val="04A0" w:firstRow="1" w:lastRow="0" w:firstColumn="1" w:lastColumn="0" w:noHBand="0" w:noVBand="1"/>
      </w:tblPr>
      <w:tblGrid>
        <w:gridCol w:w="1838"/>
        <w:gridCol w:w="4173"/>
        <w:gridCol w:w="1781"/>
      </w:tblGrid>
      <w:tr w:rsidR="00203ADB" w:rsidRPr="001E0DCD" w:rsidTr="00203ADB">
        <w:trPr>
          <w:jc w:val="center"/>
        </w:trPr>
        <w:tc>
          <w:tcPr>
            <w:tcW w:w="1838" w:type="dxa"/>
            <w:shd w:val="clear" w:color="auto" w:fill="2E74B5" w:themeFill="accent1" w:themeFillShade="BF"/>
          </w:tcPr>
          <w:p w:rsidR="00203ADB" w:rsidRPr="001E0DCD" w:rsidRDefault="00203ADB" w:rsidP="00203AD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203ADB" w:rsidRPr="001E0DCD" w:rsidRDefault="00203ADB" w:rsidP="00203AD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203ADB" w:rsidRPr="001E0DCD" w:rsidRDefault="00203ADB" w:rsidP="00203AD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203ADB" w:rsidRPr="001E0DCD" w:rsidTr="00203ADB">
        <w:trPr>
          <w:jc w:val="center"/>
        </w:trPr>
        <w:tc>
          <w:tcPr>
            <w:tcW w:w="1838" w:type="dxa"/>
          </w:tcPr>
          <w:p w:rsidR="00203ADB" w:rsidRPr="001E0DCD" w:rsidRDefault="00203ADB" w:rsidP="00203ADB">
            <w:pPr>
              <w:tabs>
                <w:tab w:val="clear" w:pos="851"/>
              </w:tabs>
              <w:spacing w:after="0"/>
              <w:ind w:left="0"/>
              <w:jc w:val="left"/>
              <w:rPr>
                <w:rFonts w:cs="Arial"/>
                <w:sz w:val="16"/>
                <w:szCs w:val="16"/>
              </w:rPr>
            </w:pPr>
            <w:r>
              <w:rPr>
                <w:rFonts w:cs="Arial"/>
                <w:sz w:val="16"/>
                <w:szCs w:val="16"/>
              </w:rPr>
              <w:t>2.3</w:t>
            </w:r>
          </w:p>
        </w:tc>
        <w:tc>
          <w:tcPr>
            <w:tcW w:w="4173" w:type="dxa"/>
          </w:tcPr>
          <w:p w:rsidR="00203ADB" w:rsidRPr="001E0DCD" w:rsidRDefault="00203ADB" w:rsidP="00203ADB">
            <w:pPr>
              <w:tabs>
                <w:tab w:val="clear" w:pos="851"/>
              </w:tabs>
              <w:spacing w:after="0"/>
              <w:ind w:left="0"/>
              <w:jc w:val="left"/>
              <w:rPr>
                <w:rFonts w:cs="Arial"/>
                <w:sz w:val="16"/>
                <w:szCs w:val="16"/>
              </w:rPr>
            </w:pPr>
            <w:r>
              <w:rPr>
                <w:rFonts w:cs="Arial"/>
                <w:sz w:val="16"/>
                <w:szCs w:val="16"/>
              </w:rPr>
              <w:t>Accent – Qualitative Research into Outcomes</w:t>
            </w:r>
          </w:p>
        </w:tc>
        <w:tc>
          <w:tcPr>
            <w:tcW w:w="1781" w:type="dxa"/>
          </w:tcPr>
          <w:p w:rsidR="00203ADB" w:rsidRPr="001E0DCD" w:rsidRDefault="00203ADB" w:rsidP="00203ADB">
            <w:pPr>
              <w:tabs>
                <w:tab w:val="clear" w:pos="851"/>
              </w:tabs>
              <w:spacing w:after="0"/>
              <w:ind w:left="0"/>
              <w:jc w:val="left"/>
              <w:rPr>
                <w:rFonts w:cs="Arial"/>
                <w:sz w:val="16"/>
                <w:szCs w:val="16"/>
              </w:rPr>
            </w:pPr>
            <w:r>
              <w:rPr>
                <w:rFonts w:cs="Arial"/>
                <w:sz w:val="16"/>
                <w:szCs w:val="16"/>
              </w:rPr>
              <w:t>December 2016</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2.4</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Customer Advisory Panel 1</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February 2017</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2.22</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Customer Advisory Panel 5</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May 2018</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2.17</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 xml:space="preserve">ICS – PC + ODI Customer Survey Results </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April 2018</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2.10</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Vulnerability Report</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October 2017</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2.11</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Student Customer Survey Report</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October 2017</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2.8</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Institute of Customer Service Report</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October 2017</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2.21</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Community Research – Qualitative Research with NHH customers</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May 2018</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2.14</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Customer Affordability Survey</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February 2018</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2.26</w:t>
            </w:r>
          </w:p>
        </w:tc>
        <w:tc>
          <w:tcPr>
            <w:tcW w:w="4173" w:type="dxa"/>
          </w:tcPr>
          <w:p w:rsidR="00203ADB" w:rsidRDefault="00203ADB" w:rsidP="00A67852">
            <w:pPr>
              <w:tabs>
                <w:tab w:val="clear" w:pos="851"/>
              </w:tabs>
              <w:spacing w:after="0"/>
              <w:ind w:left="0"/>
              <w:jc w:val="left"/>
              <w:rPr>
                <w:rFonts w:cs="Arial"/>
                <w:sz w:val="16"/>
                <w:szCs w:val="16"/>
              </w:rPr>
            </w:pPr>
            <w:r>
              <w:rPr>
                <w:rFonts w:cs="Arial"/>
                <w:sz w:val="16"/>
                <w:szCs w:val="16"/>
              </w:rPr>
              <w:t>Bill Profi</w:t>
            </w:r>
            <w:r w:rsidR="00A67852">
              <w:rPr>
                <w:rFonts w:cs="Arial"/>
                <w:sz w:val="16"/>
                <w:szCs w:val="16"/>
              </w:rPr>
              <w:t>l</w:t>
            </w:r>
            <w:r>
              <w:rPr>
                <w:rFonts w:cs="Arial"/>
                <w:sz w:val="16"/>
                <w:szCs w:val="16"/>
              </w:rPr>
              <w:t>ing and Company Specific Premium</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July 2018</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2.1</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Customer Engagement and Triangulation</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August 2018</w:t>
            </w:r>
          </w:p>
        </w:tc>
      </w:tr>
    </w:tbl>
    <w:p w:rsidR="00203ADB" w:rsidRDefault="00203ADB" w:rsidP="00130EC0"/>
    <w:p w:rsidR="005E61BF" w:rsidRDefault="005E61BF">
      <w:pPr>
        <w:tabs>
          <w:tab w:val="clear" w:pos="851"/>
        </w:tabs>
        <w:spacing w:after="0"/>
        <w:ind w:left="0"/>
        <w:jc w:val="left"/>
      </w:pPr>
      <w:r>
        <w:br w:type="page"/>
      </w:r>
    </w:p>
    <w:p w:rsidR="00A73A0F" w:rsidRDefault="00A73A0F" w:rsidP="001523F8">
      <w:pPr>
        <w:pStyle w:val="Heading2"/>
      </w:pPr>
      <w:bookmarkStart w:id="97" w:name="_Toc522199993"/>
      <w:bookmarkStart w:id="98" w:name="_Toc522200090"/>
      <w:bookmarkStart w:id="99" w:name="_Toc523651272"/>
      <w:r>
        <w:t>Recognised by stakeholders as having a culture of Health and Safety</w:t>
      </w:r>
      <w:bookmarkEnd w:id="97"/>
      <w:bookmarkEnd w:id="98"/>
      <w:bookmarkEnd w:id="99"/>
    </w:p>
    <w:p w:rsidR="00AD02B5" w:rsidRPr="00AD02B5" w:rsidRDefault="00AD02B5" w:rsidP="00AD02B5">
      <w:r>
        <w:t>In this section we explain our outcome ‘Recognised by stakeholders as having a culture of Health and Safety’.  We start with a summary table of the Performance Commitment that underpins this outcome, detail the customer insight that has shaped it and then explain our past record and how this commitment will be delivered.</w:t>
      </w:r>
    </w:p>
    <w:tbl>
      <w:tblPr>
        <w:tblStyle w:val="TableGrid"/>
        <w:tblW w:w="8783" w:type="dxa"/>
        <w:tblInd w:w="851" w:type="dxa"/>
        <w:tblLayout w:type="fixed"/>
        <w:tblLook w:val="04A0" w:firstRow="1" w:lastRow="0" w:firstColumn="1" w:lastColumn="0" w:noHBand="0" w:noVBand="1"/>
      </w:tblPr>
      <w:tblGrid>
        <w:gridCol w:w="2405"/>
        <w:gridCol w:w="850"/>
        <w:gridCol w:w="1370"/>
        <w:gridCol w:w="1654"/>
        <w:gridCol w:w="1654"/>
        <w:gridCol w:w="850"/>
      </w:tblGrid>
      <w:tr w:rsidR="00ED3964" w:rsidRPr="007B7FE8" w:rsidTr="007B7FE8">
        <w:tc>
          <w:tcPr>
            <w:tcW w:w="2405" w:type="dxa"/>
            <w:shd w:val="clear" w:color="auto" w:fill="2E74B5" w:themeFill="accent1" w:themeFillShade="BF"/>
          </w:tcPr>
          <w:p w:rsidR="00ED3964" w:rsidRPr="007B7FE8" w:rsidRDefault="00ED3964" w:rsidP="00ED3964">
            <w:pPr>
              <w:spacing w:after="0"/>
              <w:ind w:left="0"/>
              <w:rPr>
                <w:sz w:val="16"/>
                <w:szCs w:val="16"/>
              </w:rPr>
            </w:pPr>
            <w:r w:rsidRPr="007B7FE8">
              <w:rPr>
                <w:b/>
                <w:bCs/>
                <w:color w:val="FFFFFF" w:themeColor="background1"/>
                <w:sz w:val="16"/>
                <w:szCs w:val="16"/>
              </w:rPr>
              <w:t>Performance Commitment</w:t>
            </w:r>
          </w:p>
        </w:tc>
        <w:tc>
          <w:tcPr>
            <w:tcW w:w="850" w:type="dxa"/>
            <w:shd w:val="clear" w:color="auto" w:fill="2E74B5" w:themeFill="accent1" w:themeFillShade="BF"/>
          </w:tcPr>
          <w:p w:rsidR="00ED3964" w:rsidRPr="007B7FE8" w:rsidRDefault="00ED3964" w:rsidP="00ED3964">
            <w:pPr>
              <w:spacing w:before="20" w:after="20"/>
              <w:ind w:left="0"/>
              <w:jc w:val="center"/>
              <w:rPr>
                <w:b/>
                <w:bCs/>
                <w:color w:val="FFFFFF" w:themeColor="background1"/>
                <w:sz w:val="16"/>
                <w:szCs w:val="16"/>
              </w:rPr>
            </w:pPr>
            <w:r w:rsidRPr="007B7FE8">
              <w:rPr>
                <w:b/>
                <w:bCs/>
                <w:color w:val="FFFFFF" w:themeColor="background1"/>
                <w:sz w:val="16"/>
                <w:szCs w:val="16"/>
              </w:rPr>
              <w:t>Type</w:t>
            </w:r>
          </w:p>
        </w:tc>
        <w:tc>
          <w:tcPr>
            <w:tcW w:w="1370" w:type="dxa"/>
            <w:shd w:val="clear" w:color="auto" w:fill="2E74B5" w:themeFill="accent1" w:themeFillShade="BF"/>
          </w:tcPr>
          <w:p w:rsidR="00ED3964" w:rsidRPr="007B7FE8" w:rsidRDefault="00ED3964" w:rsidP="00ED3964">
            <w:pPr>
              <w:spacing w:after="0"/>
              <w:ind w:left="0"/>
              <w:rPr>
                <w:b/>
                <w:color w:val="FFFFFF" w:themeColor="background1"/>
                <w:sz w:val="16"/>
                <w:szCs w:val="16"/>
              </w:rPr>
            </w:pPr>
            <w:r w:rsidRPr="007B7FE8">
              <w:rPr>
                <w:b/>
                <w:color w:val="FFFFFF" w:themeColor="background1"/>
                <w:sz w:val="16"/>
                <w:szCs w:val="16"/>
              </w:rPr>
              <w:t>AMP6 Performance</w:t>
            </w:r>
          </w:p>
        </w:tc>
        <w:tc>
          <w:tcPr>
            <w:tcW w:w="1654" w:type="dxa"/>
            <w:shd w:val="clear" w:color="auto" w:fill="2E74B5" w:themeFill="accent1" w:themeFillShade="BF"/>
          </w:tcPr>
          <w:p w:rsidR="00ED3964" w:rsidRPr="007B7FE8" w:rsidRDefault="00ED3964" w:rsidP="00ED3964">
            <w:pPr>
              <w:spacing w:after="0"/>
              <w:ind w:left="0"/>
              <w:rPr>
                <w:b/>
                <w:color w:val="FFFFFF" w:themeColor="background1"/>
                <w:sz w:val="16"/>
                <w:szCs w:val="16"/>
              </w:rPr>
            </w:pPr>
            <w:r w:rsidRPr="007B7FE8">
              <w:rPr>
                <w:b/>
                <w:color w:val="FFFFFF" w:themeColor="background1"/>
                <w:sz w:val="16"/>
                <w:szCs w:val="16"/>
              </w:rPr>
              <w:t>2024/25 Target</w:t>
            </w:r>
          </w:p>
        </w:tc>
        <w:tc>
          <w:tcPr>
            <w:tcW w:w="1654" w:type="dxa"/>
            <w:shd w:val="clear" w:color="auto" w:fill="2E74B5" w:themeFill="accent1" w:themeFillShade="BF"/>
          </w:tcPr>
          <w:p w:rsidR="00ED3964" w:rsidRPr="007B7FE8" w:rsidRDefault="00ED3964" w:rsidP="00ED3964">
            <w:pPr>
              <w:spacing w:after="0"/>
              <w:ind w:left="0"/>
              <w:rPr>
                <w:b/>
                <w:color w:val="FFFFFF" w:themeColor="background1"/>
                <w:sz w:val="16"/>
                <w:szCs w:val="16"/>
              </w:rPr>
            </w:pPr>
            <w:r w:rsidRPr="007B7FE8">
              <w:rPr>
                <w:b/>
                <w:color w:val="FFFFFF" w:themeColor="background1"/>
                <w:sz w:val="16"/>
                <w:szCs w:val="16"/>
              </w:rPr>
              <w:t>2034/35 Target</w:t>
            </w:r>
          </w:p>
        </w:tc>
        <w:tc>
          <w:tcPr>
            <w:tcW w:w="850" w:type="dxa"/>
            <w:shd w:val="clear" w:color="auto" w:fill="2E74B5" w:themeFill="accent1" w:themeFillShade="BF"/>
          </w:tcPr>
          <w:p w:rsidR="00ED3964" w:rsidRPr="007B7FE8" w:rsidRDefault="00ED3964" w:rsidP="00ED3964">
            <w:pPr>
              <w:spacing w:after="0"/>
              <w:ind w:left="0"/>
              <w:jc w:val="center"/>
              <w:rPr>
                <w:b/>
                <w:color w:val="FFFFFF" w:themeColor="background1"/>
                <w:sz w:val="16"/>
                <w:szCs w:val="16"/>
              </w:rPr>
            </w:pPr>
            <w:r w:rsidRPr="007B7FE8">
              <w:rPr>
                <w:b/>
                <w:color w:val="FFFFFF" w:themeColor="background1"/>
                <w:sz w:val="16"/>
                <w:szCs w:val="16"/>
              </w:rPr>
              <w:t>Reward/Penalty</w:t>
            </w:r>
          </w:p>
        </w:tc>
      </w:tr>
      <w:tr w:rsidR="00F76973" w:rsidRPr="007B7FE8" w:rsidTr="007B7FE8">
        <w:tc>
          <w:tcPr>
            <w:tcW w:w="2405" w:type="dxa"/>
          </w:tcPr>
          <w:p w:rsidR="00F76973" w:rsidRPr="007B7FE8" w:rsidRDefault="00F76973" w:rsidP="00F76973">
            <w:pPr>
              <w:spacing w:before="20" w:after="20"/>
              <w:ind w:left="0"/>
              <w:rPr>
                <w:sz w:val="16"/>
                <w:szCs w:val="16"/>
              </w:rPr>
            </w:pPr>
            <w:r w:rsidRPr="007B7FE8">
              <w:rPr>
                <w:sz w:val="16"/>
                <w:szCs w:val="16"/>
              </w:rPr>
              <w:t>Assessment of H&amp;S by RoSPA</w:t>
            </w:r>
          </w:p>
        </w:tc>
        <w:tc>
          <w:tcPr>
            <w:tcW w:w="850" w:type="dxa"/>
          </w:tcPr>
          <w:p w:rsidR="00F76973" w:rsidRPr="007B7FE8" w:rsidRDefault="00F76973" w:rsidP="00F76973">
            <w:pPr>
              <w:spacing w:before="20" w:after="20"/>
              <w:ind w:left="0"/>
              <w:jc w:val="center"/>
              <w:rPr>
                <w:sz w:val="16"/>
                <w:szCs w:val="16"/>
              </w:rPr>
            </w:pPr>
            <w:r w:rsidRPr="007B7FE8">
              <w:rPr>
                <w:sz w:val="16"/>
                <w:szCs w:val="16"/>
              </w:rPr>
              <w:t>B</w:t>
            </w:r>
          </w:p>
        </w:tc>
        <w:tc>
          <w:tcPr>
            <w:tcW w:w="1370" w:type="dxa"/>
          </w:tcPr>
          <w:p w:rsidR="00F76973" w:rsidRPr="007B7FE8" w:rsidRDefault="00F76973" w:rsidP="00F76973">
            <w:pPr>
              <w:spacing w:after="0"/>
              <w:ind w:left="0"/>
              <w:rPr>
                <w:sz w:val="16"/>
                <w:szCs w:val="16"/>
              </w:rPr>
            </w:pPr>
            <w:r w:rsidRPr="007B7FE8">
              <w:rPr>
                <w:sz w:val="16"/>
                <w:szCs w:val="16"/>
              </w:rPr>
              <w:t>Awarded</w:t>
            </w:r>
          </w:p>
        </w:tc>
        <w:tc>
          <w:tcPr>
            <w:tcW w:w="1654" w:type="dxa"/>
          </w:tcPr>
          <w:p w:rsidR="00F76973" w:rsidRPr="007B7FE8" w:rsidRDefault="00F76973" w:rsidP="00F76973">
            <w:pPr>
              <w:spacing w:before="20" w:after="20"/>
              <w:ind w:left="0"/>
              <w:jc w:val="left"/>
              <w:rPr>
                <w:sz w:val="16"/>
                <w:szCs w:val="16"/>
              </w:rPr>
            </w:pPr>
            <w:r w:rsidRPr="007B7FE8">
              <w:rPr>
                <w:sz w:val="16"/>
                <w:szCs w:val="16"/>
              </w:rPr>
              <w:t>Awarded</w:t>
            </w:r>
          </w:p>
        </w:tc>
        <w:tc>
          <w:tcPr>
            <w:tcW w:w="1654" w:type="dxa"/>
          </w:tcPr>
          <w:p w:rsidR="00F76973" w:rsidRPr="007B7FE8" w:rsidRDefault="00F76973" w:rsidP="00F76973">
            <w:pPr>
              <w:spacing w:after="0"/>
              <w:ind w:left="0"/>
              <w:rPr>
                <w:sz w:val="16"/>
                <w:szCs w:val="16"/>
              </w:rPr>
            </w:pPr>
            <w:r w:rsidRPr="007B7FE8">
              <w:rPr>
                <w:sz w:val="16"/>
                <w:szCs w:val="16"/>
              </w:rPr>
              <w:t>Awarded</w:t>
            </w:r>
          </w:p>
        </w:tc>
        <w:tc>
          <w:tcPr>
            <w:tcW w:w="850" w:type="dxa"/>
          </w:tcPr>
          <w:p w:rsidR="00F76973" w:rsidRPr="007B7FE8" w:rsidRDefault="00F76973" w:rsidP="00F76973">
            <w:pPr>
              <w:spacing w:after="0"/>
              <w:ind w:left="0"/>
              <w:jc w:val="center"/>
              <w:rPr>
                <w:sz w:val="16"/>
                <w:szCs w:val="16"/>
              </w:rPr>
            </w:pPr>
            <w:r w:rsidRPr="007B7FE8">
              <w:rPr>
                <w:sz w:val="16"/>
                <w:szCs w:val="16"/>
              </w:rPr>
              <w:t>REP</w:t>
            </w:r>
          </w:p>
        </w:tc>
      </w:tr>
    </w:tbl>
    <w:p w:rsidR="00AD02B5" w:rsidRDefault="00AD02B5" w:rsidP="00AD02B5">
      <w:pPr>
        <w:rPr>
          <w:sz w:val="14"/>
          <w:szCs w:val="14"/>
        </w:rPr>
      </w:pPr>
      <w:bookmarkStart w:id="100" w:name="_Toc522199994"/>
      <w:bookmarkStart w:id="101" w:name="_Toc522200091"/>
      <w:r w:rsidRPr="00F84F6A">
        <w:rPr>
          <w:sz w:val="14"/>
          <w:szCs w:val="14"/>
        </w:rPr>
        <w:t>Key: C= Co</w:t>
      </w:r>
      <w:r>
        <w:rPr>
          <w:sz w:val="14"/>
          <w:szCs w:val="14"/>
        </w:rPr>
        <w:t>mmon B=Bespoke P=Penalty Only R = Reward Only R/P = Reward/Penalty REP = Reputational ER/EP = Enhanced Reward/Penalty UQ = Upper Quartile</w:t>
      </w:r>
    </w:p>
    <w:p w:rsidR="007D0A69" w:rsidRDefault="00D16001" w:rsidP="00D16001">
      <w:pPr>
        <w:pStyle w:val="Heading3"/>
      </w:pPr>
      <w:bookmarkStart w:id="102" w:name="_Toc523651273"/>
      <w:r>
        <w:t>Engaging with Customers</w:t>
      </w:r>
      <w:bookmarkEnd w:id="100"/>
      <w:bookmarkEnd w:id="101"/>
      <w:bookmarkEnd w:id="102"/>
    </w:p>
    <w:tbl>
      <w:tblPr>
        <w:tblStyle w:val="TableGrid33"/>
        <w:tblW w:w="8788" w:type="dxa"/>
        <w:tblInd w:w="846" w:type="dxa"/>
        <w:tblLook w:val="04A0" w:firstRow="1" w:lastRow="0" w:firstColumn="1" w:lastColumn="0" w:noHBand="0" w:noVBand="1"/>
      </w:tblPr>
      <w:tblGrid>
        <w:gridCol w:w="2977"/>
        <w:gridCol w:w="3118"/>
        <w:gridCol w:w="2693"/>
      </w:tblGrid>
      <w:tr w:rsidR="007D0A69" w:rsidRPr="007D0A69" w:rsidTr="00E61AF6">
        <w:tc>
          <w:tcPr>
            <w:tcW w:w="2977" w:type="dxa"/>
            <w:shd w:val="clear" w:color="auto" w:fill="2E74B5" w:themeFill="accent1" w:themeFillShade="BF"/>
          </w:tcPr>
          <w:p w:rsidR="007D0A69" w:rsidRPr="007D0A69" w:rsidRDefault="007D0A69" w:rsidP="007D0A69">
            <w:pPr>
              <w:tabs>
                <w:tab w:val="clear" w:pos="851"/>
              </w:tabs>
              <w:spacing w:before="20" w:after="20"/>
              <w:ind w:left="0"/>
              <w:jc w:val="left"/>
              <w:rPr>
                <w:rFonts w:cs="Arial"/>
                <w:b/>
                <w:color w:val="FFFFFF"/>
                <w:sz w:val="16"/>
                <w:szCs w:val="16"/>
              </w:rPr>
            </w:pPr>
            <w:r w:rsidRPr="007D0A69">
              <w:rPr>
                <w:rFonts w:cs="Arial"/>
                <w:b/>
                <w:color w:val="FFFFFF"/>
                <w:sz w:val="16"/>
                <w:szCs w:val="16"/>
              </w:rPr>
              <w:t>Research</w:t>
            </w:r>
          </w:p>
        </w:tc>
        <w:tc>
          <w:tcPr>
            <w:tcW w:w="3118" w:type="dxa"/>
            <w:shd w:val="clear" w:color="auto" w:fill="2E74B5" w:themeFill="accent1" w:themeFillShade="BF"/>
          </w:tcPr>
          <w:p w:rsidR="007D0A69" w:rsidRPr="007D0A69" w:rsidRDefault="007D0A69" w:rsidP="007D0A69">
            <w:pPr>
              <w:tabs>
                <w:tab w:val="clear" w:pos="851"/>
              </w:tabs>
              <w:spacing w:before="20" w:after="20"/>
              <w:ind w:left="0"/>
              <w:jc w:val="left"/>
              <w:rPr>
                <w:rFonts w:cs="Arial"/>
                <w:b/>
                <w:color w:val="FFFFFF"/>
                <w:sz w:val="16"/>
                <w:szCs w:val="16"/>
              </w:rPr>
            </w:pPr>
            <w:r w:rsidRPr="007D0A69">
              <w:rPr>
                <w:rFonts w:cs="Arial"/>
                <w:b/>
                <w:color w:val="FFFFFF"/>
                <w:sz w:val="16"/>
                <w:szCs w:val="16"/>
              </w:rPr>
              <w:t>Insight</w:t>
            </w:r>
          </w:p>
        </w:tc>
        <w:tc>
          <w:tcPr>
            <w:tcW w:w="2693" w:type="dxa"/>
            <w:shd w:val="clear" w:color="auto" w:fill="2E74B5" w:themeFill="accent1" w:themeFillShade="BF"/>
          </w:tcPr>
          <w:p w:rsidR="007D0A69" w:rsidRPr="007D0A69" w:rsidRDefault="007D0A69" w:rsidP="007D0A69">
            <w:pPr>
              <w:tabs>
                <w:tab w:val="clear" w:pos="851"/>
              </w:tabs>
              <w:spacing w:before="20" w:after="20"/>
              <w:ind w:left="0"/>
              <w:jc w:val="left"/>
              <w:rPr>
                <w:rFonts w:cs="Arial"/>
                <w:b/>
                <w:color w:val="FFFFFF"/>
                <w:sz w:val="16"/>
                <w:szCs w:val="16"/>
              </w:rPr>
            </w:pPr>
            <w:r w:rsidRPr="007D0A69">
              <w:rPr>
                <w:rFonts w:cs="Arial"/>
                <w:b/>
                <w:color w:val="FFFFFF"/>
                <w:sz w:val="16"/>
                <w:szCs w:val="16"/>
              </w:rPr>
              <w:t>Impact on the business plan</w:t>
            </w:r>
          </w:p>
        </w:tc>
      </w:tr>
      <w:tr w:rsidR="007D0A69" w:rsidRPr="007D0A69" w:rsidTr="00E61AF6">
        <w:tc>
          <w:tcPr>
            <w:tcW w:w="2977" w:type="dxa"/>
          </w:tcPr>
          <w:p w:rsidR="007D0A69" w:rsidRPr="007D0A69" w:rsidRDefault="007D0A69" w:rsidP="007D0A69">
            <w:pPr>
              <w:tabs>
                <w:tab w:val="clear" w:pos="851"/>
              </w:tabs>
              <w:spacing w:before="20" w:after="20"/>
              <w:ind w:left="0"/>
              <w:jc w:val="left"/>
              <w:rPr>
                <w:rFonts w:cs="Arial"/>
                <w:sz w:val="16"/>
                <w:szCs w:val="16"/>
              </w:rPr>
            </w:pPr>
            <w:r w:rsidRPr="007D0A69">
              <w:rPr>
                <w:rFonts w:cs="Arial"/>
                <w:sz w:val="16"/>
                <w:szCs w:val="16"/>
              </w:rPr>
              <w:t>Complaints and unwanted contacts research</w:t>
            </w:r>
            <w:r w:rsidR="00203ADB">
              <w:rPr>
                <w:rFonts w:cs="Arial"/>
                <w:sz w:val="16"/>
                <w:szCs w:val="16"/>
              </w:rPr>
              <w:t xml:space="preserve"> (Appendix 2.1)</w:t>
            </w:r>
          </w:p>
        </w:tc>
        <w:tc>
          <w:tcPr>
            <w:tcW w:w="3118" w:type="dxa"/>
          </w:tcPr>
          <w:p w:rsidR="007D0A69" w:rsidRPr="007D0A69" w:rsidRDefault="007D0A69" w:rsidP="007D0A69">
            <w:pPr>
              <w:tabs>
                <w:tab w:val="clear" w:pos="851"/>
              </w:tabs>
              <w:spacing w:before="20" w:after="20"/>
              <w:ind w:left="0"/>
              <w:jc w:val="left"/>
              <w:rPr>
                <w:rFonts w:cs="Arial"/>
                <w:sz w:val="16"/>
                <w:szCs w:val="16"/>
              </w:rPr>
            </w:pPr>
            <w:r w:rsidRPr="007D0A69">
              <w:rPr>
                <w:rFonts w:cs="Arial"/>
                <w:sz w:val="16"/>
                <w:szCs w:val="16"/>
              </w:rPr>
              <w:t xml:space="preserve">Complaints received on dangerous driving, injury cause by a fault in our apparatus and poor workmanship. </w:t>
            </w:r>
          </w:p>
        </w:tc>
        <w:tc>
          <w:tcPr>
            <w:tcW w:w="2693" w:type="dxa"/>
          </w:tcPr>
          <w:p w:rsidR="007D0A69" w:rsidRPr="007D0A69" w:rsidRDefault="007D0A69" w:rsidP="007D0A69">
            <w:pPr>
              <w:tabs>
                <w:tab w:val="clear" w:pos="851"/>
              </w:tabs>
              <w:spacing w:before="20" w:after="20"/>
              <w:ind w:left="0"/>
              <w:jc w:val="left"/>
              <w:rPr>
                <w:rFonts w:cs="Arial"/>
                <w:sz w:val="16"/>
                <w:szCs w:val="16"/>
              </w:rPr>
            </w:pPr>
            <w:r w:rsidRPr="007D0A69">
              <w:rPr>
                <w:rFonts w:cs="Arial"/>
                <w:sz w:val="16"/>
                <w:szCs w:val="16"/>
              </w:rPr>
              <w:t>None – We will continue to review all complaints monthly and act immediately where valid Health and Safety issues arise.</w:t>
            </w:r>
          </w:p>
        </w:tc>
      </w:tr>
      <w:tr w:rsidR="007D0A69" w:rsidRPr="007D0A69" w:rsidTr="00E61AF6">
        <w:tc>
          <w:tcPr>
            <w:tcW w:w="2977" w:type="dxa"/>
          </w:tcPr>
          <w:p w:rsidR="007D0A69" w:rsidRPr="007D0A69" w:rsidRDefault="00203ADB" w:rsidP="007D0A69">
            <w:pPr>
              <w:tabs>
                <w:tab w:val="clear" w:pos="851"/>
              </w:tabs>
              <w:spacing w:before="20" w:after="20"/>
              <w:ind w:left="0"/>
              <w:jc w:val="left"/>
              <w:rPr>
                <w:rFonts w:cs="Arial"/>
                <w:sz w:val="16"/>
                <w:szCs w:val="16"/>
              </w:rPr>
            </w:pPr>
            <w:r>
              <w:rPr>
                <w:rFonts w:cs="Arial"/>
                <w:sz w:val="16"/>
                <w:szCs w:val="16"/>
              </w:rPr>
              <w:t>Developers surveys (Appendix 2.2, 2.5, 2.19)</w:t>
            </w:r>
          </w:p>
        </w:tc>
        <w:tc>
          <w:tcPr>
            <w:tcW w:w="3118" w:type="dxa"/>
          </w:tcPr>
          <w:p w:rsidR="007D0A69" w:rsidRPr="007D0A69" w:rsidRDefault="007D0A69" w:rsidP="007D0A69">
            <w:pPr>
              <w:tabs>
                <w:tab w:val="clear" w:pos="851"/>
              </w:tabs>
              <w:spacing w:before="20" w:after="20"/>
              <w:ind w:left="0"/>
              <w:jc w:val="left"/>
              <w:rPr>
                <w:rFonts w:cs="Arial"/>
                <w:sz w:val="16"/>
                <w:szCs w:val="16"/>
              </w:rPr>
            </w:pPr>
            <w:r w:rsidRPr="007D0A69">
              <w:rPr>
                <w:rFonts w:cs="Arial"/>
                <w:sz w:val="16"/>
                <w:szCs w:val="16"/>
              </w:rPr>
              <w:t>We comply with site requirements and staff wearing correct PPE.</w:t>
            </w:r>
          </w:p>
          <w:p w:rsidR="007D0A69" w:rsidRPr="007D0A69" w:rsidRDefault="007D0A69" w:rsidP="008D497C">
            <w:pPr>
              <w:tabs>
                <w:tab w:val="clear" w:pos="851"/>
              </w:tabs>
              <w:spacing w:before="20" w:after="20"/>
              <w:ind w:left="0"/>
              <w:jc w:val="left"/>
              <w:rPr>
                <w:rFonts w:cs="Arial"/>
                <w:sz w:val="16"/>
                <w:szCs w:val="16"/>
              </w:rPr>
            </w:pPr>
            <w:r w:rsidRPr="007D0A69">
              <w:rPr>
                <w:rFonts w:cs="Arial"/>
                <w:sz w:val="16"/>
                <w:szCs w:val="16"/>
              </w:rPr>
              <w:t>High</w:t>
            </w:r>
            <w:r w:rsidR="008D497C">
              <w:rPr>
                <w:rFonts w:cs="Arial"/>
                <w:sz w:val="16"/>
                <w:szCs w:val="16"/>
              </w:rPr>
              <w:t xml:space="preserve"> score for how </w:t>
            </w:r>
            <w:r w:rsidRPr="007D0A69">
              <w:rPr>
                <w:rFonts w:cs="Arial"/>
                <w:sz w:val="16"/>
                <w:szCs w:val="16"/>
              </w:rPr>
              <w:t xml:space="preserve">we conduct ourselves appropriately on site, but tidiness could be improved. </w:t>
            </w:r>
          </w:p>
        </w:tc>
        <w:tc>
          <w:tcPr>
            <w:tcW w:w="2693" w:type="dxa"/>
          </w:tcPr>
          <w:p w:rsidR="007D0A69" w:rsidRPr="007D0A69" w:rsidRDefault="007D0A69" w:rsidP="007D0A69">
            <w:pPr>
              <w:tabs>
                <w:tab w:val="clear" w:pos="851"/>
              </w:tabs>
              <w:spacing w:before="20" w:after="20"/>
              <w:ind w:left="0"/>
              <w:jc w:val="left"/>
              <w:rPr>
                <w:rFonts w:cs="Arial"/>
                <w:sz w:val="16"/>
                <w:szCs w:val="16"/>
              </w:rPr>
            </w:pPr>
          </w:p>
        </w:tc>
      </w:tr>
      <w:tr w:rsidR="007D0A69" w:rsidRPr="007D0A69" w:rsidTr="00E61AF6">
        <w:tc>
          <w:tcPr>
            <w:tcW w:w="2977" w:type="dxa"/>
          </w:tcPr>
          <w:p w:rsidR="007D0A69" w:rsidRPr="007D0A69" w:rsidRDefault="007D0A69" w:rsidP="007D0A69">
            <w:pPr>
              <w:tabs>
                <w:tab w:val="clear" w:pos="851"/>
              </w:tabs>
              <w:spacing w:before="20" w:after="20"/>
              <w:ind w:left="0"/>
              <w:jc w:val="left"/>
              <w:rPr>
                <w:rFonts w:cs="Arial"/>
                <w:sz w:val="16"/>
                <w:szCs w:val="16"/>
              </w:rPr>
            </w:pPr>
            <w:r w:rsidRPr="007D0A69">
              <w:rPr>
                <w:rFonts w:cs="Arial"/>
                <w:sz w:val="16"/>
                <w:szCs w:val="16"/>
              </w:rPr>
              <w:t>ICS PR19 Customer research on performance commitments and service levels</w:t>
            </w:r>
            <w:r w:rsidR="00203ADB">
              <w:rPr>
                <w:rFonts w:cs="Arial"/>
                <w:sz w:val="16"/>
                <w:szCs w:val="16"/>
              </w:rPr>
              <w:t xml:space="preserve"> (Appendix 2.17)</w:t>
            </w:r>
          </w:p>
        </w:tc>
        <w:tc>
          <w:tcPr>
            <w:tcW w:w="3118" w:type="dxa"/>
          </w:tcPr>
          <w:p w:rsidR="007D0A69" w:rsidRPr="007D0A69" w:rsidRDefault="007D0A69" w:rsidP="007D0A69">
            <w:pPr>
              <w:tabs>
                <w:tab w:val="clear" w:pos="851"/>
              </w:tabs>
              <w:spacing w:before="20" w:after="20"/>
              <w:ind w:left="0"/>
              <w:jc w:val="left"/>
              <w:rPr>
                <w:rFonts w:cs="Arial"/>
                <w:sz w:val="16"/>
                <w:szCs w:val="16"/>
              </w:rPr>
            </w:pPr>
            <w:r w:rsidRPr="007D0A69">
              <w:rPr>
                <w:rFonts w:cs="Arial"/>
                <w:sz w:val="16"/>
                <w:szCs w:val="16"/>
              </w:rPr>
              <w:t>Customers do not see as a high priority as should be a given.</w:t>
            </w:r>
          </w:p>
        </w:tc>
        <w:tc>
          <w:tcPr>
            <w:tcW w:w="2693" w:type="dxa"/>
          </w:tcPr>
          <w:p w:rsidR="007D0A69" w:rsidRPr="007D0A69" w:rsidRDefault="007D0A69" w:rsidP="007D0A69">
            <w:pPr>
              <w:tabs>
                <w:tab w:val="clear" w:pos="851"/>
              </w:tabs>
              <w:spacing w:before="20" w:after="20"/>
              <w:ind w:left="0"/>
              <w:jc w:val="left"/>
              <w:rPr>
                <w:rFonts w:cs="Arial"/>
                <w:sz w:val="16"/>
                <w:szCs w:val="16"/>
              </w:rPr>
            </w:pPr>
            <w:r w:rsidRPr="007D0A69">
              <w:rPr>
                <w:rFonts w:cs="Arial"/>
                <w:sz w:val="16"/>
                <w:szCs w:val="16"/>
              </w:rPr>
              <w:t>RoSPA award retain</w:t>
            </w:r>
            <w:r w:rsidR="00294E23">
              <w:rPr>
                <w:rFonts w:cs="Arial"/>
                <w:sz w:val="16"/>
                <w:szCs w:val="16"/>
              </w:rPr>
              <w:t>ed, as Board consider this</w:t>
            </w:r>
            <w:r w:rsidRPr="007D0A69">
              <w:rPr>
                <w:rFonts w:cs="Arial"/>
                <w:sz w:val="16"/>
                <w:szCs w:val="16"/>
              </w:rPr>
              <w:t xml:space="preserve"> very important, albeit that customers, rightly, believe it should be business as usual.</w:t>
            </w:r>
          </w:p>
        </w:tc>
      </w:tr>
    </w:tbl>
    <w:p w:rsidR="007D0A69" w:rsidRDefault="007D0A69" w:rsidP="00AD02B5">
      <w:pPr>
        <w:spacing w:after="0"/>
      </w:pPr>
    </w:p>
    <w:p w:rsidR="007F6FD3" w:rsidRPr="00FB14F9" w:rsidRDefault="007F6FD3" w:rsidP="007D0A69">
      <w:pPr>
        <w:rPr>
          <w:b/>
        </w:rPr>
      </w:pPr>
      <w:r w:rsidRPr="00FB14F9">
        <w:rPr>
          <w:b/>
        </w:rPr>
        <w:t>What customers said</w:t>
      </w:r>
    </w:p>
    <w:p w:rsidR="007F6FD3" w:rsidRDefault="007F6FD3" w:rsidP="007D0A69">
      <w:r>
        <w:t>Our customers understand and appreciate the need for Health and Safety to be a priority.</w:t>
      </w:r>
    </w:p>
    <w:p w:rsidR="007F6FD3" w:rsidRDefault="007F6FD3" w:rsidP="007D0A69">
      <w:r>
        <w:t xml:space="preserve">In focus </w:t>
      </w:r>
      <w:r w:rsidR="00294E23">
        <w:t>groups,</w:t>
      </w:r>
      <w:r>
        <w:t xml:space="preserve"> they were pleased to </w:t>
      </w:r>
      <w:r w:rsidR="00451E46">
        <w:t xml:space="preserve">hear </w:t>
      </w:r>
      <w:r>
        <w:t>about our track record of having received an annual award from RoSPA for many years.</w:t>
      </w:r>
    </w:p>
    <w:p w:rsidR="00D16001" w:rsidRDefault="00D16001" w:rsidP="00D16001">
      <w:pPr>
        <w:pStyle w:val="Heading3"/>
      </w:pPr>
      <w:bookmarkStart w:id="103" w:name="_Toc522199995"/>
      <w:bookmarkStart w:id="104" w:name="_Toc522200092"/>
      <w:bookmarkStart w:id="105" w:name="_Toc523651274"/>
      <w:r>
        <w:t>Delivering Outcomes for Customers</w:t>
      </w:r>
      <w:bookmarkEnd w:id="103"/>
      <w:bookmarkEnd w:id="104"/>
      <w:bookmarkEnd w:id="105"/>
    </w:p>
    <w:tbl>
      <w:tblPr>
        <w:tblStyle w:val="TableGrid"/>
        <w:tblW w:w="8783" w:type="dxa"/>
        <w:tblInd w:w="851" w:type="dxa"/>
        <w:tblLayout w:type="fixed"/>
        <w:tblLook w:val="04A0" w:firstRow="1" w:lastRow="0" w:firstColumn="1" w:lastColumn="0" w:noHBand="0" w:noVBand="1"/>
      </w:tblPr>
      <w:tblGrid>
        <w:gridCol w:w="2405"/>
        <w:gridCol w:w="850"/>
        <w:gridCol w:w="1370"/>
        <w:gridCol w:w="1654"/>
        <w:gridCol w:w="1654"/>
        <w:gridCol w:w="850"/>
      </w:tblGrid>
      <w:tr w:rsidR="00691989" w:rsidRPr="007B7FE8" w:rsidTr="007B7FE8">
        <w:tc>
          <w:tcPr>
            <w:tcW w:w="2405" w:type="dxa"/>
            <w:shd w:val="clear" w:color="auto" w:fill="2E74B5" w:themeFill="accent1" w:themeFillShade="BF"/>
          </w:tcPr>
          <w:p w:rsidR="00691989" w:rsidRPr="007B7FE8" w:rsidRDefault="00691989" w:rsidP="00691989">
            <w:pPr>
              <w:spacing w:after="0"/>
              <w:ind w:left="0"/>
              <w:rPr>
                <w:sz w:val="16"/>
                <w:szCs w:val="16"/>
              </w:rPr>
            </w:pPr>
            <w:r w:rsidRPr="007B7FE8">
              <w:rPr>
                <w:b/>
                <w:bCs/>
                <w:color w:val="FFFFFF" w:themeColor="background1"/>
                <w:sz w:val="16"/>
                <w:szCs w:val="16"/>
              </w:rPr>
              <w:t>Performance Commitment</w:t>
            </w:r>
          </w:p>
        </w:tc>
        <w:tc>
          <w:tcPr>
            <w:tcW w:w="850" w:type="dxa"/>
            <w:shd w:val="clear" w:color="auto" w:fill="2E74B5" w:themeFill="accent1" w:themeFillShade="BF"/>
          </w:tcPr>
          <w:p w:rsidR="00691989" w:rsidRPr="007B7FE8" w:rsidRDefault="00691989" w:rsidP="00691989">
            <w:pPr>
              <w:spacing w:before="20" w:after="20"/>
              <w:ind w:left="0"/>
              <w:jc w:val="center"/>
              <w:rPr>
                <w:b/>
                <w:bCs/>
                <w:color w:val="FFFFFF" w:themeColor="background1"/>
                <w:sz w:val="16"/>
                <w:szCs w:val="16"/>
              </w:rPr>
            </w:pPr>
            <w:r w:rsidRPr="007B7FE8">
              <w:rPr>
                <w:b/>
                <w:bCs/>
                <w:color w:val="FFFFFF" w:themeColor="background1"/>
                <w:sz w:val="16"/>
                <w:szCs w:val="16"/>
              </w:rPr>
              <w:t>Type</w:t>
            </w:r>
          </w:p>
        </w:tc>
        <w:tc>
          <w:tcPr>
            <w:tcW w:w="1370" w:type="dxa"/>
            <w:shd w:val="clear" w:color="auto" w:fill="2E74B5" w:themeFill="accent1" w:themeFillShade="BF"/>
          </w:tcPr>
          <w:p w:rsidR="00691989" w:rsidRPr="007B7FE8" w:rsidRDefault="00691989" w:rsidP="00691989">
            <w:pPr>
              <w:spacing w:after="0"/>
              <w:ind w:left="0"/>
              <w:rPr>
                <w:b/>
                <w:color w:val="FFFFFF" w:themeColor="background1"/>
                <w:sz w:val="16"/>
                <w:szCs w:val="16"/>
              </w:rPr>
            </w:pPr>
            <w:r w:rsidRPr="007B7FE8">
              <w:rPr>
                <w:b/>
                <w:color w:val="FFFFFF" w:themeColor="background1"/>
                <w:sz w:val="16"/>
                <w:szCs w:val="16"/>
              </w:rPr>
              <w:t>AMP6 Performance</w:t>
            </w:r>
          </w:p>
        </w:tc>
        <w:tc>
          <w:tcPr>
            <w:tcW w:w="1654" w:type="dxa"/>
            <w:shd w:val="clear" w:color="auto" w:fill="2E74B5" w:themeFill="accent1" w:themeFillShade="BF"/>
          </w:tcPr>
          <w:p w:rsidR="00691989" w:rsidRPr="007B7FE8" w:rsidRDefault="00691989" w:rsidP="00691989">
            <w:pPr>
              <w:spacing w:after="0"/>
              <w:ind w:left="0"/>
              <w:rPr>
                <w:b/>
                <w:color w:val="FFFFFF" w:themeColor="background1"/>
                <w:sz w:val="16"/>
                <w:szCs w:val="16"/>
              </w:rPr>
            </w:pPr>
            <w:r w:rsidRPr="007B7FE8">
              <w:rPr>
                <w:b/>
                <w:color w:val="FFFFFF" w:themeColor="background1"/>
                <w:sz w:val="16"/>
                <w:szCs w:val="16"/>
              </w:rPr>
              <w:t>2024/25 Target</w:t>
            </w:r>
          </w:p>
        </w:tc>
        <w:tc>
          <w:tcPr>
            <w:tcW w:w="1654" w:type="dxa"/>
            <w:shd w:val="clear" w:color="auto" w:fill="2E74B5" w:themeFill="accent1" w:themeFillShade="BF"/>
          </w:tcPr>
          <w:p w:rsidR="00691989" w:rsidRPr="007B7FE8" w:rsidRDefault="00691989" w:rsidP="00691989">
            <w:pPr>
              <w:spacing w:after="0"/>
              <w:ind w:left="0"/>
              <w:rPr>
                <w:b/>
                <w:color w:val="FFFFFF" w:themeColor="background1"/>
                <w:sz w:val="16"/>
                <w:szCs w:val="16"/>
              </w:rPr>
            </w:pPr>
            <w:r w:rsidRPr="007B7FE8">
              <w:rPr>
                <w:b/>
                <w:color w:val="FFFFFF" w:themeColor="background1"/>
                <w:sz w:val="16"/>
                <w:szCs w:val="16"/>
              </w:rPr>
              <w:t>2034/35 Target</w:t>
            </w:r>
          </w:p>
        </w:tc>
        <w:tc>
          <w:tcPr>
            <w:tcW w:w="850" w:type="dxa"/>
            <w:shd w:val="clear" w:color="auto" w:fill="2E74B5" w:themeFill="accent1" w:themeFillShade="BF"/>
          </w:tcPr>
          <w:p w:rsidR="00691989" w:rsidRPr="007B7FE8" w:rsidRDefault="00691989" w:rsidP="00691989">
            <w:pPr>
              <w:spacing w:after="0"/>
              <w:ind w:left="0"/>
              <w:jc w:val="center"/>
              <w:rPr>
                <w:b/>
                <w:color w:val="FFFFFF" w:themeColor="background1"/>
                <w:sz w:val="16"/>
                <w:szCs w:val="16"/>
              </w:rPr>
            </w:pPr>
            <w:r w:rsidRPr="007B7FE8">
              <w:rPr>
                <w:b/>
                <w:color w:val="FFFFFF" w:themeColor="background1"/>
                <w:sz w:val="16"/>
                <w:szCs w:val="16"/>
              </w:rPr>
              <w:t>Reward/Penalty</w:t>
            </w:r>
          </w:p>
        </w:tc>
      </w:tr>
      <w:tr w:rsidR="00691989" w:rsidRPr="007B7FE8" w:rsidTr="007B7FE8">
        <w:tc>
          <w:tcPr>
            <w:tcW w:w="2405" w:type="dxa"/>
          </w:tcPr>
          <w:p w:rsidR="00691989" w:rsidRPr="007B7FE8" w:rsidRDefault="00691989" w:rsidP="00691989">
            <w:pPr>
              <w:spacing w:before="20" w:after="20"/>
              <w:ind w:left="0"/>
              <w:rPr>
                <w:sz w:val="16"/>
                <w:szCs w:val="16"/>
              </w:rPr>
            </w:pPr>
            <w:r w:rsidRPr="007B7FE8">
              <w:rPr>
                <w:sz w:val="16"/>
                <w:szCs w:val="16"/>
              </w:rPr>
              <w:t>Assessment of H&amp;S by RoSPA</w:t>
            </w:r>
          </w:p>
        </w:tc>
        <w:tc>
          <w:tcPr>
            <w:tcW w:w="850" w:type="dxa"/>
          </w:tcPr>
          <w:p w:rsidR="00691989" w:rsidRPr="007B7FE8" w:rsidRDefault="00691989" w:rsidP="00691989">
            <w:pPr>
              <w:spacing w:before="20" w:after="20"/>
              <w:ind w:left="0"/>
              <w:jc w:val="center"/>
              <w:rPr>
                <w:sz w:val="16"/>
                <w:szCs w:val="16"/>
              </w:rPr>
            </w:pPr>
            <w:r w:rsidRPr="007B7FE8">
              <w:rPr>
                <w:sz w:val="16"/>
                <w:szCs w:val="16"/>
              </w:rPr>
              <w:t>B</w:t>
            </w:r>
          </w:p>
        </w:tc>
        <w:tc>
          <w:tcPr>
            <w:tcW w:w="1370" w:type="dxa"/>
          </w:tcPr>
          <w:p w:rsidR="00691989" w:rsidRPr="007B7FE8" w:rsidRDefault="00C51A49" w:rsidP="00691989">
            <w:pPr>
              <w:spacing w:after="0"/>
              <w:ind w:left="0"/>
              <w:rPr>
                <w:sz w:val="16"/>
                <w:szCs w:val="16"/>
              </w:rPr>
            </w:pPr>
            <w:r>
              <w:rPr>
                <w:sz w:val="16"/>
                <w:szCs w:val="16"/>
              </w:rPr>
              <w:t>Achieved</w:t>
            </w:r>
          </w:p>
        </w:tc>
        <w:tc>
          <w:tcPr>
            <w:tcW w:w="1654" w:type="dxa"/>
          </w:tcPr>
          <w:p w:rsidR="00691989" w:rsidRPr="007B7FE8" w:rsidRDefault="00C51A49" w:rsidP="00691989">
            <w:pPr>
              <w:spacing w:before="20" w:after="20"/>
              <w:ind w:left="0"/>
              <w:jc w:val="left"/>
              <w:rPr>
                <w:sz w:val="16"/>
                <w:szCs w:val="16"/>
              </w:rPr>
            </w:pPr>
            <w:r>
              <w:rPr>
                <w:sz w:val="16"/>
                <w:szCs w:val="16"/>
              </w:rPr>
              <w:t>Achieved</w:t>
            </w:r>
          </w:p>
        </w:tc>
        <w:tc>
          <w:tcPr>
            <w:tcW w:w="1654" w:type="dxa"/>
          </w:tcPr>
          <w:p w:rsidR="00691989" w:rsidRPr="007B7FE8" w:rsidRDefault="00C51A49" w:rsidP="00691989">
            <w:pPr>
              <w:spacing w:after="0"/>
              <w:ind w:left="0"/>
              <w:rPr>
                <w:sz w:val="16"/>
                <w:szCs w:val="16"/>
              </w:rPr>
            </w:pPr>
            <w:r>
              <w:rPr>
                <w:sz w:val="16"/>
                <w:szCs w:val="16"/>
              </w:rPr>
              <w:t>Achieved</w:t>
            </w:r>
          </w:p>
        </w:tc>
        <w:tc>
          <w:tcPr>
            <w:tcW w:w="850" w:type="dxa"/>
          </w:tcPr>
          <w:p w:rsidR="00691989" w:rsidRPr="007B7FE8" w:rsidRDefault="00691989" w:rsidP="00691989">
            <w:pPr>
              <w:spacing w:after="0"/>
              <w:ind w:left="0"/>
              <w:jc w:val="center"/>
              <w:rPr>
                <w:sz w:val="16"/>
                <w:szCs w:val="16"/>
              </w:rPr>
            </w:pPr>
            <w:r w:rsidRPr="007B7FE8">
              <w:rPr>
                <w:sz w:val="16"/>
                <w:szCs w:val="16"/>
              </w:rPr>
              <w:t>REP</w:t>
            </w:r>
          </w:p>
        </w:tc>
      </w:tr>
    </w:tbl>
    <w:p w:rsidR="00AD02B5" w:rsidRDefault="00AD02B5" w:rsidP="00AD02B5">
      <w:pPr>
        <w:rPr>
          <w:sz w:val="14"/>
          <w:szCs w:val="14"/>
        </w:rPr>
      </w:pPr>
      <w:r w:rsidRPr="00F84F6A">
        <w:rPr>
          <w:sz w:val="14"/>
          <w:szCs w:val="14"/>
        </w:rPr>
        <w:t>Key: C= Co</w:t>
      </w:r>
      <w:r>
        <w:rPr>
          <w:sz w:val="14"/>
          <w:szCs w:val="14"/>
        </w:rPr>
        <w:t>mmon B=Bespoke P=Penalty Only R = Reward Only R/P = Reward/Penalty REP = Reputational ER/EP = Enhanced Reward/Penalty UQ = Upper Quartile</w:t>
      </w:r>
    </w:p>
    <w:p w:rsidR="00691989" w:rsidRDefault="00691989" w:rsidP="00B87D17">
      <w:r>
        <w:t xml:space="preserve">One </w:t>
      </w:r>
      <w:r w:rsidR="00451E46">
        <w:t>P</w:t>
      </w:r>
      <w:r>
        <w:t xml:space="preserve">erformance </w:t>
      </w:r>
      <w:r w:rsidR="00451E46">
        <w:t>C</w:t>
      </w:r>
      <w:r>
        <w:t>ommitment underpins this outcome.</w:t>
      </w:r>
    </w:p>
    <w:p w:rsidR="00691989" w:rsidRDefault="00691989" w:rsidP="00691989">
      <w:pPr>
        <w:pStyle w:val="Bullets"/>
      </w:pPr>
      <w:r>
        <w:t>Achieving the RoSPA President’s Award for Health and Safety performance every year.</w:t>
      </w:r>
    </w:p>
    <w:p w:rsidR="00691989" w:rsidRDefault="00691989" w:rsidP="00691989">
      <w:pPr>
        <w:pStyle w:val="Bullets"/>
        <w:numPr>
          <w:ilvl w:val="0"/>
          <w:numId w:val="0"/>
        </w:numPr>
        <w:ind w:left="1848"/>
      </w:pPr>
    </w:p>
    <w:p w:rsidR="007A2235" w:rsidRDefault="007A2235" w:rsidP="00B87D17">
      <w:r>
        <w:t xml:space="preserve">The Board of Directors see Health and Safety as a key priority of the business and must be a commitment within our </w:t>
      </w:r>
      <w:r w:rsidR="00451E46">
        <w:t>B</w:t>
      </w:r>
      <w:r>
        <w:t xml:space="preserve">usiness </w:t>
      </w:r>
      <w:r w:rsidR="00451E46">
        <w:t>P</w:t>
      </w:r>
      <w:r>
        <w:t>lan.  They will ensure:</w:t>
      </w:r>
    </w:p>
    <w:p w:rsidR="007A2235" w:rsidRPr="00D16001" w:rsidRDefault="007A2235" w:rsidP="00D16001">
      <w:pPr>
        <w:pStyle w:val="Bullets"/>
      </w:pPr>
      <w:r w:rsidRPr="00D16001">
        <w:t xml:space="preserve">The safest possible environment for our employees, visitors and </w:t>
      </w:r>
      <w:r w:rsidR="00531B8B">
        <w:t xml:space="preserve">the </w:t>
      </w:r>
      <w:r w:rsidRPr="00D16001">
        <w:t>general public.</w:t>
      </w:r>
    </w:p>
    <w:p w:rsidR="007A2235" w:rsidRDefault="007A2235" w:rsidP="00D16001">
      <w:pPr>
        <w:pStyle w:val="Bullets"/>
      </w:pPr>
      <w:r w:rsidRPr="00D16001">
        <w:t>Continual review of all our operational practices from a health and safety perspective</w:t>
      </w:r>
      <w:r w:rsidR="00294E23">
        <w:t>.</w:t>
      </w:r>
    </w:p>
    <w:p w:rsidR="00793044" w:rsidRDefault="00793044" w:rsidP="00294E23">
      <w:pPr>
        <w:pStyle w:val="Bullets"/>
        <w:numPr>
          <w:ilvl w:val="0"/>
          <w:numId w:val="0"/>
        </w:numPr>
        <w:ind w:left="1854"/>
      </w:pPr>
    </w:p>
    <w:p w:rsidR="007A2235" w:rsidRPr="00880A16" w:rsidRDefault="007A2235" w:rsidP="007A2235">
      <w:pPr>
        <w:rPr>
          <w:b/>
        </w:rPr>
      </w:pPr>
      <w:r w:rsidRPr="00880A16">
        <w:rPr>
          <w:b/>
        </w:rPr>
        <w:t>Our Objective</w:t>
      </w:r>
    </w:p>
    <w:p w:rsidR="007A2235" w:rsidRDefault="007A2235" w:rsidP="007A2235">
      <w:r>
        <w:t>One of our primary objectives is that our employees return to their families at the end of the day without injury and customers are safe when we are working near their homes or when they are near our sites.</w:t>
      </w:r>
    </w:p>
    <w:p w:rsidR="007A2235" w:rsidRPr="00880A16" w:rsidRDefault="007A2235" w:rsidP="007A2235">
      <w:pPr>
        <w:rPr>
          <w:b/>
        </w:rPr>
      </w:pPr>
      <w:r w:rsidRPr="00880A16">
        <w:rPr>
          <w:b/>
        </w:rPr>
        <w:t>Current record</w:t>
      </w:r>
    </w:p>
    <w:p w:rsidR="007A2235" w:rsidRDefault="007A2235" w:rsidP="00D87981">
      <w:pPr>
        <w:pStyle w:val="Bullets"/>
      </w:pPr>
      <w:r>
        <w:t>Health and Safety has been a priority from the Board across all parts of the business for several years and we have received the Royal Society for the Prevention of Accident (RoSPA) President’s Award for the past four years, having been awarded gold awards for over 10 years.</w:t>
      </w:r>
    </w:p>
    <w:p w:rsidR="007A2235" w:rsidRDefault="007A2235" w:rsidP="00D87981">
      <w:pPr>
        <w:pStyle w:val="Bullets"/>
      </w:pPr>
      <w:r>
        <w:t xml:space="preserve">In the last 7 </w:t>
      </w:r>
      <w:r w:rsidR="00D87981">
        <w:t>years,</w:t>
      </w:r>
      <w:r>
        <w:t xml:space="preserve"> we have averaged </w:t>
      </w:r>
      <w:r w:rsidR="00D87981">
        <w:t>seven</w:t>
      </w:r>
      <w:r>
        <w:t xml:space="preserve"> accidents and less than </w:t>
      </w:r>
      <w:r w:rsidR="00D87981">
        <w:t>one</w:t>
      </w:r>
      <w:r>
        <w:t xml:space="preserve"> reportable accident per annum.  In 2017, we had no reportable accidents.</w:t>
      </w:r>
    </w:p>
    <w:p w:rsidR="007A2235" w:rsidRDefault="007A2235" w:rsidP="00D87981">
      <w:pPr>
        <w:pStyle w:val="Bullets"/>
      </w:pPr>
      <w:r>
        <w:t>We carry out risk assessments for employee and public safety on every job we undertake.</w:t>
      </w:r>
    </w:p>
    <w:p w:rsidR="00ED3964" w:rsidRDefault="00ED3964" w:rsidP="003D37A0">
      <w:pPr>
        <w:pStyle w:val="Bullets"/>
        <w:numPr>
          <w:ilvl w:val="0"/>
          <w:numId w:val="0"/>
        </w:numPr>
        <w:ind w:left="1848"/>
      </w:pPr>
    </w:p>
    <w:p w:rsidR="00ED3964" w:rsidRPr="00880A16" w:rsidRDefault="007A2235" w:rsidP="00ED3964">
      <w:pPr>
        <w:rPr>
          <w:b/>
        </w:rPr>
      </w:pPr>
      <w:r w:rsidRPr="00880A16">
        <w:rPr>
          <w:b/>
        </w:rPr>
        <w:t>Our Proposals</w:t>
      </w:r>
    </w:p>
    <w:p w:rsidR="007A2235" w:rsidRDefault="007A2235" w:rsidP="00D87981">
      <w:pPr>
        <w:pStyle w:val="Bullets"/>
      </w:pPr>
      <w:r>
        <w:t xml:space="preserve">We will continue to ensure that our employees work in the safest possible environment by providing </w:t>
      </w:r>
      <w:r w:rsidR="00880A16">
        <w:t>and maintaining safe and health</w:t>
      </w:r>
      <w:r w:rsidR="00AD02B5">
        <w:t>y</w:t>
      </w:r>
      <w:r w:rsidR="00880A16">
        <w:t xml:space="preserve"> working conditions along with continually reviewing all our operational practices</w:t>
      </w:r>
      <w:r w:rsidR="00AD02B5">
        <w:t>,</w:t>
      </w:r>
      <w:r w:rsidR="00880A16">
        <w:t xml:space="preserve"> taking into account any changes in legislation and best working practices.  This will include investing in equipment ensuring employees will always have the right tools for the job and always capturing lessons learned into the way we operate to ensure we always improve.</w:t>
      </w:r>
    </w:p>
    <w:p w:rsidR="00880A16" w:rsidRDefault="00880A16" w:rsidP="00D87981">
      <w:pPr>
        <w:pStyle w:val="Bullets"/>
      </w:pPr>
      <w:r>
        <w:t>Much of our work is conducted in the public highway</w:t>
      </w:r>
      <w:r w:rsidR="00AD02B5">
        <w:t>.  W</w:t>
      </w:r>
      <w:r>
        <w:t>e will undertake this whilst protecting the safety of the public and our own workforce minimising the disruption to road users and businesses.</w:t>
      </w:r>
    </w:p>
    <w:p w:rsidR="00D87981" w:rsidRDefault="00D87981" w:rsidP="00D87981">
      <w:pPr>
        <w:pStyle w:val="Bullets"/>
        <w:numPr>
          <w:ilvl w:val="0"/>
          <w:numId w:val="0"/>
        </w:numPr>
        <w:ind w:left="1848"/>
      </w:pPr>
    </w:p>
    <w:p w:rsidR="00A73A0F" w:rsidRDefault="00A73A0F" w:rsidP="001523F8">
      <w:pPr>
        <w:pStyle w:val="Heading2"/>
      </w:pPr>
      <w:bookmarkStart w:id="106" w:name="_Toc522199997"/>
      <w:bookmarkStart w:id="107" w:name="_Toc522200094"/>
      <w:bookmarkStart w:id="108" w:name="_Toc523651275"/>
      <w:r>
        <w:t>Delivering Statutory Responsibilities</w:t>
      </w:r>
      <w:bookmarkEnd w:id="106"/>
      <w:bookmarkEnd w:id="107"/>
      <w:bookmarkEnd w:id="108"/>
    </w:p>
    <w:p w:rsidR="00766755" w:rsidRDefault="00766755" w:rsidP="00766755">
      <w:r>
        <w:t>The Board of Portsmouth Water is responsible for the delivery of statutory obligations with outcomes aligned to the Regulators stated priorities.  Ofwat</w:t>
      </w:r>
      <w:r w:rsidR="00451E46">
        <w:t>’s</w:t>
      </w:r>
      <w:r>
        <w:t xml:space="preserve"> wish </w:t>
      </w:r>
      <w:r w:rsidR="00451E46">
        <w:t xml:space="preserve">is </w:t>
      </w:r>
      <w:r>
        <w:t>for the Board to demonstrate “it has challenged and satisfied itself that the business plan will enable the Company to meet its statutory and licence obligations, now and in the future, and take account of the UK Government Strategic Policy statements”.</w:t>
      </w:r>
    </w:p>
    <w:p w:rsidR="00766755" w:rsidRDefault="00766755" w:rsidP="00766755">
      <w:r>
        <w:t xml:space="preserve">It is of course important that Directors of the Appointed Business understand the </w:t>
      </w:r>
      <w:r w:rsidR="00EE2140">
        <w:t>statutory</w:t>
      </w:r>
      <w:r>
        <w:t xml:space="preserve"> obligations including under the licence of appointment and these have been a key part of the </w:t>
      </w:r>
      <w:r w:rsidR="00A407A5">
        <w:t>i</w:t>
      </w:r>
      <w:r>
        <w:t>nduction process for over 15 years</w:t>
      </w:r>
      <w:r w:rsidR="00A407A5">
        <w:t>.</w:t>
      </w:r>
    </w:p>
    <w:p w:rsidR="00766755" w:rsidRDefault="00766755" w:rsidP="00766755">
      <w:r>
        <w:t>In developing the PR19 Business Plan, the Board, led by an Independent Chairman, with two further independent non-executive Directors and Investor Non-Executive Director, have been heavily involved</w:t>
      </w:r>
      <w:r w:rsidR="00EE2140">
        <w:t>. The Board has engaged</w:t>
      </w:r>
      <w:r>
        <w:t xml:space="preserve"> in the preparation, shaping and challeng</w:t>
      </w:r>
      <w:r w:rsidR="00451E46">
        <w:t>e</w:t>
      </w:r>
      <w:r>
        <w:t xml:space="preserve"> of the plan to ensure it resiliently delivers the statutory obligations as outlined in the various Acts, Notices and the Licence of Appointment with the required outcomes being principally: -</w:t>
      </w:r>
    </w:p>
    <w:p w:rsidR="00766755" w:rsidRDefault="00766755" w:rsidP="00766755">
      <w:pPr>
        <w:pStyle w:val="Bullets"/>
      </w:pPr>
      <w:r>
        <w:t>To maintain a resilient water supply system</w:t>
      </w:r>
    </w:p>
    <w:p w:rsidR="00766755" w:rsidRDefault="00766755" w:rsidP="00766755">
      <w:pPr>
        <w:pStyle w:val="Bullets"/>
      </w:pPr>
      <w:r>
        <w:t>To supply drinking water that is safe to drink</w:t>
      </w:r>
    </w:p>
    <w:p w:rsidR="00766755" w:rsidRDefault="00766755" w:rsidP="00766755">
      <w:pPr>
        <w:pStyle w:val="Bullets"/>
      </w:pPr>
      <w:r>
        <w:t>To supply to an evidenced and an appropriate standard of service, whilst maintaining affordability for customers with an opportunity for service</w:t>
      </w:r>
      <w:r w:rsidR="00B25737">
        <w:t>s tailored to individual needs</w:t>
      </w:r>
    </w:p>
    <w:p w:rsidR="00766755" w:rsidRDefault="00766755" w:rsidP="00766755">
      <w:pPr>
        <w:pStyle w:val="Bullets"/>
      </w:pPr>
      <w:r>
        <w:t>To protect and enhance the environment</w:t>
      </w:r>
    </w:p>
    <w:p w:rsidR="00766755" w:rsidRDefault="00766755" w:rsidP="00766755">
      <w:pPr>
        <w:pStyle w:val="Bullets"/>
      </w:pPr>
      <w:r>
        <w:t>To provide long term security of supply</w:t>
      </w:r>
    </w:p>
    <w:p w:rsidR="00766755" w:rsidRDefault="00766755" w:rsidP="00766755">
      <w:pPr>
        <w:pStyle w:val="Bullets"/>
      </w:pPr>
      <w:r>
        <w:t>To provide a culture of Health and Safety through all activities</w:t>
      </w:r>
    </w:p>
    <w:p w:rsidR="00766755" w:rsidRDefault="00766755" w:rsidP="00766755">
      <w:pPr>
        <w:pStyle w:val="Bullets"/>
      </w:pPr>
      <w:r>
        <w:t>To transparently demonstrate and be recognised as delivering a good corporate responsibility</w:t>
      </w:r>
    </w:p>
    <w:p w:rsidR="00766755" w:rsidRDefault="00766755" w:rsidP="00766755">
      <w:pPr>
        <w:pStyle w:val="Bullets"/>
        <w:numPr>
          <w:ilvl w:val="0"/>
          <w:numId w:val="0"/>
        </w:numPr>
        <w:ind w:left="1491"/>
      </w:pPr>
    </w:p>
    <w:p w:rsidR="00766755" w:rsidRDefault="00766755" w:rsidP="00766755">
      <w:r>
        <w:t xml:space="preserve">The key vehicle used by the Board to ensure the Company is meeting its obligations is its </w:t>
      </w:r>
      <w:r w:rsidR="000C1E50">
        <w:t>r</w:t>
      </w:r>
      <w:r>
        <w:t xml:space="preserve">isk </w:t>
      </w:r>
      <w:r w:rsidR="000C1E50">
        <w:t>m</w:t>
      </w:r>
      <w:r>
        <w:t xml:space="preserve">anagement controls. Risk </w:t>
      </w:r>
      <w:r w:rsidR="000C1E50">
        <w:t>m</w:t>
      </w:r>
      <w:r>
        <w:t>anagement is em</w:t>
      </w:r>
      <w:r w:rsidR="00B25737">
        <w:t xml:space="preserve">bedded in the business and the </w:t>
      </w:r>
      <w:r>
        <w:t>R</w:t>
      </w:r>
      <w:r w:rsidR="00B25737">
        <w:t>i</w:t>
      </w:r>
      <w:r>
        <w:t xml:space="preserve">sk and Resilience Register used to assess and monitor potential failures includes its statutory obligations. Specifically for the PR19 Business Plan the Board has ensured its statutory duties and obligations will be delivered by reassessing the Company’s existing Risk and Resilience Register specifically against these obligations, including the status before and after PR19 interventions. This register is shown in Appendix </w:t>
      </w:r>
      <w:r w:rsidR="009410FF">
        <w:t>6.2</w:t>
      </w:r>
      <w:r w:rsidR="00EE2140">
        <w:t>.</w:t>
      </w:r>
    </w:p>
    <w:p w:rsidR="00766755" w:rsidRDefault="00766755" w:rsidP="00766755">
      <w:r>
        <w:t>The Risk and Resilience Register has been in</w:t>
      </w:r>
      <w:r w:rsidR="00EE2140">
        <w:t xml:space="preserve"> operation for over 10 years. It</w:t>
      </w:r>
      <w:r>
        <w:t xml:space="preserve"> is kept up to date by a series of </w:t>
      </w:r>
      <w:r w:rsidR="00EE2140">
        <w:t>processes that</w:t>
      </w:r>
      <w:r>
        <w:t xml:space="preserve"> identify risks and ensure matters are brought to the </w:t>
      </w:r>
      <w:r w:rsidR="00AD02B5">
        <w:t>B</w:t>
      </w:r>
      <w:r>
        <w:t>oard. These include:</w:t>
      </w:r>
    </w:p>
    <w:p w:rsidR="00766755" w:rsidRDefault="00766755" w:rsidP="00766755">
      <w:pPr>
        <w:pStyle w:val="Bullets"/>
      </w:pPr>
      <w:r>
        <w:t xml:space="preserve">The </w:t>
      </w:r>
      <w:r w:rsidR="00AD02B5">
        <w:t>R</w:t>
      </w:r>
      <w:r>
        <w:t xml:space="preserve">isk </w:t>
      </w:r>
      <w:r w:rsidR="00AD02B5">
        <w:t>R</w:t>
      </w:r>
      <w:r>
        <w:t>egister is reviewed quarterly by the Board</w:t>
      </w:r>
      <w:r w:rsidR="00EE2140">
        <w:t>,</w:t>
      </w:r>
      <w:r>
        <w:t xml:space="preserve"> with focus on new or changing risk</w:t>
      </w:r>
      <w:r w:rsidR="009D4BC9">
        <w:t xml:space="preserve"> and risks</w:t>
      </w:r>
      <w:r>
        <w:t xml:space="preserve"> that are designated </w:t>
      </w:r>
      <w:r w:rsidR="009D4BC9">
        <w:t>‘</w:t>
      </w:r>
      <w:r>
        <w:t>amber</w:t>
      </w:r>
      <w:r w:rsidR="009D4BC9">
        <w:t>’</w:t>
      </w:r>
      <w:r>
        <w:t xml:space="preserve"> o</w:t>
      </w:r>
      <w:r w:rsidR="00B25737">
        <w:t>r</w:t>
      </w:r>
      <w:r>
        <w:t xml:space="preserve"> </w:t>
      </w:r>
      <w:r w:rsidR="009D4BC9">
        <w:t>‘</w:t>
      </w:r>
      <w:r>
        <w:t>red</w:t>
      </w:r>
      <w:r w:rsidR="009D4BC9">
        <w:t>’</w:t>
      </w:r>
      <w:r w:rsidR="00B25737">
        <w:t xml:space="preserve"> and </w:t>
      </w:r>
      <w:r w:rsidR="009D4BC9">
        <w:t xml:space="preserve">therefore </w:t>
      </w:r>
      <w:r w:rsidR="00B25737">
        <w:t>require actions</w:t>
      </w:r>
      <w:r>
        <w:t>.</w:t>
      </w:r>
    </w:p>
    <w:p w:rsidR="00766755" w:rsidRDefault="00766755" w:rsidP="00766755">
      <w:pPr>
        <w:pStyle w:val="Bullets"/>
      </w:pPr>
      <w:r>
        <w:t xml:space="preserve">A full annual review of all risks on the register, which is supported by a full list of control </w:t>
      </w:r>
      <w:r w:rsidR="009D4BC9">
        <w:t>failures that</w:t>
      </w:r>
      <w:r>
        <w:t xml:space="preserve"> might</w:t>
      </w:r>
      <w:r w:rsidR="009D4BC9">
        <w:t>,</w:t>
      </w:r>
      <w:r>
        <w:t xml:space="preserve"> if action</w:t>
      </w:r>
      <w:r w:rsidR="00531B8B">
        <w:t>s</w:t>
      </w:r>
      <w:r>
        <w:t xml:space="preserve"> were not taken</w:t>
      </w:r>
      <w:r w:rsidR="009D4BC9">
        <w:t>,</w:t>
      </w:r>
      <w:r>
        <w:t xml:space="preserve"> result in a failure of statutory obligations.</w:t>
      </w:r>
    </w:p>
    <w:p w:rsidR="00766755" w:rsidRDefault="00766755" w:rsidP="00766755">
      <w:pPr>
        <w:pStyle w:val="Bullets"/>
      </w:pPr>
      <w:r>
        <w:t>The Board receives monthly information on key performance indicators to show trends and these are, confirmed by independent audit at the end of the year.</w:t>
      </w:r>
    </w:p>
    <w:p w:rsidR="00766755" w:rsidRDefault="00766755" w:rsidP="00766755">
      <w:pPr>
        <w:pStyle w:val="Bullets"/>
      </w:pPr>
      <w:r>
        <w:t xml:space="preserve">There is a schedule of matters reserved for the </w:t>
      </w:r>
      <w:r w:rsidR="009D4BC9">
        <w:t>Board, which</w:t>
      </w:r>
      <w:r>
        <w:t xml:space="preserve"> includes the approval of documents central to meeting the obligations of the Company. Weekly operations meetings have standard agenda </w:t>
      </w:r>
      <w:r w:rsidR="009D4BC9">
        <w:t>items that</w:t>
      </w:r>
      <w:r>
        <w:t xml:space="preserve"> reveal performance, failure and compliance issues as a matter of course. There is also an open session where attendees raise any matters not covered by the standard items. This is the key source of identifying any emerging </w:t>
      </w:r>
      <w:r w:rsidR="009D4BC9">
        <w:t xml:space="preserve">issues, which are then put on the </w:t>
      </w:r>
      <w:r w:rsidR="00AD02B5">
        <w:t>R</w:t>
      </w:r>
      <w:r w:rsidR="009D4BC9">
        <w:t xml:space="preserve">isk </w:t>
      </w:r>
      <w:r w:rsidR="00AD02B5">
        <w:t>R</w:t>
      </w:r>
      <w:r w:rsidR="009D4BC9">
        <w:t>egister. All senior managers and the Executive Directors attend the meeting</w:t>
      </w:r>
      <w:r>
        <w:t xml:space="preserve">. Minutes are published, and the Company Secretary uses these </w:t>
      </w:r>
      <w:r w:rsidR="00B25737">
        <w:t xml:space="preserve">minutes </w:t>
      </w:r>
      <w:r>
        <w:t xml:space="preserve">to compile the annual list of control or performance failures for the annual review by the </w:t>
      </w:r>
      <w:r w:rsidR="009D4BC9">
        <w:t>Board, which</w:t>
      </w:r>
      <w:r>
        <w:t xml:space="preserve"> was referred to above. Any serious matters are brought to the Board as they occur</w:t>
      </w:r>
      <w:r w:rsidR="009D4BC9">
        <w:t>,</w:t>
      </w:r>
      <w:r>
        <w:t xml:space="preserve"> either through the</w:t>
      </w:r>
      <w:r w:rsidR="00B25737">
        <w:t xml:space="preserve"> monthly</w:t>
      </w:r>
      <w:r>
        <w:t xml:space="preserve"> performance reports or separately</w:t>
      </w:r>
      <w:r w:rsidR="00DF6A75">
        <w:t xml:space="preserve"> reported</w:t>
      </w:r>
      <w:r>
        <w:t>.</w:t>
      </w:r>
    </w:p>
    <w:p w:rsidR="00766755" w:rsidRDefault="00766755" w:rsidP="00766755">
      <w:pPr>
        <w:pStyle w:val="Bullets"/>
      </w:pPr>
      <w:r>
        <w:t xml:space="preserve">The Executive Directors see all complaints and the whole Board reviews summaries of all complaints every </w:t>
      </w:r>
      <w:r w:rsidR="009D4BC9">
        <w:t>month, which</w:t>
      </w:r>
      <w:r>
        <w:t xml:space="preserve"> again allows it to pick up potential trends and failures of performance.</w:t>
      </w:r>
    </w:p>
    <w:p w:rsidR="00766755" w:rsidRDefault="00766755" w:rsidP="00766755">
      <w:pPr>
        <w:pStyle w:val="Bullets"/>
      </w:pPr>
      <w:r>
        <w:t xml:space="preserve">On an annual </w:t>
      </w:r>
      <w:r w:rsidR="009D4BC9">
        <w:t>basis,</w:t>
      </w:r>
      <w:r>
        <w:t xml:space="preserve"> the Board reviews the DWI Chief Inspectors Report</w:t>
      </w:r>
      <w:r w:rsidR="00DF6A75">
        <w:t xml:space="preserve">, </w:t>
      </w:r>
      <w:r>
        <w:t>ensuring that any lessons from elsewhere in the industry are considered.</w:t>
      </w:r>
    </w:p>
    <w:p w:rsidR="00766755" w:rsidRDefault="00766755" w:rsidP="00766755">
      <w:pPr>
        <w:pStyle w:val="Bullets"/>
      </w:pPr>
      <w:r>
        <w:t xml:space="preserve">The Managing Director meets with EA every six months giving opportunities for developing environmental issues to be discussed. </w:t>
      </w:r>
    </w:p>
    <w:p w:rsidR="00766755" w:rsidRDefault="00766755" w:rsidP="00766755">
      <w:pPr>
        <w:pStyle w:val="Bullets"/>
        <w:numPr>
          <w:ilvl w:val="0"/>
          <w:numId w:val="0"/>
        </w:numPr>
        <w:ind w:left="1491"/>
      </w:pPr>
    </w:p>
    <w:p w:rsidR="00766755" w:rsidRDefault="00531B8B" w:rsidP="00766755">
      <w:pPr>
        <w:rPr>
          <w:b/>
        </w:rPr>
      </w:pPr>
      <w:r>
        <w:rPr>
          <w:b/>
        </w:rPr>
        <w:t>Compliance with t</w:t>
      </w:r>
      <w:r w:rsidR="00766755">
        <w:rPr>
          <w:b/>
        </w:rPr>
        <w:t>he Government</w:t>
      </w:r>
      <w:r>
        <w:rPr>
          <w:b/>
        </w:rPr>
        <w:t>’</w:t>
      </w:r>
      <w:r w:rsidR="00766755">
        <w:rPr>
          <w:b/>
        </w:rPr>
        <w:t>s Strategic Priorities</w:t>
      </w:r>
    </w:p>
    <w:p w:rsidR="009410FF" w:rsidRPr="009410FF" w:rsidRDefault="009410FF" w:rsidP="00766755">
      <w:r>
        <w:t>In our Business Plan we are proposing innovative and efficiency solutions to address the statutory priorities of the Government and other organisations.</w:t>
      </w:r>
    </w:p>
    <w:p w:rsidR="00766755" w:rsidRDefault="00766755" w:rsidP="00766755">
      <w:pPr>
        <w:rPr>
          <w:b/>
          <w:u w:val="single"/>
        </w:rPr>
      </w:pPr>
      <w:r>
        <w:rPr>
          <w:b/>
          <w:u w:val="single"/>
        </w:rPr>
        <w:t>Securing Long Term Resilience &amp; Water Supplies</w:t>
      </w:r>
    </w:p>
    <w:p w:rsidR="00766755" w:rsidRDefault="00766755" w:rsidP="00766755">
      <w:r>
        <w:t xml:space="preserve">Principal long- term resilience is assured by the provision of a well-structured Water Resource Management </w:t>
      </w:r>
      <w:r w:rsidR="00531B8B">
        <w:t>Plan</w:t>
      </w:r>
      <w:r w:rsidR="00450260">
        <w:t xml:space="preserve"> (WRMP)</w:t>
      </w:r>
      <w:r w:rsidR="00531B8B">
        <w:t>, which</w:t>
      </w:r>
      <w:r>
        <w:t xml:space="preserve"> optimises best value f</w:t>
      </w:r>
      <w:r w:rsidR="00A67852">
        <w:t>or</w:t>
      </w:r>
      <w:r>
        <w:t xml:space="preserve"> money, seeking both demand side and supply side options, giving the best value to customers and the environment.  The WRMP has been approved by the Board and includes measures to improve resilience across the South East of England, including further bulk supplies to a neighbouring water company. The plan including the bulk supply shows resilience to a 1 in 200-year drought. The Board is also keen to support WRSE such that Regional Plans and solutions are prepared in the future and that we have more resilient networks across the South East. </w:t>
      </w:r>
    </w:p>
    <w:p w:rsidR="009410FF" w:rsidRDefault="009410FF" w:rsidP="00766755">
      <w:r>
        <w:t>We have also considered the National Infrastructure Commission Report.</w:t>
      </w:r>
    </w:p>
    <w:p w:rsidR="00766755" w:rsidRDefault="00766755" w:rsidP="00766755">
      <w:r>
        <w:t>The Board have also set a leakage reduction target of</w:t>
      </w:r>
      <w:r w:rsidR="00531B8B">
        <w:t xml:space="preserve"> </w:t>
      </w:r>
      <w:r>
        <w:t xml:space="preserve">15% and have proposed a reduction </w:t>
      </w:r>
      <w:r w:rsidR="00531B8B">
        <w:t>of 50</w:t>
      </w:r>
      <w:r>
        <w:t xml:space="preserve">% by 2050. In addition, it has set an ambitious long- term target for </w:t>
      </w:r>
      <w:r w:rsidR="009258ED">
        <w:t>PCC</w:t>
      </w:r>
      <w:r w:rsidR="00451E46">
        <w:t xml:space="preserve"> of 100 litres per person per day</w:t>
      </w:r>
      <w:r>
        <w:t>.</w:t>
      </w:r>
    </w:p>
    <w:p w:rsidR="00766755" w:rsidRDefault="00766755" w:rsidP="00766755">
      <w:pPr>
        <w:rPr>
          <w:b/>
          <w:u w:val="single"/>
        </w:rPr>
      </w:pPr>
      <w:r>
        <w:rPr>
          <w:b/>
          <w:u w:val="single"/>
        </w:rPr>
        <w:t>Resilience against Flooding &amp; Wider Risks</w:t>
      </w:r>
    </w:p>
    <w:p w:rsidR="00766755" w:rsidRDefault="00451E46" w:rsidP="00766755">
      <w:r>
        <w:t xml:space="preserve">We have </w:t>
      </w:r>
      <w:r w:rsidR="00766755">
        <w:t xml:space="preserve">undertaken a significant and </w:t>
      </w:r>
      <w:r w:rsidR="00531B8B">
        <w:t>wide-ranging</w:t>
      </w:r>
      <w:r w:rsidR="00766755">
        <w:t xml:space="preserve"> res</w:t>
      </w:r>
      <w:r>
        <w:t>ilience study, as set out in this</w:t>
      </w:r>
      <w:r w:rsidR="00766755">
        <w:t xml:space="preserve"> Business Plan, including resilience against extreme flooding situations.  The Board </w:t>
      </w:r>
      <w:r>
        <w:t xml:space="preserve">has </w:t>
      </w:r>
      <w:r w:rsidR="00766755">
        <w:t xml:space="preserve">reviewed the output of </w:t>
      </w:r>
      <w:r>
        <w:t xml:space="preserve">this </w:t>
      </w:r>
      <w:r w:rsidR="00766755">
        <w:t xml:space="preserve">study and agreed an optimised Business Plan to deliver schemes to improve resilience. </w:t>
      </w:r>
    </w:p>
    <w:p w:rsidR="00766755" w:rsidRDefault="00766755" w:rsidP="00766755">
      <w:pPr>
        <w:rPr>
          <w:b/>
          <w:u w:val="single"/>
        </w:rPr>
      </w:pPr>
      <w:r>
        <w:rPr>
          <w:b/>
          <w:u w:val="single"/>
        </w:rPr>
        <w:t>The Environment</w:t>
      </w:r>
    </w:p>
    <w:p w:rsidR="00B25737" w:rsidRDefault="00451E46" w:rsidP="00766755">
      <w:r>
        <w:t>This</w:t>
      </w:r>
      <w:r w:rsidR="00B25737">
        <w:t xml:space="preserve"> Business Plan addresses the key targets set out in the Government’s 25 year Environment Plan in relation to damaging abstractions, resilience in drought, leakage and increasing the amount of woodland.</w:t>
      </w:r>
    </w:p>
    <w:p w:rsidR="00766755" w:rsidRDefault="00B25737" w:rsidP="00766755">
      <w:r>
        <w:t xml:space="preserve">Our </w:t>
      </w:r>
      <w:r w:rsidR="00766755">
        <w:t>Plan has been prepared in accordance with W</w:t>
      </w:r>
      <w:r w:rsidR="000754DA">
        <w:t xml:space="preserve">ISER </w:t>
      </w:r>
      <w:r w:rsidR="00766755">
        <w:t>and other environmental obligations.  The Board have supported an innovative Catchment Management plan to deliver outcomes exceeding WINEP and other wide environmental improvements including a biodiversity plan and ambitious target for reducing waste consumption. The Catchment management proposals will potentially include a woodland creation scheme through innovative partnership working with the Forestry Commission.</w:t>
      </w:r>
    </w:p>
    <w:p w:rsidR="00766755" w:rsidRDefault="00766755" w:rsidP="00766755">
      <w:pPr>
        <w:rPr>
          <w:b/>
          <w:u w:val="single"/>
        </w:rPr>
      </w:pPr>
      <w:r>
        <w:rPr>
          <w:b/>
          <w:u w:val="single"/>
        </w:rPr>
        <w:t>Protecting Customers</w:t>
      </w:r>
    </w:p>
    <w:p w:rsidR="00766755" w:rsidRDefault="00766755" w:rsidP="00766755">
      <w:r>
        <w:t xml:space="preserve">The Board has approved and encouraged the Company to introduce Social and Arrears Assist </w:t>
      </w:r>
      <w:r w:rsidR="00450260">
        <w:t>T</w:t>
      </w:r>
      <w:r>
        <w:t xml:space="preserve">ariffs.  Improvements in payment accessibility have been introduced along with improved engagement with those </w:t>
      </w:r>
      <w:r w:rsidR="00531B8B">
        <w:t>whose</w:t>
      </w:r>
      <w:r>
        <w:t xml:space="preserve"> arrears may be reduced by assisting them.  The Board has set the challenge in the </w:t>
      </w:r>
      <w:r w:rsidR="00450260">
        <w:t>B</w:t>
      </w:r>
      <w:r>
        <w:t xml:space="preserve">usiness </w:t>
      </w:r>
      <w:r w:rsidR="00450260">
        <w:t>P</w:t>
      </w:r>
      <w:r>
        <w:t xml:space="preserve">lan to identify those in need and to increase the number on the </w:t>
      </w:r>
      <w:r w:rsidR="00450260">
        <w:t>S</w:t>
      </w:r>
      <w:r>
        <w:t xml:space="preserve">ocial </w:t>
      </w:r>
      <w:r w:rsidR="00450260">
        <w:t>T</w:t>
      </w:r>
      <w:r>
        <w:t xml:space="preserve">ariff. </w:t>
      </w:r>
    </w:p>
    <w:p w:rsidR="00766755" w:rsidRDefault="00766755" w:rsidP="00766755">
      <w:r>
        <w:t xml:space="preserve">A Customer Support Officer has been working with vulnerable customers and support agencies to further assist and improve protection of vulnerable customers. </w:t>
      </w:r>
    </w:p>
    <w:p w:rsidR="00732135" w:rsidRDefault="00732135" w:rsidP="00766755">
      <w:r>
        <w:t>In the table below, we show where, in the Business Plan, we address the Government’s priorities.  The chapters listed are the main reference but these matters are considered elsewhere in the Plan.</w:t>
      </w:r>
    </w:p>
    <w:tbl>
      <w:tblPr>
        <w:tblStyle w:val="TableGrid72"/>
        <w:tblpPr w:leftFromText="180" w:rightFromText="180" w:vertAnchor="text" w:horzAnchor="margin" w:tblpXSpec="center" w:tblpY="932"/>
        <w:tblW w:w="8603" w:type="dxa"/>
        <w:tblLayout w:type="fixed"/>
        <w:tblLook w:val="04A0" w:firstRow="1" w:lastRow="0" w:firstColumn="1" w:lastColumn="0" w:noHBand="0" w:noVBand="1"/>
      </w:tblPr>
      <w:tblGrid>
        <w:gridCol w:w="562"/>
        <w:gridCol w:w="1560"/>
        <w:gridCol w:w="275"/>
        <w:gridCol w:w="276"/>
        <w:gridCol w:w="275"/>
        <w:gridCol w:w="276"/>
        <w:gridCol w:w="276"/>
        <w:gridCol w:w="5103"/>
      </w:tblGrid>
      <w:tr w:rsidR="00A67852" w:rsidRPr="00CD5AA7" w:rsidTr="00A67852">
        <w:trPr>
          <w:cantSplit/>
          <w:trHeight w:val="699"/>
        </w:trPr>
        <w:tc>
          <w:tcPr>
            <w:tcW w:w="562" w:type="dxa"/>
            <w:shd w:val="clear" w:color="auto" w:fill="2E74B5" w:themeFill="accent1" w:themeFillShade="BF"/>
          </w:tcPr>
          <w:p w:rsidR="00A67852" w:rsidRPr="00CD5AA7" w:rsidRDefault="00A67852" w:rsidP="00A67852">
            <w:pPr>
              <w:tabs>
                <w:tab w:val="clear" w:pos="851"/>
              </w:tabs>
              <w:spacing w:after="0"/>
              <w:ind w:left="0"/>
              <w:jc w:val="left"/>
              <w:rPr>
                <w:rFonts w:asciiTheme="minorHAnsi" w:hAnsiTheme="minorHAnsi"/>
                <w:color w:val="FFFFFF" w:themeColor="background1"/>
                <w:sz w:val="16"/>
                <w:szCs w:val="16"/>
              </w:rPr>
            </w:pPr>
          </w:p>
        </w:tc>
        <w:tc>
          <w:tcPr>
            <w:tcW w:w="1560" w:type="dxa"/>
            <w:shd w:val="clear" w:color="auto" w:fill="2E74B5" w:themeFill="accent1" w:themeFillShade="BF"/>
          </w:tcPr>
          <w:p w:rsidR="00A67852" w:rsidRPr="00CD5AA7" w:rsidRDefault="00A67852" w:rsidP="00A67852">
            <w:pPr>
              <w:tabs>
                <w:tab w:val="clear" w:pos="851"/>
              </w:tabs>
              <w:spacing w:after="0"/>
              <w:ind w:left="0"/>
              <w:jc w:val="left"/>
              <w:rPr>
                <w:rFonts w:asciiTheme="minorHAnsi" w:hAnsiTheme="minorHAnsi"/>
                <w:color w:val="FFFFFF" w:themeColor="background1"/>
                <w:sz w:val="16"/>
                <w:szCs w:val="16"/>
              </w:rPr>
            </w:pPr>
          </w:p>
        </w:tc>
        <w:tc>
          <w:tcPr>
            <w:tcW w:w="275" w:type="dxa"/>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2"/>
                <w:szCs w:val="12"/>
              </w:rPr>
            </w:pPr>
            <w:r w:rsidRPr="00CD5AA7">
              <w:rPr>
                <w:rFonts w:asciiTheme="minorHAnsi" w:hAnsiTheme="minorHAnsi"/>
                <w:color w:val="FFFFFF" w:themeColor="background1"/>
                <w:sz w:val="12"/>
                <w:szCs w:val="12"/>
              </w:rPr>
              <w:t>Ofwat</w:t>
            </w:r>
          </w:p>
        </w:tc>
        <w:tc>
          <w:tcPr>
            <w:tcW w:w="276" w:type="dxa"/>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2"/>
                <w:szCs w:val="12"/>
              </w:rPr>
            </w:pPr>
            <w:r w:rsidRPr="00CD5AA7">
              <w:rPr>
                <w:rFonts w:asciiTheme="minorHAnsi" w:hAnsiTheme="minorHAnsi"/>
                <w:color w:val="FFFFFF" w:themeColor="background1"/>
                <w:sz w:val="12"/>
                <w:szCs w:val="12"/>
              </w:rPr>
              <w:t>DEFRA</w:t>
            </w:r>
          </w:p>
        </w:tc>
        <w:tc>
          <w:tcPr>
            <w:tcW w:w="275" w:type="dxa"/>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2"/>
                <w:szCs w:val="12"/>
              </w:rPr>
            </w:pPr>
            <w:r w:rsidRPr="00CD5AA7">
              <w:rPr>
                <w:rFonts w:asciiTheme="minorHAnsi" w:hAnsiTheme="minorHAnsi"/>
                <w:color w:val="FFFFFF" w:themeColor="background1"/>
                <w:sz w:val="12"/>
                <w:szCs w:val="12"/>
              </w:rPr>
              <w:t>NIC</w:t>
            </w:r>
          </w:p>
        </w:tc>
        <w:tc>
          <w:tcPr>
            <w:tcW w:w="276" w:type="dxa"/>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2"/>
                <w:szCs w:val="12"/>
              </w:rPr>
            </w:pPr>
            <w:r w:rsidRPr="00CD5AA7">
              <w:rPr>
                <w:rFonts w:asciiTheme="minorHAnsi" w:hAnsiTheme="minorHAnsi"/>
                <w:color w:val="FFFFFF" w:themeColor="background1"/>
                <w:sz w:val="12"/>
                <w:szCs w:val="12"/>
              </w:rPr>
              <w:t>WISER</w:t>
            </w:r>
          </w:p>
        </w:tc>
        <w:tc>
          <w:tcPr>
            <w:tcW w:w="276" w:type="dxa"/>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2"/>
                <w:szCs w:val="12"/>
              </w:rPr>
            </w:pPr>
            <w:r w:rsidRPr="00CD5AA7">
              <w:rPr>
                <w:rFonts w:asciiTheme="minorHAnsi" w:hAnsiTheme="minorHAnsi"/>
                <w:color w:val="FFFFFF" w:themeColor="background1"/>
                <w:sz w:val="12"/>
                <w:szCs w:val="12"/>
              </w:rPr>
              <w:t>DWI</w:t>
            </w:r>
          </w:p>
        </w:tc>
        <w:tc>
          <w:tcPr>
            <w:tcW w:w="5103" w:type="dxa"/>
            <w:shd w:val="clear" w:color="auto" w:fill="2E74B5" w:themeFill="accent1" w:themeFillShade="BF"/>
            <w:vAlign w:val="bottom"/>
          </w:tcPr>
          <w:p w:rsidR="00A67852" w:rsidRPr="00CD5AA7" w:rsidRDefault="00A67852" w:rsidP="00A67852">
            <w:pPr>
              <w:tabs>
                <w:tab w:val="clear" w:pos="851"/>
              </w:tabs>
              <w:spacing w:after="0"/>
              <w:ind w:left="0"/>
              <w:jc w:val="left"/>
              <w:rPr>
                <w:rFonts w:asciiTheme="minorHAnsi" w:hAnsiTheme="minorHAnsi"/>
                <w:color w:val="FFFFFF" w:themeColor="background1"/>
                <w:sz w:val="16"/>
                <w:szCs w:val="16"/>
              </w:rPr>
            </w:pPr>
            <w:r w:rsidRPr="00CD5AA7">
              <w:rPr>
                <w:rFonts w:asciiTheme="minorHAnsi" w:hAnsiTheme="minorHAnsi"/>
                <w:color w:val="FFFFFF" w:themeColor="background1"/>
                <w:sz w:val="16"/>
                <w:szCs w:val="16"/>
              </w:rPr>
              <w:t xml:space="preserve">Reference </w:t>
            </w:r>
          </w:p>
        </w:tc>
      </w:tr>
      <w:tr w:rsidR="00A67852" w:rsidRPr="00CD5AA7" w:rsidTr="00A67852">
        <w:tc>
          <w:tcPr>
            <w:tcW w:w="562" w:type="dxa"/>
            <w:vMerge w:val="restart"/>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r w:rsidRPr="00CD5AA7">
              <w:rPr>
                <w:rFonts w:asciiTheme="minorHAnsi" w:hAnsiTheme="minorHAnsi"/>
                <w:color w:val="FFFFFF" w:themeColor="background1"/>
                <w:sz w:val="16"/>
                <w:szCs w:val="16"/>
              </w:rPr>
              <w:t>Long term resilience</w:t>
            </w: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Overall resilience</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6 Resilience in the Round</w:t>
            </w:r>
          </w:p>
        </w:tc>
      </w:tr>
      <w:tr w:rsidR="00A67852" w:rsidRPr="00CD5AA7" w:rsidTr="00A67852">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Leakage reduction</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3.8 Lower Leakage</w:t>
            </w:r>
          </w:p>
        </w:tc>
      </w:tr>
      <w:tr w:rsidR="00A67852" w:rsidRPr="00CD5AA7" w:rsidTr="00A67852">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Twin track approach to Water Resources</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3.7 Long term Resilience of Supplies for our own customers and to support the South East Region.</w:t>
            </w:r>
          </w:p>
        </w:tc>
      </w:tr>
      <w:tr w:rsidR="00A67852" w:rsidRPr="00CD5AA7" w:rsidTr="00A67852">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Environment</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3.10 An improved Environment , supporting Biodiversity</w:t>
            </w:r>
          </w:p>
        </w:tc>
      </w:tr>
      <w:tr w:rsidR="00A67852" w:rsidRPr="00CD5AA7" w:rsidTr="00A67852">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 xml:space="preserve">Coordinated regional response to water resources </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 xml:space="preserve">Chapter 3.7 Long term Resilience of Supplies for our own customers and to support the South East Region, and </w:t>
            </w:r>
          </w:p>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8.1 Havant Thicket Winter Storage reservoir</w:t>
            </w:r>
          </w:p>
        </w:tc>
      </w:tr>
      <w:tr w:rsidR="00A67852" w:rsidRPr="00CD5AA7" w:rsidTr="00A67852">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Increased drought resilience</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3.7 Long term Resilience of Supplies for our own customers and to support the South East Region.</w:t>
            </w:r>
          </w:p>
        </w:tc>
      </w:tr>
      <w:tr w:rsidR="00A67852" w:rsidRPr="00CD5AA7" w:rsidTr="00A67852">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Extreme weather &amp; flood risk</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6 Resilience in the Round</w:t>
            </w:r>
          </w:p>
        </w:tc>
      </w:tr>
      <w:tr w:rsidR="00A67852" w:rsidRPr="00CD5AA7" w:rsidTr="00A67852">
        <w:trPr>
          <w:trHeight w:val="238"/>
        </w:trPr>
        <w:tc>
          <w:tcPr>
            <w:tcW w:w="562" w:type="dxa"/>
            <w:vMerge w:val="restart"/>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r w:rsidRPr="00CD5AA7">
              <w:rPr>
                <w:rFonts w:asciiTheme="minorHAnsi" w:hAnsiTheme="minorHAnsi"/>
                <w:color w:val="FFFFFF" w:themeColor="background1"/>
                <w:sz w:val="16"/>
                <w:szCs w:val="16"/>
              </w:rPr>
              <w:t>Protecting customers</w:t>
            </w: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Customer service</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4 Great Customer Service</w:t>
            </w:r>
          </w:p>
        </w:tc>
      </w:tr>
      <w:tr w:rsidR="00A67852" w:rsidRPr="00CD5AA7" w:rsidTr="00A67852">
        <w:trPr>
          <w:trHeight w:val="238"/>
        </w:trPr>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Affordability</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5 Addressing affordability and vulnerability</w:t>
            </w:r>
          </w:p>
        </w:tc>
      </w:tr>
      <w:tr w:rsidR="00A67852" w:rsidRPr="00CD5AA7" w:rsidTr="00A67852">
        <w:trPr>
          <w:trHeight w:val="238"/>
        </w:trPr>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Vulnerability</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5 Addressing affordability and vulnerability</w:t>
            </w:r>
          </w:p>
        </w:tc>
      </w:tr>
      <w:tr w:rsidR="00A67852" w:rsidRPr="00CD5AA7" w:rsidTr="00A67852">
        <w:trPr>
          <w:trHeight w:val="238"/>
        </w:trPr>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Change in standards</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3.6 Safe, Secure and Reliable Supply of Drinking Water</w:t>
            </w:r>
          </w:p>
        </w:tc>
      </w:tr>
      <w:tr w:rsidR="00A67852" w:rsidRPr="00CD5AA7" w:rsidTr="00A67852">
        <w:tc>
          <w:tcPr>
            <w:tcW w:w="562" w:type="dxa"/>
            <w:vMerge w:val="restart"/>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r w:rsidRPr="00CD5AA7">
              <w:rPr>
                <w:rFonts w:asciiTheme="minorHAnsi" w:hAnsiTheme="minorHAnsi"/>
                <w:color w:val="FFFFFF" w:themeColor="background1"/>
                <w:sz w:val="16"/>
                <w:szCs w:val="16"/>
              </w:rPr>
              <w:t>Develop markets</w:t>
            </w: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Use of markets</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 xml:space="preserve">Chapter 3.7 Long term Resilience of Supplies for our own customers and to support the South East Region, and </w:t>
            </w:r>
          </w:p>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8 Targeted Control and Markets</w:t>
            </w:r>
          </w:p>
        </w:tc>
      </w:tr>
      <w:tr w:rsidR="00A67852" w:rsidRPr="00CD5AA7" w:rsidTr="00A67852">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Water trading</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 xml:space="preserve">Chapter 3.7 Long term Resilience of Supplies for our own customers and to support the South East Region, and </w:t>
            </w:r>
          </w:p>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8 Targeted Control and Markets</w:t>
            </w:r>
          </w:p>
        </w:tc>
      </w:tr>
      <w:tr w:rsidR="00A67852" w:rsidRPr="00CD5AA7" w:rsidTr="00A67852">
        <w:trPr>
          <w:trHeight w:val="564"/>
        </w:trPr>
        <w:tc>
          <w:tcPr>
            <w:tcW w:w="562" w:type="dxa"/>
            <w:vMerge/>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Markets &amp; Partnerships</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 xml:space="preserve">Chapter 3.7 Long term Resilience of Supplies for our own customers and to support the South East Region, and </w:t>
            </w:r>
          </w:p>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8 Targeted Control and Markets</w:t>
            </w:r>
          </w:p>
        </w:tc>
      </w:tr>
      <w:tr w:rsidR="00A67852" w:rsidRPr="00CD5AA7" w:rsidTr="00A67852">
        <w:trPr>
          <w:cantSplit/>
          <w:trHeight w:val="842"/>
        </w:trPr>
        <w:tc>
          <w:tcPr>
            <w:tcW w:w="562" w:type="dxa"/>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r w:rsidRPr="00CD5AA7">
              <w:rPr>
                <w:rFonts w:asciiTheme="minorHAnsi" w:hAnsiTheme="minorHAnsi"/>
                <w:color w:val="FFFFFF" w:themeColor="background1"/>
                <w:sz w:val="16"/>
                <w:szCs w:val="16"/>
              </w:rPr>
              <w:t>Innovate</w:t>
            </w: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Innovation</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 xml:space="preserve">Chapter 7 Innovation and </w:t>
            </w:r>
          </w:p>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9 Cost Efficiency</w:t>
            </w:r>
          </w:p>
        </w:tc>
      </w:tr>
      <w:tr w:rsidR="00A67852" w:rsidRPr="00CD5AA7" w:rsidTr="00A67852">
        <w:trPr>
          <w:cantSplit/>
          <w:trHeight w:val="981"/>
        </w:trPr>
        <w:tc>
          <w:tcPr>
            <w:tcW w:w="562" w:type="dxa"/>
            <w:shd w:val="clear" w:color="auto" w:fill="2E74B5" w:themeFill="accent1" w:themeFillShade="BF"/>
            <w:textDirection w:val="btLr"/>
            <w:vAlign w:val="center"/>
          </w:tcPr>
          <w:p w:rsidR="00A67852" w:rsidRPr="00CD5AA7" w:rsidRDefault="00A67852" w:rsidP="00A67852">
            <w:pPr>
              <w:tabs>
                <w:tab w:val="clear" w:pos="851"/>
              </w:tabs>
              <w:spacing w:after="0"/>
              <w:ind w:left="113" w:right="113"/>
              <w:jc w:val="center"/>
              <w:rPr>
                <w:rFonts w:asciiTheme="minorHAnsi" w:hAnsiTheme="minorHAnsi"/>
                <w:color w:val="FFFFFF" w:themeColor="background1"/>
                <w:sz w:val="16"/>
                <w:szCs w:val="16"/>
              </w:rPr>
            </w:pPr>
            <w:r w:rsidRPr="00CD5AA7">
              <w:rPr>
                <w:rFonts w:asciiTheme="minorHAnsi" w:hAnsiTheme="minorHAnsi"/>
                <w:color w:val="FFFFFF" w:themeColor="background1"/>
                <w:sz w:val="16"/>
                <w:szCs w:val="16"/>
              </w:rPr>
              <w:t>Drive efficiency</w:t>
            </w:r>
          </w:p>
        </w:tc>
        <w:tc>
          <w:tcPr>
            <w:tcW w:w="1560"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Efficiency</w:t>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5"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276" w:type="dxa"/>
            <w:vAlign w:val="center"/>
          </w:tcPr>
          <w:p w:rsidR="00A67852" w:rsidRPr="00CD5AA7" w:rsidRDefault="00A67852" w:rsidP="00A67852">
            <w:pPr>
              <w:tabs>
                <w:tab w:val="clear" w:pos="851"/>
              </w:tabs>
              <w:spacing w:after="0"/>
              <w:ind w:left="0"/>
              <w:jc w:val="center"/>
              <w:rPr>
                <w:rFonts w:asciiTheme="minorHAnsi" w:hAnsiTheme="minorHAnsi"/>
                <w:sz w:val="16"/>
                <w:szCs w:val="16"/>
              </w:rPr>
            </w:pPr>
            <w:r w:rsidRPr="00CD5AA7">
              <w:rPr>
                <w:rFonts w:asciiTheme="minorHAnsi" w:hAnsiTheme="minorHAnsi"/>
                <w:sz w:val="16"/>
                <w:szCs w:val="16"/>
              </w:rPr>
              <w:sym w:font="Webdings" w:char="F061"/>
            </w:r>
          </w:p>
        </w:tc>
        <w:tc>
          <w:tcPr>
            <w:tcW w:w="5103" w:type="dxa"/>
          </w:tcPr>
          <w:p w:rsidR="00A67852" w:rsidRPr="00CD5AA7" w:rsidRDefault="00A67852" w:rsidP="00A67852">
            <w:pPr>
              <w:tabs>
                <w:tab w:val="clear" w:pos="851"/>
              </w:tabs>
              <w:spacing w:after="0"/>
              <w:ind w:left="0"/>
              <w:jc w:val="left"/>
              <w:rPr>
                <w:rFonts w:asciiTheme="minorHAnsi" w:hAnsiTheme="minorHAnsi"/>
                <w:sz w:val="16"/>
                <w:szCs w:val="16"/>
              </w:rPr>
            </w:pPr>
            <w:r w:rsidRPr="00CD5AA7">
              <w:rPr>
                <w:rFonts w:asciiTheme="minorHAnsi" w:hAnsiTheme="minorHAnsi"/>
                <w:sz w:val="16"/>
                <w:szCs w:val="16"/>
              </w:rPr>
              <w:t>Chapter 9 Cost Efficiency.</w:t>
            </w:r>
          </w:p>
        </w:tc>
      </w:tr>
    </w:tbl>
    <w:p w:rsidR="00CD5AA7" w:rsidRPr="00F71D07" w:rsidRDefault="00F71D07" w:rsidP="00CD5AA7">
      <w:pPr>
        <w:spacing w:after="0"/>
        <w:rPr>
          <w:i/>
        </w:rPr>
      </w:pPr>
      <w:r w:rsidRPr="00F71D07">
        <w:rPr>
          <w:i/>
        </w:rPr>
        <w:t>References to Government priorities in the Business Plan</w:t>
      </w:r>
    </w:p>
    <w:p w:rsidR="00F71D07" w:rsidRDefault="00F71D07">
      <w:pPr>
        <w:tabs>
          <w:tab w:val="clear" w:pos="851"/>
        </w:tabs>
        <w:spacing w:after="0"/>
        <w:ind w:left="0"/>
        <w:jc w:val="left"/>
        <w:rPr>
          <w:b/>
          <w:u w:val="single"/>
        </w:rPr>
      </w:pPr>
      <w:r>
        <w:rPr>
          <w:b/>
          <w:u w:val="single"/>
        </w:rPr>
        <w:br w:type="page"/>
      </w:r>
    </w:p>
    <w:p w:rsidR="00B25737" w:rsidRPr="00766755" w:rsidRDefault="00B25737" w:rsidP="00B25737">
      <w:pPr>
        <w:rPr>
          <w:b/>
          <w:u w:val="single"/>
        </w:rPr>
      </w:pPr>
      <w:r w:rsidRPr="00766755">
        <w:rPr>
          <w:b/>
          <w:u w:val="single"/>
        </w:rPr>
        <w:t>Additional Board Activities</w:t>
      </w:r>
      <w:r>
        <w:rPr>
          <w:b/>
          <w:u w:val="single"/>
        </w:rPr>
        <w:t xml:space="preserve"> in support of the Business Plan</w:t>
      </w:r>
    </w:p>
    <w:p w:rsidR="00766755" w:rsidRDefault="00766755" w:rsidP="00766755">
      <w:r>
        <w:t xml:space="preserve">As noted above in preparing for the Business plan the Board has reviewed its Risk and Resilience Register with emphasis on the impact on Customers and the meeting its statutory obligations and government priorities. The resulting update to the Register can be found in </w:t>
      </w:r>
      <w:r w:rsidRPr="00560D99">
        <w:t xml:space="preserve">Appendix </w:t>
      </w:r>
      <w:r w:rsidR="00560D99">
        <w:t>6.2</w:t>
      </w:r>
      <w:r>
        <w:t xml:space="preserve"> and demonstrates the Board is confident the PR19 Business Plan has be</w:t>
      </w:r>
      <w:r w:rsidR="00A67852">
        <w:t>en</w:t>
      </w:r>
      <w:r>
        <w:t xml:space="preserve"> challenged to ensure it will deliver its statutory responsibilities. </w:t>
      </w:r>
    </w:p>
    <w:p w:rsidR="00766755" w:rsidRDefault="00766755" w:rsidP="00766755">
      <w:r>
        <w:t xml:space="preserve">At the February 2017 Board, the members reviewed its key statutory duties and responsibilities and were satisfied these were being met. </w:t>
      </w:r>
      <w:r w:rsidR="00B25737">
        <w:t xml:space="preserve"> At this </w:t>
      </w:r>
      <w:r w:rsidR="00531B8B">
        <w:t>meeting,</w:t>
      </w:r>
      <w:r w:rsidR="00B25737">
        <w:t xml:space="preserve"> the Board also considered the 25 year Environment Plan.</w:t>
      </w:r>
    </w:p>
    <w:p w:rsidR="00766755" w:rsidRDefault="00766755" w:rsidP="00766755">
      <w:r>
        <w:t>A team comprising of the Managing Director, Engineering Director and Non-Executive Director together with the senior management team have independently challenged, revised and established that the Risk and Resilience Register will deliver the key statutory duties.</w:t>
      </w:r>
    </w:p>
    <w:p w:rsidR="00450260" w:rsidRPr="00450260" w:rsidRDefault="00450260" w:rsidP="00450260">
      <w:pPr>
        <w:rPr>
          <w:color w:val="2E74B5" w:themeColor="accent1" w:themeShade="BF"/>
        </w:rPr>
      </w:pPr>
      <w:r w:rsidRPr="00450260">
        <w:rPr>
          <w:color w:val="2E74B5" w:themeColor="accent1" w:themeShade="BF"/>
        </w:rPr>
        <w:t>Appendices relevant to this section</w:t>
      </w:r>
      <w:r w:rsidR="00AF64DD">
        <w:rPr>
          <w:color w:val="2E74B5" w:themeColor="accent1" w:themeShade="BF"/>
        </w:rPr>
        <w:t xml:space="preserve"> </w:t>
      </w:r>
    </w:p>
    <w:tbl>
      <w:tblPr>
        <w:tblStyle w:val="TableGrid22"/>
        <w:tblW w:w="0" w:type="auto"/>
        <w:jc w:val="center"/>
        <w:tblLook w:val="04A0" w:firstRow="1" w:lastRow="0" w:firstColumn="1" w:lastColumn="0" w:noHBand="0" w:noVBand="1"/>
      </w:tblPr>
      <w:tblGrid>
        <w:gridCol w:w="1838"/>
        <w:gridCol w:w="4173"/>
        <w:gridCol w:w="1781"/>
      </w:tblGrid>
      <w:tr w:rsidR="00450260" w:rsidRPr="001E0DCD" w:rsidTr="009B7E2C">
        <w:trPr>
          <w:jc w:val="center"/>
        </w:trPr>
        <w:tc>
          <w:tcPr>
            <w:tcW w:w="1838" w:type="dxa"/>
            <w:shd w:val="clear" w:color="auto" w:fill="2E74B5" w:themeFill="accent1" w:themeFillShade="BF"/>
          </w:tcPr>
          <w:p w:rsidR="00450260" w:rsidRPr="001E0DCD" w:rsidRDefault="00450260" w:rsidP="009B7E2C">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450260" w:rsidRPr="001E0DCD" w:rsidRDefault="00450260" w:rsidP="009B7E2C">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450260" w:rsidRPr="001E0DCD" w:rsidRDefault="00450260" w:rsidP="009B7E2C">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450260" w:rsidRPr="001E0DCD" w:rsidTr="009B7E2C">
        <w:trPr>
          <w:jc w:val="center"/>
        </w:trPr>
        <w:tc>
          <w:tcPr>
            <w:tcW w:w="1838" w:type="dxa"/>
          </w:tcPr>
          <w:p w:rsidR="00450260" w:rsidRDefault="00AF64DD" w:rsidP="009B7E2C">
            <w:pPr>
              <w:tabs>
                <w:tab w:val="clear" w:pos="851"/>
              </w:tabs>
              <w:spacing w:after="0"/>
              <w:ind w:left="0"/>
              <w:jc w:val="left"/>
              <w:rPr>
                <w:rFonts w:cs="Arial"/>
                <w:sz w:val="16"/>
                <w:szCs w:val="16"/>
              </w:rPr>
            </w:pPr>
            <w:r>
              <w:rPr>
                <w:rFonts w:cs="Arial"/>
                <w:sz w:val="16"/>
                <w:szCs w:val="16"/>
              </w:rPr>
              <w:t>6.2</w:t>
            </w:r>
          </w:p>
        </w:tc>
        <w:tc>
          <w:tcPr>
            <w:tcW w:w="4173" w:type="dxa"/>
          </w:tcPr>
          <w:p w:rsidR="00450260" w:rsidRDefault="00AF64DD" w:rsidP="009B7E2C">
            <w:pPr>
              <w:tabs>
                <w:tab w:val="clear" w:pos="851"/>
              </w:tabs>
              <w:spacing w:after="0"/>
              <w:ind w:left="0"/>
              <w:jc w:val="left"/>
              <w:rPr>
                <w:rFonts w:cs="Arial"/>
                <w:sz w:val="16"/>
                <w:szCs w:val="16"/>
              </w:rPr>
            </w:pPr>
            <w:r>
              <w:rPr>
                <w:rFonts w:cs="Arial"/>
                <w:sz w:val="16"/>
                <w:szCs w:val="16"/>
              </w:rPr>
              <w:t>Risk and Resilience Register</w:t>
            </w:r>
          </w:p>
        </w:tc>
        <w:tc>
          <w:tcPr>
            <w:tcW w:w="1781" w:type="dxa"/>
          </w:tcPr>
          <w:p w:rsidR="00450260" w:rsidRDefault="00450260" w:rsidP="009B7E2C">
            <w:pPr>
              <w:tabs>
                <w:tab w:val="clear" w:pos="851"/>
              </w:tabs>
              <w:spacing w:after="0"/>
              <w:ind w:left="0"/>
              <w:jc w:val="left"/>
              <w:rPr>
                <w:rFonts w:cs="Arial"/>
                <w:sz w:val="16"/>
                <w:szCs w:val="16"/>
              </w:rPr>
            </w:pPr>
            <w:r>
              <w:rPr>
                <w:rFonts w:cs="Arial"/>
                <w:sz w:val="16"/>
                <w:szCs w:val="16"/>
              </w:rPr>
              <w:t>August 2018</w:t>
            </w:r>
          </w:p>
        </w:tc>
      </w:tr>
    </w:tbl>
    <w:p w:rsidR="00450260" w:rsidRDefault="00450260" w:rsidP="00450260">
      <w:pPr>
        <w:pStyle w:val="Bullets"/>
        <w:numPr>
          <w:ilvl w:val="0"/>
          <w:numId w:val="0"/>
        </w:numPr>
        <w:ind w:left="1848"/>
      </w:pPr>
    </w:p>
    <w:p w:rsidR="00B44ED5" w:rsidRDefault="00B44ED5">
      <w:pPr>
        <w:tabs>
          <w:tab w:val="clear" w:pos="851"/>
        </w:tabs>
        <w:spacing w:after="0"/>
        <w:ind w:left="0"/>
        <w:jc w:val="left"/>
      </w:pPr>
      <w:r>
        <w:br w:type="page"/>
      </w:r>
    </w:p>
    <w:p w:rsidR="008E7569" w:rsidRDefault="005D7D8C" w:rsidP="005F3A19">
      <w:pPr>
        <w:pStyle w:val="Heading1"/>
      </w:pPr>
      <w:bookmarkStart w:id="109" w:name="_Toc523651276"/>
      <w:r>
        <w:t>great customer service</w:t>
      </w:r>
      <w:bookmarkEnd w:id="109"/>
    </w:p>
    <w:p w:rsidR="00BE2349" w:rsidRDefault="00BE2349" w:rsidP="00BE2349">
      <w:pPr>
        <w:rPr>
          <w:rFonts w:cs="Arial"/>
        </w:rPr>
      </w:pPr>
      <w:r w:rsidRPr="00EE4A9F">
        <w:rPr>
          <w:rFonts w:cs="Arial"/>
        </w:rPr>
        <w:t xml:space="preserve">Customer service is at the heart of our business.  </w:t>
      </w:r>
      <w:r w:rsidR="007F6FD3">
        <w:rPr>
          <w:rFonts w:cs="Arial"/>
        </w:rPr>
        <w:t>W</w:t>
      </w:r>
      <w:r w:rsidRPr="00EE4A9F">
        <w:rPr>
          <w:rFonts w:cs="Arial"/>
        </w:rPr>
        <w:t xml:space="preserve">hilst a safe, secure supply is essential, </w:t>
      </w:r>
      <w:r>
        <w:rPr>
          <w:rFonts w:cs="Arial"/>
        </w:rPr>
        <w:t xml:space="preserve">customer </w:t>
      </w:r>
      <w:r w:rsidRPr="00EE4A9F">
        <w:rPr>
          <w:rFonts w:cs="Arial"/>
        </w:rPr>
        <w:t xml:space="preserve">service is much more than this.  It is about a tailored offering to meet the changing needs of individual customers.  It is also about us playing </w:t>
      </w:r>
      <w:r>
        <w:rPr>
          <w:rFonts w:cs="Arial"/>
        </w:rPr>
        <w:t>our part in wider society, be</w:t>
      </w:r>
      <w:r w:rsidRPr="00EE4A9F">
        <w:rPr>
          <w:rFonts w:cs="Arial"/>
        </w:rPr>
        <w:t>ing a</w:t>
      </w:r>
      <w:r>
        <w:rPr>
          <w:rFonts w:cs="Arial"/>
        </w:rPr>
        <w:t>n efficient,</w:t>
      </w:r>
      <w:r w:rsidRPr="00EE4A9F">
        <w:rPr>
          <w:rFonts w:cs="Arial"/>
        </w:rPr>
        <w:t xml:space="preserve"> trusted company that is delivering outstanding service</w:t>
      </w:r>
      <w:r>
        <w:rPr>
          <w:rFonts w:cs="Arial"/>
        </w:rPr>
        <w:t xml:space="preserve"> to</w:t>
      </w:r>
      <w:r w:rsidRPr="00EE4A9F">
        <w:rPr>
          <w:rFonts w:cs="Arial"/>
        </w:rPr>
        <w:t xml:space="preserve"> c</w:t>
      </w:r>
      <w:r>
        <w:rPr>
          <w:rFonts w:cs="Arial"/>
        </w:rPr>
        <w:t>urrent customers whilst continuing to build resilience for</w:t>
      </w:r>
      <w:r w:rsidRPr="00EE4A9F">
        <w:rPr>
          <w:rFonts w:cs="Arial"/>
        </w:rPr>
        <w:t xml:space="preserve"> future customers and the environment.</w:t>
      </w:r>
    </w:p>
    <w:p w:rsidR="005C23DF" w:rsidRDefault="005C23DF" w:rsidP="00802B2B">
      <w:pPr>
        <w:pStyle w:val="Heading2"/>
      </w:pPr>
      <w:bookmarkStart w:id="110" w:name="_Toc522199999"/>
      <w:bookmarkStart w:id="111" w:name="_Toc522200096"/>
      <w:bookmarkStart w:id="112" w:name="_Toc523651277"/>
      <w:r w:rsidRPr="00AB40C6">
        <w:t>Customer Service Overview</w:t>
      </w:r>
      <w:bookmarkEnd w:id="110"/>
      <w:bookmarkEnd w:id="111"/>
      <w:bookmarkEnd w:id="112"/>
    </w:p>
    <w:p w:rsidR="00BE2349" w:rsidRDefault="00BE2349" w:rsidP="00271BB7">
      <w:pPr>
        <w:pStyle w:val="Heading3"/>
        <w:ind w:left="851" w:hanging="851"/>
      </w:pPr>
      <w:bookmarkStart w:id="113" w:name="_Toc522200000"/>
      <w:bookmarkStart w:id="114" w:name="_Toc522200097"/>
      <w:bookmarkStart w:id="115" w:name="_Toc523651278"/>
      <w:r>
        <w:t>How will our plan deliver great customer service – the key questions and answers?</w:t>
      </w:r>
      <w:bookmarkEnd w:id="113"/>
      <w:bookmarkEnd w:id="114"/>
      <w:bookmarkEnd w:id="115"/>
    </w:p>
    <w:p w:rsidR="00BE2349" w:rsidRDefault="00BE2349" w:rsidP="00BE2349">
      <w:pPr>
        <w:jc w:val="center"/>
        <w:rPr>
          <w:rFonts w:cs="Arial"/>
          <w:b/>
        </w:rPr>
      </w:pPr>
      <w:r>
        <w:rPr>
          <w:rFonts w:cs="Arial"/>
          <w:b/>
        </w:rPr>
        <w:t>Summary Table</w:t>
      </w:r>
    </w:p>
    <w:tbl>
      <w:tblPr>
        <w:tblStyle w:val="TableGrid"/>
        <w:tblW w:w="0" w:type="auto"/>
        <w:tblInd w:w="851" w:type="dxa"/>
        <w:tblLook w:val="04A0" w:firstRow="1" w:lastRow="0" w:firstColumn="1" w:lastColumn="0" w:noHBand="0" w:noVBand="1"/>
      </w:tblPr>
      <w:tblGrid>
        <w:gridCol w:w="3680"/>
        <w:gridCol w:w="5097"/>
      </w:tblGrid>
      <w:tr w:rsidR="00E61AF6" w:rsidTr="00E61AF6">
        <w:tc>
          <w:tcPr>
            <w:tcW w:w="3680" w:type="dxa"/>
          </w:tcPr>
          <w:p w:rsidR="00E61AF6" w:rsidRPr="00B44ED5" w:rsidRDefault="00E61AF6" w:rsidP="002848C1">
            <w:pPr>
              <w:tabs>
                <w:tab w:val="clear" w:pos="851"/>
              </w:tabs>
              <w:spacing w:after="0"/>
              <w:ind w:left="0"/>
              <w:jc w:val="left"/>
              <w:rPr>
                <w:rFonts w:cs="Arial"/>
                <w:sz w:val="16"/>
                <w:szCs w:val="16"/>
              </w:rPr>
            </w:pPr>
            <w:r w:rsidRPr="00B44ED5">
              <w:rPr>
                <w:rFonts w:cs="Arial"/>
                <w:sz w:val="16"/>
                <w:szCs w:val="16"/>
              </w:rPr>
              <w:t xml:space="preserve">How Performance </w:t>
            </w:r>
            <w:r w:rsidR="002848C1">
              <w:rPr>
                <w:rFonts w:cs="Arial"/>
                <w:sz w:val="16"/>
                <w:szCs w:val="16"/>
              </w:rPr>
              <w:t>C</w:t>
            </w:r>
            <w:r w:rsidRPr="00B44ED5">
              <w:rPr>
                <w:rFonts w:cs="Arial"/>
                <w:sz w:val="16"/>
                <w:szCs w:val="16"/>
              </w:rPr>
              <w:t>ommitments reflect customer priorities?</w:t>
            </w:r>
          </w:p>
        </w:tc>
        <w:tc>
          <w:tcPr>
            <w:tcW w:w="5097" w:type="dxa"/>
          </w:tcPr>
          <w:p w:rsidR="00E61AF6" w:rsidRPr="00B44ED5" w:rsidRDefault="00E61AF6" w:rsidP="00495BAA">
            <w:pPr>
              <w:tabs>
                <w:tab w:val="clear" w:pos="851"/>
              </w:tabs>
              <w:spacing w:after="0"/>
              <w:ind w:left="0"/>
              <w:jc w:val="left"/>
              <w:rPr>
                <w:rFonts w:cs="Arial"/>
                <w:sz w:val="16"/>
                <w:szCs w:val="16"/>
              </w:rPr>
            </w:pPr>
            <w:r w:rsidRPr="00B44ED5">
              <w:rPr>
                <w:rFonts w:cs="Arial"/>
                <w:sz w:val="16"/>
                <w:szCs w:val="16"/>
              </w:rPr>
              <w:t xml:space="preserve">Our customers have determined our </w:t>
            </w:r>
            <w:r w:rsidR="00495BAA">
              <w:rPr>
                <w:rFonts w:cs="Arial"/>
                <w:sz w:val="16"/>
                <w:szCs w:val="16"/>
              </w:rPr>
              <w:t>O</w:t>
            </w:r>
            <w:r w:rsidRPr="00B44ED5">
              <w:rPr>
                <w:rFonts w:cs="Arial"/>
                <w:sz w:val="16"/>
                <w:szCs w:val="16"/>
              </w:rPr>
              <w:t xml:space="preserve">utcomes and told us what they consider to be stretching </w:t>
            </w:r>
            <w:r w:rsidR="002848C1">
              <w:rPr>
                <w:rFonts w:cs="Arial"/>
                <w:sz w:val="16"/>
                <w:szCs w:val="16"/>
              </w:rPr>
              <w:t>P</w:t>
            </w:r>
            <w:r w:rsidRPr="00B44ED5">
              <w:rPr>
                <w:rFonts w:cs="Arial"/>
                <w:sz w:val="16"/>
                <w:szCs w:val="16"/>
              </w:rPr>
              <w:t xml:space="preserve">erformance </w:t>
            </w:r>
            <w:r w:rsidR="002848C1">
              <w:rPr>
                <w:rFonts w:cs="Arial"/>
                <w:sz w:val="16"/>
                <w:szCs w:val="16"/>
              </w:rPr>
              <w:t>C</w:t>
            </w:r>
            <w:r w:rsidRPr="00B44ED5">
              <w:rPr>
                <w:rFonts w:cs="Arial"/>
                <w:sz w:val="16"/>
                <w:szCs w:val="16"/>
              </w:rPr>
              <w:t>ommitments.</w:t>
            </w:r>
          </w:p>
        </w:tc>
      </w:tr>
      <w:tr w:rsidR="00E61AF6" w:rsidTr="00E61AF6">
        <w:tc>
          <w:tcPr>
            <w:tcW w:w="3680" w:type="dxa"/>
          </w:tcPr>
          <w:p w:rsidR="00E61AF6" w:rsidRPr="00B44ED5" w:rsidRDefault="00E61AF6" w:rsidP="00E61AF6">
            <w:pPr>
              <w:tabs>
                <w:tab w:val="clear" w:pos="851"/>
              </w:tabs>
              <w:spacing w:after="0"/>
              <w:ind w:left="0"/>
              <w:rPr>
                <w:rFonts w:cs="Arial"/>
                <w:sz w:val="16"/>
                <w:szCs w:val="16"/>
              </w:rPr>
            </w:pPr>
            <w:r w:rsidRPr="00B44ED5">
              <w:rPr>
                <w:rFonts w:cs="Arial"/>
                <w:sz w:val="16"/>
                <w:szCs w:val="16"/>
              </w:rPr>
              <w:t>How does our service compare within the water industry and in relation to other sectors?</w:t>
            </w:r>
          </w:p>
        </w:tc>
        <w:tc>
          <w:tcPr>
            <w:tcW w:w="5097"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We are one of only 3 water companies that has achieved the ServiceMark with the Institute of Customer Service.  The Institute’s UKCSI, within which Portsmouth Water scores highly, is a well-respected measure of service across a wide range of organisations.  1</w:t>
            </w:r>
            <w:r w:rsidRPr="00B44ED5">
              <w:rPr>
                <w:rFonts w:cs="Arial"/>
                <w:sz w:val="16"/>
                <w:szCs w:val="16"/>
                <w:vertAlign w:val="superscript"/>
              </w:rPr>
              <w:t>st</w:t>
            </w:r>
            <w:r w:rsidRPr="00B44ED5">
              <w:rPr>
                <w:rFonts w:cs="Arial"/>
                <w:sz w:val="16"/>
                <w:szCs w:val="16"/>
              </w:rPr>
              <w:t xml:space="preserve"> in SIM in 2015/16 and 2016/17</w:t>
            </w:r>
            <w:r w:rsidR="007F6FD3">
              <w:rPr>
                <w:rFonts w:cs="Arial"/>
                <w:sz w:val="16"/>
                <w:szCs w:val="16"/>
              </w:rPr>
              <w:t xml:space="preserve"> and 2</w:t>
            </w:r>
            <w:r w:rsidR="007F6FD3" w:rsidRPr="007F6FD3">
              <w:rPr>
                <w:rFonts w:cs="Arial"/>
                <w:sz w:val="16"/>
                <w:szCs w:val="16"/>
                <w:vertAlign w:val="superscript"/>
              </w:rPr>
              <w:t>nd</w:t>
            </w:r>
            <w:r w:rsidR="007F6FD3">
              <w:rPr>
                <w:rFonts w:cs="Arial"/>
                <w:sz w:val="16"/>
                <w:szCs w:val="16"/>
              </w:rPr>
              <w:t xml:space="preserve"> in 2017/18</w:t>
            </w:r>
            <w:r w:rsidRPr="00B44ED5">
              <w:rPr>
                <w:rFonts w:cs="Arial"/>
                <w:sz w:val="16"/>
                <w:szCs w:val="16"/>
              </w:rPr>
              <w:t>.</w:t>
            </w:r>
          </w:p>
        </w:tc>
      </w:tr>
      <w:tr w:rsidR="00E61AF6" w:rsidTr="00E61AF6">
        <w:tc>
          <w:tcPr>
            <w:tcW w:w="3680"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How well do we help those at times of vulnerability?</w:t>
            </w:r>
          </w:p>
        </w:tc>
        <w:tc>
          <w:tcPr>
            <w:tcW w:w="5097" w:type="dxa"/>
          </w:tcPr>
          <w:p w:rsidR="00E61AF6" w:rsidRPr="00B44ED5" w:rsidRDefault="00E61AF6" w:rsidP="007F6FD3">
            <w:pPr>
              <w:tabs>
                <w:tab w:val="clear" w:pos="851"/>
              </w:tabs>
              <w:spacing w:after="0"/>
              <w:ind w:left="0"/>
              <w:jc w:val="left"/>
              <w:rPr>
                <w:rFonts w:cs="Arial"/>
                <w:sz w:val="16"/>
                <w:szCs w:val="16"/>
              </w:rPr>
            </w:pPr>
            <w:r w:rsidRPr="00B44ED5">
              <w:rPr>
                <w:rFonts w:cs="Arial"/>
                <w:sz w:val="16"/>
                <w:szCs w:val="16"/>
              </w:rPr>
              <w:t xml:space="preserve">We have a dedicated resource and are seeking to constantly develop ways to better support customers and </w:t>
            </w:r>
            <w:r w:rsidR="007F6FD3">
              <w:rPr>
                <w:rFonts w:cs="Arial"/>
                <w:sz w:val="16"/>
                <w:szCs w:val="16"/>
              </w:rPr>
              <w:t xml:space="preserve">develop </w:t>
            </w:r>
            <w:r w:rsidRPr="00B44ED5">
              <w:rPr>
                <w:rFonts w:cs="Arial"/>
                <w:sz w:val="16"/>
                <w:szCs w:val="16"/>
              </w:rPr>
              <w:t xml:space="preserve">our relationships with support agencies and other utility companies. </w:t>
            </w:r>
          </w:p>
        </w:tc>
      </w:tr>
      <w:tr w:rsidR="00E61AF6" w:rsidTr="00E61AF6">
        <w:tc>
          <w:tcPr>
            <w:tcW w:w="3680"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How do we serve Developers?</w:t>
            </w:r>
          </w:p>
        </w:tc>
        <w:tc>
          <w:tcPr>
            <w:tcW w:w="5097"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 xml:space="preserve">An annual developers’ survey has </w:t>
            </w:r>
            <w:r w:rsidR="00A67852">
              <w:rPr>
                <w:rFonts w:cs="Arial"/>
                <w:sz w:val="16"/>
                <w:szCs w:val="16"/>
              </w:rPr>
              <w:t xml:space="preserve">been </w:t>
            </w:r>
            <w:r w:rsidRPr="00B44ED5">
              <w:rPr>
                <w:rFonts w:cs="Arial"/>
                <w:sz w:val="16"/>
                <w:szCs w:val="16"/>
              </w:rPr>
              <w:t xml:space="preserve">conducted throughout this AMP, along with </w:t>
            </w:r>
            <w:r w:rsidR="00495BAA">
              <w:rPr>
                <w:rFonts w:cs="Arial"/>
                <w:sz w:val="16"/>
                <w:szCs w:val="16"/>
              </w:rPr>
              <w:t>‘</w:t>
            </w:r>
            <w:r w:rsidRPr="00B44ED5">
              <w:rPr>
                <w:rFonts w:cs="Arial"/>
                <w:sz w:val="16"/>
                <w:szCs w:val="16"/>
              </w:rPr>
              <w:t>developer days</w:t>
            </w:r>
            <w:r w:rsidR="00495BAA">
              <w:rPr>
                <w:rFonts w:cs="Arial"/>
                <w:sz w:val="16"/>
                <w:szCs w:val="16"/>
              </w:rPr>
              <w:t>’</w:t>
            </w:r>
            <w:r w:rsidRPr="00B44ED5">
              <w:rPr>
                <w:rFonts w:cs="Arial"/>
                <w:sz w:val="16"/>
                <w:szCs w:val="16"/>
              </w:rPr>
              <w:t>.  Our surveys have confirmed high levels of satisfaction and an appreciation of a flexible service with known points of contact.</w:t>
            </w:r>
          </w:p>
        </w:tc>
      </w:tr>
      <w:tr w:rsidR="00E61AF6" w:rsidTr="00E61AF6">
        <w:tc>
          <w:tcPr>
            <w:tcW w:w="3680"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How are service levels built on customer feedback?</w:t>
            </w:r>
          </w:p>
        </w:tc>
        <w:tc>
          <w:tcPr>
            <w:tcW w:w="5097"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Our high levels of performance in UKCSI and SIM are a direct result of a culture that listens to customers, using their feedback to drive continuous improvement.</w:t>
            </w:r>
          </w:p>
        </w:tc>
      </w:tr>
      <w:tr w:rsidR="00E61AF6" w:rsidTr="00E61AF6">
        <w:tc>
          <w:tcPr>
            <w:tcW w:w="3680"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How do we drive a customer service culture now and in the future?</w:t>
            </w:r>
          </w:p>
        </w:tc>
        <w:tc>
          <w:tcPr>
            <w:tcW w:w="5097"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Our culture is built on developing and exhibiting the right behaviours.  We have a motivated workforce that are proud to work for Portsmouth Water and the part it plays in the community.</w:t>
            </w:r>
          </w:p>
        </w:tc>
      </w:tr>
      <w:tr w:rsidR="00E61AF6" w:rsidTr="00E61AF6">
        <w:tc>
          <w:tcPr>
            <w:tcW w:w="3680"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How do we innovate?</w:t>
            </w:r>
          </w:p>
        </w:tc>
        <w:tc>
          <w:tcPr>
            <w:tcW w:w="5097" w:type="dxa"/>
          </w:tcPr>
          <w:p w:rsidR="00E61AF6" w:rsidRPr="00B44ED5" w:rsidRDefault="00E61AF6" w:rsidP="00E61AF6">
            <w:pPr>
              <w:tabs>
                <w:tab w:val="clear" w:pos="851"/>
              </w:tabs>
              <w:spacing w:after="0"/>
              <w:ind w:left="0"/>
              <w:jc w:val="left"/>
              <w:rPr>
                <w:rFonts w:cs="Arial"/>
                <w:sz w:val="16"/>
                <w:szCs w:val="16"/>
              </w:rPr>
            </w:pPr>
            <w:r w:rsidRPr="00B44ED5">
              <w:rPr>
                <w:rFonts w:cs="Arial"/>
                <w:sz w:val="16"/>
                <w:szCs w:val="16"/>
              </w:rPr>
              <w:t xml:space="preserve">From the </w:t>
            </w:r>
            <w:r w:rsidR="00495BAA">
              <w:rPr>
                <w:rFonts w:cs="Arial"/>
                <w:sz w:val="16"/>
                <w:szCs w:val="16"/>
              </w:rPr>
              <w:t>‘</w:t>
            </w:r>
            <w:r w:rsidRPr="00B44ED5">
              <w:rPr>
                <w:rFonts w:cs="Arial"/>
                <w:sz w:val="16"/>
                <w:szCs w:val="16"/>
              </w:rPr>
              <w:t>Suggestions Tree</w:t>
            </w:r>
            <w:r w:rsidR="00495BAA">
              <w:rPr>
                <w:rFonts w:cs="Arial"/>
                <w:sz w:val="16"/>
                <w:szCs w:val="16"/>
              </w:rPr>
              <w:t>’</w:t>
            </w:r>
            <w:r w:rsidRPr="00B44ED5">
              <w:rPr>
                <w:rFonts w:cs="Arial"/>
                <w:sz w:val="16"/>
                <w:szCs w:val="16"/>
              </w:rPr>
              <w:t xml:space="preserve"> in our Customer Services Department, through to large project management via our Business Improvement Group (BIG) we have an ethos that constantly strives to identify and deliver improvements in service and efficiency.  Our service levels and underlying resilience are not a ‘happy accident’.</w:t>
            </w:r>
          </w:p>
        </w:tc>
      </w:tr>
    </w:tbl>
    <w:p w:rsidR="00E61AF6" w:rsidRDefault="00E61AF6" w:rsidP="00615934">
      <w:pPr>
        <w:spacing w:after="0"/>
        <w:rPr>
          <w:rFonts w:cs="Arial"/>
          <w:b/>
        </w:rPr>
      </w:pPr>
    </w:p>
    <w:p w:rsidR="00BE2349" w:rsidRDefault="00BE2349" w:rsidP="00BE2349">
      <w:pPr>
        <w:rPr>
          <w:rFonts w:cs="Arial"/>
          <w:b/>
        </w:rPr>
      </w:pPr>
      <w:r w:rsidRPr="008F1C27">
        <w:rPr>
          <w:rFonts w:cs="Arial"/>
          <w:b/>
          <w:u w:val="single"/>
        </w:rPr>
        <w:t>How does our service compare within the water industry and in relation to other sectors?</w:t>
      </w:r>
      <w:r w:rsidRPr="008F1C27">
        <w:rPr>
          <w:rFonts w:cs="Arial"/>
          <w:b/>
        </w:rPr>
        <w:t xml:space="preserve">  </w:t>
      </w:r>
    </w:p>
    <w:p w:rsidR="00BE2349" w:rsidRDefault="00BE2349" w:rsidP="00BE2349">
      <w:pPr>
        <w:rPr>
          <w:rFonts w:cs="Arial"/>
        </w:rPr>
      </w:pPr>
      <w:r w:rsidRPr="000E5C2D">
        <w:rPr>
          <w:rFonts w:cs="Arial"/>
        </w:rPr>
        <w:t>We joined the Institute of Customer Service in 2015 so that w</w:t>
      </w:r>
      <w:r>
        <w:rPr>
          <w:rFonts w:cs="Arial"/>
        </w:rPr>
        <w:t>e would have a recognised and respected service benchmark</w:t>
      </w:r>
      <w:r w:rsidRPr="000E5C2D">
        <w:rPr>
          <w:rFonts w:cs="Arial"/>
        </w:rPr>
        <w:t xml:space="preserve"> that was wider than an industry comparison</w:t>
      </w:r>
      <w:r>
        <w:rPr>
          <w:rFonts w:cs="Arial"/>
        </w:rPr>
        <w:t>.  This</w:t>
      </w:r>
      <w:r w:rsidRPr="000E5C2D">
        <w:rPr>
          <w:rFonts w:cs="Arial"/>
        </w:rPr>
        <w:t xml:space="preserve"> ensure</w:t>
      </w:r>
      <w:r>
        <w:rPr>
          <w:rFonts w:cs="Arial"/>
        </w:rPr>
        <w:t>s</w:t>
      </w:r>
      <w:r w:rsidRPr="000E5C2D">
        <w:rPr>
          <w:rFonts w:cs="Arial"/>
        </w:rPr>
        <w:t xml:space="preserve"> that we set our ambition against the best businesses in the country, without l</w:t>
      </w:r>
      <w:r>
        <w:rPr>
          <w:rFonts w:cs="Arial"/>
        </w:rPr>
        <w:t>imiting ourselves to a water</w:t>
      </w:r>
      <w:r w:rsidRPr="000E5C2D">
        <w:rPr>
          <w:rFonts w:cs="Arial"/>
        </w:rPr>
        <w:t xml:space="preserve"> or utility comparator.  </w:t>
      </w:r>
    </w:p>
    <w:p w:rsidR="00BE2349" w:rsidRPr="000E5C2D" w:rsidRDefault="00BE2349" w:rsidP="00BE2349">
      <w:pPr>
        <w:rPr>
          <w:rFonts w:cs="Arial"/>
        </w:rPr>
      </w:pPr>
      <w:r>
        <w:rPr>
          <w:rFonts w:cs="Arial"/>
        </w:rPr>
        <w:t xml:space="preserve">Joining the </w:t>
      </w:r>
      <w:r w:rsidR="00495BAA">
        <w:rPr>
          <w:rFonts w:cs="Arial"/>
        </w:rPr>
        <w:t>I</w:t>
      </w:r>
      <w:r>
        <w:rPr>
          <w:rFonts w:cs="Arial"/>
        </w:rPr>
        <w:t xml:space="preserve">nstitute not only gave us access to their comparative survey’s, but also networking opportunities and access to an Account Manager to help us develop and deliver innovative improvement plans.  </w:t>
      </w:r>
      <w:r w:rsidRPr="000E5C2D">
        <w:rPr>
          <w:rFonts w:cs="Arial"/>
        </w:rPr>
        <w:t xml:space="preserve">In </w:t>
      </w:r>
      <w:r w:rsidRPr="004D466E">
        <w:rPr>
          <w:rFonts w:cs="Arial"/>
        </w:rPr>
        <w:t>April</w:t>
      </w:r>
      <w:r w:rsidRPr="000E5C2D">
        <w:rPr>
          <w:rFonts w:cs="Arial"/>
        </w:rPr>
        <w:t xml:space="preserve"> </w:t>
      </w:r>
      <w:r w:rsidR="00531B8B" w:rsidRPr="000E5C2D">
        <w:rPr>
          <w:rFonts w:cs="Arial"/>
        </w:rPr>
        <w:t>2018,</w:t>
      </w:r>
      <w:r w:rsidRPr="000E5C2D">
        <w:rPr>
          <w:rFonts w:cs="Arial"/>
        </w:rPr>
        <w:t xml:space="preserve"> we were awarded the ServiceMark from the Institute of Customer Service.</w:t>
      </w:r>
      <w:r>
        <w:rPr>
          <w:rFonts w:cs="Arial"/>
        </w:rPr>
        <w:t xml:space="preserve"> To obtain this you need to achieve high levels in customer and staff surveys, and pass an independent assessment of the service culture within the organisation.</w:t>
      </w:r>
    </w:p>
    <w:p w:rsidR="00BE2349" w:rsidRDefault="00BE2349" w:rsidP="00BE2349">
      <w:pPr>
        <w:rPr>
          <w:rFonts w:cs="Arial"/>
        </w:rPr>
      </w:pPr>
      <w:r w:rsidRPr="00FD46AD">
        <w:rPr>
          <w:rFonts w:cs="Arial"/>
        </w:rPr>
        <w:t xml:space="preserve">We are </w:t>
      </w:r>
      <w:r>
        <w:rPr>
          <w:rFonts w:cs="Arial"/>
        </w:rPr>
        <w:t xml:space="preserve">proud of our results to date, having outperformed all utilities, with the exception of OVO energy.  Outside of the Utility </w:t>
      </w:r>
      <w:r w:rsidR="00D87981">
        <w:rPr>
          <w:rFonts w:cs="Arial"/>
        </w:rPr>
        <w:t>sector,</w:t>
      </w:r>
      <w:r>
        <w:rPr>
          <w:rFonts w:cs="Arial"/>
        </w:rPr>
        <w:t xml:space="preserve"> our score stands up well with a wider comparison, our 81.1 not being far behind the UKCSI leading company Amazon, which has a score of 86.6.  Membership drives continuous improvement, with comparative data and customer insight driving priorities for business change. We are now targeting </w:t>
      </w:r>
      <w:r w:rsidR="00495BAA">
        <w:rPr>
          <w:rFonts w:cs="Arial"/>
        </w:rPr>
        <w:t>‘</w:t>
      </w:r>
      <w:r>
        <w:rPr>
          <w:rFonts w:cs="Arial"/>
        </w:rPr>
        <w:t>distinction</w:t>
      </w:r>
      <w:r w:rsidR="00495BAA">
        <w:rPr>
          <w:rFonts w:cs="Arial"/>
        </w:rPr>
        <w:t>’</w:t>
      </w:r>
      <w:r>
        <w:rPr>
          <w:rFonts w:cs="Arial"/>
        </w:rPr>
        <w:t xml:space="preserve"> with the Institute, which requires a score of over 85.</w:t>
      </w:r>
    </w:p>
    <w:p w:rsidR="00BE2349" w:rsidRDefault="00BE2349" w:rsidP="00BE2349">
      <w:pPr>
        <w:rPr>
          <w:rFonts w:cs="Arial"/>
        </w:rPr>
      </w:pPr>
      <w:r>
        <w:rPr>
          <w:noProof/>
        </w:rPr>
        <w:drawing>
          <wp:inline distT="0" distB="0" distL="0" distR="0" wp14:anchorId="1051CE37" wp14:editId="2D60D638">
            <wp:extent cx="1704277" cy="881063"/>
            <wp:effectExtent l="0" t="0" r="0" b="0"/>
            <wp:docPr id="19" name="Picture 19" descr="C:\Users\PAB\AppData\Local\Microsoft\Windows\INetCache\Content.Word\ICS_SM_Apr18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AppData\Local\Microsoft\Windows\INetCache\Content.Word\ICS_SM_Apr18_cmy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2296" cy="931736"/>
                    </a:xfrm>
                    <a:prstGeom prst="rect">
                      <a:avLst/>
                    </a:prstGeom>
                    <a:noFill/>
                    <a:ln>
                      <a:noFill/>
                    </a:ln>
                  </pic:spPr>
                </pic:pic>
              </a:graphicData>
            </a:graphic>
          </wp:inline>
        </w:drawing>
      </w:r>
    </w:p>
    <w:p w:rsidR="00E87CB8" w:rsidRDefault="00E87CB8" w:rsidP="00BE2349">
      <w:pPr>
        <w:rPr>
          <w:rFonts w:cs="Arial"/>
        </w:rPr>
      </w:pPr>
    </w:p>
    <w:p w:rsidR="00BE2349" w:rsidRDefault="00E87CB8" w:rsidP="00E87CB8">
      <w:pPr>
        <w:jc w:val="center"/>
        <w:rPr>
          <w:rFonts w:cs="Arial"/>
        </w:rPr>
      </w:pPr>
      <w:r>
        <w:rPr>
          <w:noProof/>
        </w:rPr>
        <w:drawing>
          <wp:inline distT="0" distB="0" distL="0" distR="0" wp14:anchorId="4C0D83FF" wp14:editId="000551FC">
            <wp:extent cx="3912973" cy="4324865"/>
            <wp:effectExtent l="0" t="0" r="1143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B3495" w:rsidRDefault="00BE2349" w:rsidP="00BE2349">
      <w:pPr>
        <w:rPr>
          <w:rFonts w:cs="Arial"/>
        </w:rPr>
      </w:pPr>
      <w:r w:rsidRPr="004B0399">
        <w:rPr>
          <w:rFonts w:cs="Arial"/>
        </w:rPr>
        <w:t>Institute of Customer Service – 2017 UKCSI Scores</w:t>
      </w:r>
      <w:r w:rsidR="008B3495">
        <w:rPr>
          <w:rFonts w:cs="Arial"/>
        </w:rPr>
        <w:t>.</w:t>
      </w:r>
    </w:p>
    <w:p w:rsidR="008B3495" w:rsidRDefault="008B3495">
      <w:pPr>
        <w:tabs>
          <w:tab w:val="clear" w:pos="851"/>
        </w:tabs>
        <w:spacing w:after="0"/>
        <w:ind w:left="0"/>
        <w:jc w:val="left"/>
        <w:rPr>
          <w:rFonts w:cs="Arial"/>
        </w:rPr>
      </w:pPr>
      <w:r>
        <w:rPr>
          <w:rFonts w:cs="Arial"/>
        </w:rPr>
        <w:br w:type="page"/>
      </w:r>
    </w:p>
    <w:p w:rsidR="00BE2349" w:rsidRDefault="00BE2349" w:rsidP="00BE2349">
      <w:pPr>
        <w:rPr>
          <w:rFonts w:cs="Arial"/>
        </w:rPr>
      </w:pPr>
      <w:r>
        <w:rPr>
          <w:rFonts w:cs="Arial"/>
        </w:rPr>
        <w:t>The chart below maps movement in the UKCSI score. This illustrates Portsmouth Water’s strong performance when compared to memb</w:t>
      </w:r>
      <w:r w:rsidR="00D87981">
        <w:rPr>
          <w:rFonts w:cs="Arial"/>
        </w:rPr>
        <w:t xml:space="preserve">ers of the Institute as a whole, </w:t>
      </w:r>
      <w:r>
        <w:rPr>
          <w:rFonts w:cs="Arial"/>
        </w:rPr>
        <w:t>and other utility companies.</w:t>
      </w:r>
    </w:p>
    <w:p w:rsidR="00BE2349" w:rsidRPr="00EE4A9F" w:rsidRDefault="00E87CB8" w:rsidP="00BE2349">
      <w:pPr>
        <w:rPr>
          <w:rFonts w:cs="Arial"/>
        </w:rPr>
      </w:pPr>
      <w:r>
        <w:rPr>
          <w:noProof/>
        </w:rPr>
        <w:drawing>
          <wp:inline distT="0" distB="0" distL="0" distR="0" wp14:anchorId="60CB939E" wp14:editId="2613ABCA">
            <wp:extent cx="5181600" cy="3212757"/>
            <wp:effectExtent l="0" t="0" r="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E2349" w:rsidRDefault="00BE2349" w:rsidP="00BE2349">
      <w:pPr>
        <w:rPr>
          <w:rFonts w:cs="Arial"/>
        </w:rPr>
      </w:pPr>
      <w:r w:rsidRPr="00455C79">
        <w:rPr>
          <w:rFonts w:cs="Arial"/>
        </w:rPr>
        <w:t xml:space="preserve">Within </w:t>
      </w:r>
      <w:r>
        <w:rPr>
          <w:rFonts w:cs="Arial"/>
        </w:rPr>
        <w:t xml:space="preserve">the water </w:t>
      </w:r>
      <w:r w:rsidR="00D87981">
        <w:rPr>
          <w:rFonts w:cs="Arial"/>
        </w:rPr>
        <w:t>sector,</w:t>
      </w:r>
      <w:r>
        <w:rPr>
          <w:rFonts w:cs="Arial"/>
        </w:rPr>
        <w:t xml:space="preserve"> our SIM scores have met our top quartile aspiration as </w:t>
      </w:r>
      <w:r w:rsidR="00531B8B">
        <w:rPr>
          <w:rFonts w:cs="Arial"/>
        </w:rPr>
        <w:t>can be seen in the table below:</w:t>
      </w:r>
    </w:p>
    <w:p w:rsidR="00BE2349" w:rsidRPr="00EE4A9F" w:rsidRDefault="00BE2349" w:rsidP="00BE2349">
      <w:pPr>
        <w:rPr>
          <w:rFonts w:cs="Arial"/>
          <w:b/>
        </w:rPr>
      </w:pPr>
      <w:r w:rsidRPr="00EE4A9F">
        <w:rPr>
          <w:rFonts w:cs="Arial"/>
          <w:b/>
        </w:rPr>
        <w:t>SIM Overall Results</w:t>
      </w:r>
    </w:p>
    <w:tbl>
      <w:tblPr>
        <w:tblStyle w:val="TableGrid11"/>
        <w:tblW w:w="0" w:type="auto"/>
        <w:jc w:val="center"/>
        <w:tblLook w:val="04A0" w:firstRow="1" w:lastRow="0" w:firstColumn="1" w:lastColumn="0" w:noHBand="0" w:noVBand="1"/>
      </w:tblPr>
      <w:tblGrid>
        <w:gridCol w:w="1980"/>
        <w:gridCol w:w="2410"/>
        <w:gridCol w:w="2693"/>
      </w:tblGrid>
      <w:tr w:rsidR="00BE2349" w:rsidRPr="00615934" w:rsidTr="00D8589D">
        <w:trPr>
          <w:jc w:val="center"/>
        </w:trPr>
        <w:tc>
          <w:tcPr>
            <w:tcW w:w="1980" w:type="dxa"/>
            <w:shd w:val="clear" w:color="auto" w:fill="2E74B5" w:themeFill="accent1" w:themeFillShade="BF"/>
          </w:tcPr>
          <w:p w:rsidR="00BE2349" w:rsidRPr="00615934" w:rsidRDefault="00BE2349" w:rsidP="00D87981">
            <w:pPr>
              <w:tabs>
                <w:tab w:val="clear" w:pos="851"/>
              </w:tabs>
              <w:spacing w:after="0"/>
              <w:ind w:left="0"/>
              <w:jc w:val="center"/>
              <w:rPr>
                <w:rFonts w:cs="Arial"/>
                <w:b/>
                <w:color w:val="FFFFFF" w:themeColor="background1"/>
                <w:sz w:val="16"/>
                <w:szCs w:val="16"/>
              </w:rPr>
            </w:pPr>
            <w:r w:rsidRPr="00615934">
              <w:rPr>
                <w:rFonts w:cs="Arial"/>
                <w:b/>
                <w:color w:val="FFFFFF" w:themeColor="background1"/>
                <w:sz w:val="16"/>
                <w:szCs w:val="16"/>
              </w:rPr>
              <w:t>Year</w:t>
            </w:r>
          </w:p>
        </w:tc>
        <w:tc>
          <w:tcPr>
            <w:tcW w:w="2410" w:type="dxa"/>
            <w:shd w:val="clear" w:color="auto" w:fill="2E74B5" w:themeFill="accent1" w:themeFillShade="BF"/>
          </w:tcPr>
          <w:p w:rsidR="00BE2349" w:rsidRPr="00615934" w:rsidRDefault="00BE2349" w:rsidP="00D87981">
            <w:pPr>
              <w:tabs>
                <w:tab w:val="clear" w:pos="851"/>
              </w:tabs>
              <w:spacing w:after="0"/>
              <w:ind w:left="0"/>
              <w:jc w:val="center"/>
              <w:rPr>
                <w:rFonts w:cs="Arial"/>
                <w:b/>
                <w:color w:val="FFFFFF" w:themeColor="background1"/>
                <w:sz w:val="16"/>
                <w:szCs w:val="16"/>
              </w:rPr>
            </w:pPr>
            <w:r w:rsidRPr="00615934">
              <w:rPr>
                <w:rFonts w:cs="Arial"/>
                <w:b/>
                <w:color w:val="FFFFFF" w:themeColor="background1"/>
                <w:sz w:val="16"/>
                <w:szCs w:val="16"/>
              </w:rPr>
              <w:t>Score</w:t>
            </w:r>
          </w:p>
        </w:tc>
        <w:tc>
          <w:tcPr>
            <w:tcW w:w="2693" w:type="dxa"/>
            <w:shd w:val="clear" w:color="auto" w:fill="2E74B5" w:themeFill="accent1" w:themeFillShade="BF"/>
          </w:tcPr>
          <w:p w:rsidR="00BE2349" w:rsidRPr="00615934" w:rsidRDefault="00BE2349" w:rsidP="00D87981">
            <w:pPr>
              <w:tabs>
                <w:tab w:val="clear" w:pos="851"/>
              </w:tabs>
              <w:spacing w:after="0"/>
              <w:ind w:left="0"/>
              <w:jc w:val="center"/>
              <w:rPr>
                <w:rFonts w:cs="Arial"/>
                <w:b/>
                <w:color w:val="FFFFFF" w:themeColor="background1"/>
                <w:sz w:val="16"/>
                <w:szCs w:val="16"/>
              </w:rPr>
            </w:pPr>
            <w:r w:rsidRPr="00615934">
              <w:rPr>
                <w:rFonts w:cs="Arial"/>
                <w:b/>
                <w:color w:val="FFFFFF" w:themeColor="background1"/>
                <w:sz w:val="16"/>
                <w:szCs w:val="16"/>
              </w:rPr>
              <w:t>Position in industry</w:t>
            </w:r>
          </w:p>
        </w:tc>
      </w:tr>
      <w:tr w:rsidR="00BE2349" w:rsidRPr="00615934" w:rsidTr="00BE2349">
        <w:trPr>
          <w:jc w:val="center"/>
        </w:trPr>
        <w:tc>
          <w:tcPr>
            <w:tcW w:w="1980" w:type="dxa"/>
          </w:tcPr>
          <w:p w:rsidR="00BE2349" w:rsidRPr="00615934" w:rsidRDefault="00BE2349" w:rsidP="00D87981">
            <w:pPr>
              <w:tabs>
                <w:tab w:val="clear" w:pos="851"/>
              </w:tabs>
              <w:spacing w:after="0"/>
              <w:ind w:left="0"/>
              <w:jc w:val="center"/>
              <w:rPr>
                <w:rFonts w:cs="Arial"/>
                <w:sz w:val="16"/>
                <w:szCs w:val="16"/>
              </w:rPr>
            </w:pPr>
            <w:r w:rsidRPr="00615934">
              <w:rPr>
                <w:rFonts w:cs="Arial"/>
                <w:sz w:val="16"/>
                <w:szCs w:val="16"/>
              </w:rPr>
              <w:t>2015-16</w:t>
            </w:r>
          </w:p>
        </w:tc>
        <w:tc>
          <w:tcPr>
            <w:tcW w:w="2410" w:type="dxa"/>
          </w:tcPr>
          <w:p w:rsidR="00BE2349" w:rsidRPr="00615934" w:rsidRDefault="00BE2349" w:rsidP="00D87981">
            <w:pPr>
              <w:tabs>
                <w:tab w:val="clear" w:pos="851"/>
              </w:tabs>
              <w:spacing w:after="0"/>
              <w:ind w:left="0"/>
              <w:jc w:val="center"/>
              <w:rPr>
                <w:rFonts w:cs="Arial"/>
                <w:sz w:val="16"/>
                <w:szCs w:val="16"/>
              </w:rPr>
            </w:pPr>
            <w:r w:rsidRPr="00615934">
              <w:rPr>
                <w:rFonts w:cs="Arial"/>
                <w:sz w:val="16"/>
                <w:szCs w:val="16"/>
              </w:rPr>
              <w:t>89.5</w:t>
            </w:r>
          </w:p>
        </w:tc>
        <w:tc>
          <w:tcPr>
            <w:tcW w:w="2693" w:type="dxa"/>
          </w:tcPr>
          <w:p w:rsidR="00BE2349" w:rsidRPr="00615934" w:rsidRDefault="00BE2349" w:rsidP="00D87981">
            <w:pPr>
              <w:tabs>
                <w:tab w:val="clear" w:pos="851"/>
              </w:tabs>
              <w:spacing w:after="0"/>
              <w:ind w:left="0"/>
              <w:jc w:val="center"/>
              <w:rPr>
                <w:rFonts w:cs="Arial"/>
                <w:sz w:val="16"/>
                <w:szCs w:val="16"/>
              </w:rPr>
            </w:pPr>
            <w:r w:rsidRPr="00615934">
              <w:rPr>
                <w:rFonts w:cs="Arial"/>
                <w:sz w:val="16"/>
                <w:szCs w:val="16"/>
              </w:rPr>
              <w:t>1st</w:t>
            </w:r>
          </w:p>
        </w:tc>
      </w:tr>
      <w:tr w:rsidR="00BE2349" w:rsidRPr="00615934" w:rsidTr="00BE2349">
        <w:trPr>
          <w:jc w:val="center"/>
        </w:trPr>
        <w:tc>
          <w:tcPr>
            <w:tcW w:w="1980" w:type="dxa"/>
          </w:tcPr>
          <w:p w:rsidR="00BE2349" w:rsidRPr="00615934" w:rsidRDefault="00BE2349" w:rsidP="00D87981">
            <w:pPr>
              <w:tabs>
                <w:tab w:val="clear" w:pos="851"/>
              </w:tabs>
              <w:spacing w:after="0"/>
              <w:ind w:left="0"/>
              <w:jc w:val="center"/>
              <w:rPr>
                <w:rFonts w:cs="Arial"/>
                <w:sz w:val="16"/>
                <w:szCs w:val="16"/>
              </w:rPr>
            </w:pPr>
            <w:r w:rsidRPr="00615934">
              <w:rPr>
                <w:rFonts w:cs="Arial"/>
                <w:sz w:val="16"/>
                <w:szCs w:val="16"/>
              </w:rPr>
              <w:t>2016-17</w:t>
            </w:r>
          </w:p>
        </w:tc>
        <w:tc>
          <w:tcPr>
            <w:tcW w:w="2410" w:type="dxa"/>
          </w:tcPr>
          <w:p w:rsidR="00BE2349" w:rsidRPr="00615934" w:rsidRDefault="009E1269" w:rsidP="00D87981">
            <w:pPr>
              <w:tabs>
                <w:tab w:val="clear" w:pos="851"/>
              </w:tabs>
              <w:spacing w:after="0"/>
              <w:ind w:left="0"/>
              <w:jc w:val="center"/>
              <w:rPr>
                <w:rFonts w:cs="Arial"/>
                <w:sz w:val="16"/>
                <w:szCs w:val="16"/>
              </w:rPr>
            </w:pPr>
            <w:r w:rsidRPr="00615934">
              <w:rPr>
                <w:rFonts w:cs="Arial"/>
                <w:sz w:val="16"/>
                <w:szCs w:val="16"/>
              </w:rPr>
              <w:t>87.7</w:t>
            </w:r>
          </w:p>
        </w:tc>
        <w:tc>
          <w:tcPr>
            <w:tcW w:w="2693" w:type="dxa"/>
          </w:tcPr>
          <w:p w:rsidR="00BE2349" w:rsidRPr="00615934" w:rsidRDefault="00BE2349" w:rsidP="00D87981">
            <w:pPr>
              <w:tabs>
                <w:tab w:val="clear" w:pos="851"/>
              </w:tabs>
              <w:spacing w:after="0"/>
              <w:ind w:left="0"/>
              <w:jc w:val="center"/>
              <w:rPr>
                <w:rFonts w:cs="Arial"/>
                <w:sz w:val="16"/>
                <w:szCs w:val="16"/>
              </w:rPr>
            </w:pPr>
            <w:r w:rsidRPr="00615934">
              <w:rPr>
                <w:rFonts w:cs="Arial"/>
                <w:sz w:val="16"/>
                <w:szCs w:val="16"/>
              </w:rPr>
              <w:t>1st</w:t>
            </w:r>
          </w:p>
        </w:tc>
      </w:tr>
      <w:tr w:rsidR="00BE2349" w:rsidRPr="00615934" w:rsidTr="00BE2349">
        <w:trPr>
          <w:jc w:val="center"/>
        </w:trPr>
        <w:tc>
          <w:tcPr>
            <w:tcW w:w="1980" w:type="dxa"/>
          </w:tcPr>
          <w:p w:rsidR="00BE2349" w:rsidRPr="00615934" w:rsidRDefault="00BE2349" w:rsidP="00D87981">
            <w:pPr>
              <w:tabs>
                <w:tab w:val="clear" w:pos="851"/>
              </w:tabs>
              <w:spacing w:after="0"/>
              <w:ind w:left="0"/>
              <w:jc w:val="center"/>
              <w:rPr>
                <w:rFonts w:cs="Arial"/>
                <w:sz w:val="16"/>
                <w:szCs w:val="16"/>
              </w:rPr>
            </w:pPr>
            <w:r w:rsidRPr="00615934">
              <w:rPr>
                <w:rFonts w:cs="Arial"/>
                <w:sz w:val="16"/>
                <w:szCs w:val="16"/>
              </w:rPr>
              <w:t>2017-18</w:t>
            </w:r>
          </w:p>
        </w:tc>
        <w:tc>
          <w:tcPr>
            <w:tcW w:w="2410" w:type="dxa"/>
          </w:tcPr>
          <w:p w:rsidR="00BE2349" w:rsidRPr="00615934" w:rsidRDefault="009E1269" w:rsidP="00D87981">
            <w:pPr>
              <w:tabs>
                <w:tab w:val="clear" w:pos="851"/>
              </w:tabs>
              <w:spacing w:after="0"/>
              <w:ind w:left="0"/>
              <w:jc w:val="center"/>
              <w:rPr>
                <w:rFonts w:cs="Arial"/>
                <w:sz w:val="16"/>
                <w:szCs w:val="16"/>
              </w:rPr>
            </w:pPr>
            <w:r w:rsidRPr="00615934">
              <w:rPr>
                <w:rFonts w:cs="Arial"/>
                <w:sz w:val="16"/>
                <w:szCs w:val="16"/>
              </w:rPr>
              <w:t>87.</w:t>
            </w:r>
            <w:r w:rsidR="00203ADB">
              <w:rPr>
                <w:rFonts w:cs="Arial"/>
                <w:sz w:val="16"/>
                <w:szCs w:val="16"/>
              </w:rPr>
              <w:t>9</w:t>
            </w:r>
          </w:p>
        </w:tc>
        <w:tc>
          <w:tcPr>
            <w:tcW w:w="2693" w:type="dxa"/>
          </w:tcPr>
          <w:p w:rsidR="00BE2349" w:rsidRPr="00615934" w:rsidRDefault="00645028" w:rsidP="00D87981">
            <w:pPr>
              <w:tabs>
                <w:tab w:val="clear" w:pos="851"/>
              </w:tabs>
              <w:spacing w:after="0"/>
              <w:ind w:left="0"/>
              <w:jc w:val="center"/>
              <w:rPr>
                <w:rFonts w:cs="Arial"/>
                <w:sz w:val="16"/>
                <w:szCs w:val="16"/>
              </w:rPr>
            </w:pPr>
            <w:r w:rsidRPr="00615934">
              <w:rPr>
                <w:rFonts w:cs="Arial"/>
                <w:sz w:val="16"/>
                <w:szCs w:val="16"/>
              </w:rPr>
              <w:t>2nd</w:t>
            </w:r>
          </w:p>
        </w:tc>
      </w:tr>
    </w:tbl>
    <w:p w:rsidR="00BE2349" w:rsidRDefault="00BE2349" w:rsidP="00615934">
      <w:pPr>
        <w:spacing w:after="0"/>
        <w:rPr>
          <w:rFonts w:cs="Arial"/>
          <w:b/>
          <w:u w:val="single"/>
        </w:rPr>
      </w:pPr>
    </w:p>
    <w:p w:rsidR="00BE2349" w:rsidRDefault="00BE2349" w:rsidP="00BE2349">
      <w:pPr>
        <w:pStyle w:val="Heading3"/>
      </w:pPr>
      <w:bookmarkStart w:id="116" w:name="_Toc522200001"/>
      <w:bookmarkStart w:id="117" w:name="_Toc522200098"/>
      <w:bookmarkStart w:id="118" w:name="_Toc523651279"/>
      <w:r w:rsidRPr="009E6655">
        <w:t>How well do we help those at times of vulnerability?</w:t>
      </w:r>
      <w:bookmarkEnd w:id="116"/>
      <w:bookmarkEnd w:id="117"/>
      <w:bookmarkEnd w:id="118"/>
    </w:p>
    <w:p w:rsidR="00BE2349" w:rsidRDefault="00BE2349" w:rsidP="00BE2349">
      <w:pPr>
        <w:rPr>
          <w:rFonts w:cs="Arial"/>
        </w:rPr>
      </w:pPr>
      <w:r w:rsidRPr="00781557">
        <w:rPr>
          <w:rFonts w:cs="Arial"/>
        </w:rPr>
        <w:t>In order to work towards our goal of being</w:t>
      </w:r>
      <w:r>
        <w:rPr>
          <w:rFonts w:cs="Arial"/>
        </w:rPr>
        <w:t xml:space="preserve"> able to </w:t>
      </w:r>
      <w:r w:rsidR="00531B8B">
        <w:rPr>
          <w:rFonts w:cs="Arial"/>
        </w:rPr>
        <w:t>respond actively</w:t>
      </w:r>
      <w:r>
        <w:rPr>
          <w:rFonts w:cs="Arial"/>
        </w:rPr>
        <w:t xml:space="preserve"> to each customer’s specific needs, characteristics and situation</w:t>
      </w:r>
      <w:r w:rsidRPr="00781557">
        <w:rPr>
          <w:rFonts w:cs="Arial"/>
        </w:rPr>
        <w:t>,</w:t>
      </w:r>
      <w:r>
        <w:rPr>
          <w:rFonts w:cs="Arial"/>
        </w:rPr>
        <w:t xml:space="preserve"> we have appointed a dedicated person to lead our</w:t>
      </w:r>
      <w:r w:rsidRPr="00781557">
        <w:rPr>
          <w:rFonts w:cs="Arial"/>
        </w:rPr>
        <w:t xml:space="preserve"> work with customers, support agencies and other stakeholders. We are developing our people, processes and policies to be the best we can be.  Our manag</w:t>
      </w:r>
      <w:r>
        <w:rPr>
          <w:rFonts w:cs="Arial"/>
        </w:rPr>
        <w:t>ement of vulnerability has evolved and will continue to evol</w:t>
      </w:r>
      <w:r w:rsidRPr="00781557">
        <w:rPr>
          <w:rFonts w:cs="Arial"/>
        </w:rPr>
        <w:t>ve, but we see this as a journey not a destination, believing there will always be room for improvement.</w:t>
      </w:r>
    </w:p>
    <w:p w:rsidR="00BE2349" w:rsidRPr="00B255E0" w:rsidRDefault="00BE2349" w:rsidP="00AE3AD6">
      <w:r w:rsidRPr="00AE3AD6">
        <w:t xml:space="preserve">We are working with water service providers in the South East to create a cross-regional network of organisations supporting customers facing financial and non-financial vulnerability. Our objective is to implement a common approach to supporting customers. This will increase the consistency of support across the region, removing unnecessary complexity and thereby allowing customers to access the </w:t>
      </w:r>
      <w:r w:rsidR="00D87981" w:rsidRPr="00AE3AD6">
        <w:t>support</w:t>
      </w:r>
      <w:r w:rsidRPr="00AE3AD6">
        <w:t xml:space="preserve"> they require without having to contact multiple organisations.</w:t>
      </w:r>
      <w:r w:rsidRPr="00B255E0">
        <w:rPr>
          <w:shd w:val="clear" w:color="auto" w:fill="FFFFFF"/>
        </w:rPr>
        <w:t xml:space="preserve"> Our first area of focus is the alignment of our social tariffs and a single sign-up model, through the course of </w:t>
      </w:r>
      <w:r w:rsidR="00D87981" w:rsidRPr="00B255E0">
        <w:rPr>
          <w:shd w:val="clear" w:color="auto" w:fill="FFFFFF"/>
        </w:rPr>
        <w:t>AMP7;</w:t>
      </w:r>
      <w:r w:rsidRPr="00B255E0">
        <w:rPr>
          <w:shd w:val="clear" w:color="auto" w:fill="FFFFFF"/>
        </w:rPr>
        <w:t xml:space="preserve"> we will further integrate and align our support provision.</w:t>
      </w:r>
      <w:r w:rsidRPr="00B255E0">
        <w:t xml:space="preserve"> </w:t>
      </w:r>
    </w:p>
    <w:p w:rsidR="00BE2349" w:rsidRDefault="00BE2349" w:rsidP="00AE3AD6">
      <w:pPr>
        <w:rPr>
          <w:rFonts w:cs="Arial"/>
        </w:rPr>
      </w:pPr>
      <w:r>
        <w:rPr>
          <w:rFonts w:cs="Arial"/>
        </w:rPr>
        <w:t>Work to date has included visits to C</w:t>
      </w:r>
      <w:r w:rsidR="002848C1">
        <w:rPr>
          <w:rFonts w:cs="Arial"/>
        </w:rPr>
        <w:t xml:space="preserve">itizens Advice </w:t>
      </w:r>
      <w:r>
        <w:rPr>
          <w:rFonts w:cs="Arial"/>
        </w:rPr>
        <w:t>B</w:t>
      </w:r>
      <w:r w:rsidR="002848C1">
        <w:rPr>
          <w:rFonts w:cs="Arial"/>
        </w:rPr>
        <w:t>ureau</w:t>
      </w:r>
      <w:r>
        <w:rPr>
          <w:rFonts w:cs="Arial"/>
        </w:rPr>
        <w:t xml:space="preserve">’s, </w:t>
      </w:r>
      <w:r w:rsidR="00F46992">
        <w:rPr>
          <w:rFonts w:cs="Arial"/>
        </w:rPr>
        <w:t>c</w:t>
      </w:r>
      <w:r>
        <w:rPr>
          <w:rFonts w:cs="Arial"/>
        </w:rPr>
        <w:t xml:space="preserve">ouncils, </w:t>
      </w:r>
      <w:r w:rsidR="00F46992">
        <w:rPr>
          <w:rFonts w:cs="Arial"/>
        </w:rPr>
        <w:t>h</w:t>
      </w:r>
      <w:r>
        <w:rPr>
          <w:rFonts w:cs="Arial"/>
        </w:rPr>
        <w:t xml:space="preserve">ousing </w:t>
      </w:r>
      <w:r w:rsidR="00F46992">
        <w:rPr>
          <w:rFonts w:cs="Arial"/>
        </w:rPr>
        <w:t>a</w:t>
      </w:r>
      <w:r>
        <w:rPr>
          <w:rFonts w:cs="Arial"/>
        </w:rPr>
        <w:t xml:space="preserve">ssociations, foodbanks, Age UK, Step Change, cancer charities, Samaritans, carers groups, money advice providers, dementia charities, Department of Work and Pensions and the Stroke Association.  These visits have allowed us to identify training quick </w:t>
      </w:r>
      <w:r w:rsidR="00D87981">
        <w:rPr>
          <w:rFonts w:cs="Arial"/>
        </w:rPr>
        <w:t>wins, which</w:t>
      </w:r>
      <w:r>
        <w:rPr>
          <w:rFonts w:cs="Arial"/>
        </w:rPr>
        <w:t xml:space="preserve"> have been delivered to staff via </w:t>
      </w:r>
      <w:r w:rsidR="00495BAA">
        <w:rPr>
          <w:rFonts w:cs="Arial"/>
        </w:rPr>
        <w:t xml:space="preserve">focussed </w:t>
      </w:r>
      <w:r>
        <w:rPr>
          <w:rFonts w:cs="Arial"/>
        </w:rPr>
        <w:t>training sessions.</w:t>
      </w:r>
    </w:p>
    <w:p w:rsidR="00BE2349" w:rsidRDefault="00BE2349" w:rsidP="00AE3AD6">
      <w:pPr>
        <w:rPr>
          <w:rFonts w:cs="Arial"/>
        </w:rPr>
      </w:pPr>
      <w:r>
        <w:rPr>
          <w:rFonts w:cs="Arial"/>
        </w:rPr>
        <w:t>Collaborative working and liaison has</w:t>
      </w:r>
      <w:r w:rsidR="00F46992">
        <w:rPr>
          <w:rFonts w:cs="Arial"/>
        </w:rPr>
        <w:t xml:space="preserve"> also</w:t>
      </w:r>
      <w:r>
        <w:rPr>
          <w:rFonts w:cs="Arial"/>
        </w:rPr>
        <w:t xml:space="preserve"> occurred with other </w:t>
      </w:r>
      <w:r w:rsidR="00A67852">
        <w:rPr>
          <w:rFonts w:cs="Arial"/>
        </w:rPr>
        <w:t xml:space="preserve">utility </w:t>
      </w:r>
      <w:r>
        <w:rPr>
          <w:rFonts w:cs="Arial"/>
        </w:rPr>
        <w:t>companies, including Scottish and Southern Networks, Southern Water, South East Water, Thames Water and SES Water.</w:t>
      </w:r>
    </w:p>
    <w:p w:rsidR="00BE2349" w:rsidRDefault="00BE2349" w:rsidP="00BE2349">
      <w:pPr>
        <w:rPr>
          <w:rFonts w:cs="Arial"/>
        </w:rPr>
      </w:pPr>
      <w:r>
        <w:rPr>
          <w:rFonts w:cs="Arial"/>
        </w:rPr>
        <w:t xml:space="preserve">As well as individual home </w:t>
      </w:r>
      <w:r w:rsidR="00D87981">
        <w:rPr>
          <w:rFonts w:cs="Arial"/>
        </w:rPr>
        <w:t>visits,</w:t>
      </w:r>
      <w:r>
        <w:rPr>
          <w:rFonts w:cs="Arial"/>
        </w:rPr>
        <w:t xml:space="preserve"> we have had roadshows at supermarkets, fetes, shopping centres, seminars and events.</w:t>
      </w:r>
    </w:p>
    <w:p w:rsidR="00BE2349" w:rsidRPr="00B255E0" w:rsidRDefault="00BE2349" w:rsidP="00BE2349">
      <w:pPr>
        <w:rPr>
          <w:rFonts w:cs="Arial"/>
        </w:rPr>
      </w:pPr>
      <w:r w:rsidRPr="00B255E0">
        <w:rPr>
          <w:rFonts w:cs="Arial"/>
        </w:rPr>
        <w:t xml:space="preserve">We co-created our bespoke </w:t>
      </w:r>
      <w:r w:rsidR="00F46992">
        <w:rPr>
          <w:rFonts w:cs="Arial"/>
        </w:rPr>
        <w:t>P</w:t>
      </w:r>
      <w:r w:rsidRPr="00B255E0">
        <w:rPr>
          <w:rFonts w:cs="Arial"/>
        </w:rPr>
        <w:t xml:space="preserve">erformance </w:t>
      </w:r>
      <w:r w:rsidR="00F46992">
        <w:rPr>
          <w:rFonts w:cs="Arial"/>
        </w:rPr>
        <w:t>C</w:t>
      </w:r>
      <w:r w:rsidRPr="00B255E0">
        <w:rPr>
          <w:rFonts w:cs="Arial"/>
        </w:rPr>
        <w:t xml:space="preserve">ommitment with support agencies to whom we sent questionnaires, seeking to understand and rate our existing service, areas of improvement and recommend how we measure our performance going forward.  These questionnaires identified areas for improvement, including changes to our </w:t>
      </w:r>
      <w:r w:rsidR="00D87981">
        <w:rPr>
          <w:rFonts w:cs="Arial"/>
        </w:rPr>
        <w:t>web</w:t>
      </w:r>
      <w:r w:rsidR="00D87981" w:rsidRPr="00B255E0">
        <w:rPr>
          <w:rFonts w:cs="Arial"/>
        </w:rPr>
        <w:t>site</w:t>
      </w:r>
      <w:r w:rsidRPr="00B255E0">
        <w:rPr>
          <w:rFonts w:cs="Arial"/>
        </w:rPr>
        <w:t xml:space="preserve"> that have now been incorporated.  The survey, which will now be run annually, also facilitated a number of follow up visits and activities that have improved our understanding and approach to customers. </w:t>
      </w:r>
    </w:p>
    <w:p w:rsidR="00BE2349" w:rsidRDefault="00BE2349" w:rsidP="00BE2349">
      <w:pPr>
        <w:rPr>
          <w:rFonts w:cs="Arial"/>
        </w:rPr>
      </w:pPr>
      <w:r>
        <w:rPr>
          <w:rFonts w:cs="Arial"/>
        </w:rPr>
        <w:t xml:space="preserve">As well as liaison activity, we understand that specialist training also plays an important role in managing some difficult matters with care and sensitivity.  </w:t>
      </w:r>
      <w:r w:rsidR="00645028">
        <w:rPr>
          <w:rFonts w:cs="Arial"/>
        </w:rPr>
        <w:t>To date, our</w:t>
      </w:r>
      <w:r w:rsidR="007F6FD3">
        <w:rPr>
          <w:rFonts w:cs="Arial"/>
        </w:rPr>
        <w:t xml:space="preserve"> </w:t>
      </w:r>
      <w:r>
        <w:rPr>
          <w:rFonts w:cs="Arial"/>
        </w:rPr>
        <w:t xml:space="preserve">dedicated resource has received formal training in dementia, mental illness and handling bereavement. </w:t>
      </w:r>
      <w:r w:rsidR="007F6FD3">
        <w:rPr>
          <w:rFonts w:cs="Arial"/>
        </w:rPr>
        <w:t xml:space="preserve"> Much of what has been learnt has been passed on to our </w:t>
      </w:r>
      <w:r w:rsidR="00495BAA">
        <w:rPr>
          <w:rFonts w:cs="Arial"/>
        </w:rPr>
        <w:t xml:space="preserve">whole </w:t>
      </w:r>
      <w:r w:rsidR="007F6FD3">
        <w:rPr>
          <w:rFonts w:cs="Arial"/>
        </w:rPr>
        <w:t>customer service staff.</w:t>
      </w:r>
    </w:p>
    <w:p w:rsidR="00BE2349" w:rsidRDefault="00BE2349" w:rsidP="00BE2349">
      <w:pPr>
        <w:pStyle w:val="Heading3"/>
      </w:pPr>
      <w:bookmarkStart w:id="119" w:name="_Toc522200002"/>
      <w:bookmarkStart w:id="120" w:name="_Toc522200099"/>
      <w:bookmarkStart w:id="121" w:name="_Toc523651280"/>
      <w:r w:rsidRPr="009E6655">
        <w:t>How do we serve Developers?</w:t>
      </w:r>
      <w:bookmarkEnd w:id="119"/>
      <w:bookmarkEnd w:id="120"/>
      <w:bookmarkEnd w:id="121"/>
    </w:p>
    <w:p w:rsidR="00BE2349" w:rsidRDefault="00BE2349" w:rsidP="00BE2349">
      <w:pPr>
        <w:rPr>
          <w:rFonts w:cs="Arial"/>
        </w:rPr>
      </w:pPr>
      <w:r w:rsidRPr="00FD77BB">
        <w:rPr>
          <w:rFonts w:cs="Arial"/>
        </w:rPr>
        <w:t xml:space="preserve">Given our </w:t>
      </w:r>
      <w:r w:rsidR="00D87981" w:rsidRPr="00FD77BB">
        <w:rPr>
          <w:rFonts w:cs="Arial"/>
        </w:rPr>
        <w:t>size,</w:t>
      </w:r>
      <w:r>
        <w:rPr>
          <w:rFonts w:cs="Arial"/>
        </w:rPr>
        <w:t xml:space="preserve"> we have a relatively small team that manages new supplies.  This means that we tend to have close, personal relationships with </w:t>
      </w:r>
      <w:r w:rsidR="000C1E50">
        <w:rPr>
          <w:rFonts w:cs="Arial"/>
        </w:rPr>
        <w:t>D</w:t>
      </w:r>
      <w:r>
        <w:rPr>
          <w:rFonts w:cs="Arial"/>
        </w:rPr>
        <w:t>evelopers.  Our annual survey of developers</w:t>
      </w:r>
      <w:r w:rsidR="00203ADB">
        <w:rPr>
          <w:rFonts w:cs="Arial"/>
        </w:rPr>
        <w:t xml:space="preserve"> (Appendix 2.2, 2.5, 2.19)</w:t>
      </w:r>
      <w:r>
        <w:rPr>
          <w:rFonts w:cs="Arial"/>
        </w:rPr>
        <w:t xml:space="preserve">, and </w:t>
      </w:r>
      <w:r w:rsidR="00495BAA">
        <w:rPr>
          <w:rFonts w:cs="Arial"/>
        </w:rPr>
        <w:t>‘</w:t>
      </w:r>
      <w:r w:rsidR="000C1E50">
        <w:rPr>
          <w:rFonts w:cs="Arial"/>
        </w:rPr>
        <w:t>D</w:t>
      </w:r>
      <w:r>
        <w:rPr>
          <w:rFonts w:cs="Arial"/>
        </w:rPr>
        <w:t xml:space="preserve">eveloper </w:t>
      </w:r>
      <w:r w:rsidR="000C1E50">
        <w:rPr>
          <w:rFonts w:cs="Arial"/>
        </w:rPr>
        <w:t>D</w:t>
      </w:r>
      <w:r>
        <w:rPr>
          <w:rFonts w:cs="Arial"/>
        </w:rPr>
        <w:t>ays</w:t>
      </w:r>
      <w:r w:rsidR="00495BAA">
        <w:rPr>
          <w:rFonts w:cs="Arial"/>
        </w:rPr>
        <w:t>’</w:t>
      </w:r>
      <w:r>
        <w:rPr>
          <w:rFonts w:cs="Arial"/>
        </w:rPr>
        <w:t>, show that the flexibility offered via our personal local service is appreciated.  Each year this AMP we have exceeded our ODI target of 70% satisfaction with our service overall.  Whilst having and me</w:t>
      </w:r>
      <w:r w:rsidR="00D87981">
        <w:rPr>
          <w:rFonts w:cs="Arial"/>
        </w:rPr>
        <w:t>eting</w:t>
      </w:r>
      <w:r>
        <w:rPr>
          <w:rFonts w:cs="Arial"/>
        </w:rPr>
        <w:t xml:space="preserve"> performance levels is </w:t>
      </w:r>
      <w:r w:rsidR="00D87981">
        <w:rPr>
          <w:rFonts w:cs="Arial"/>
        </w:rPr>
        <w:t>important,</w:t>
      </w:r>
      <w:r>
        <w:rPr>
          <w:rFonts w:cs="Arial"/>
        </w:rPr>
        <w:t xml:space="preserve"> it is the flexibility</w:t>
      </w:r>
      <w:r w:rsidR="00531B8B">
        <w:rPr>
          <w:rFonts w:cs="Arial"/>
        </w:rPr>
        <w:t>, which</w:t>
      </w:r>
      <w:r>
        <w:rPr>
          <w:rFonts w:cs="Arial"/>
        </w:rPr>
        <w:t xml:space="preserve"> comes from a good working </w:t>
      </w:r>
      <w:r w:rsidR="00531B8B">
        <w:rPr>
          <w:rFonts w:cs="Arial"/>
        </w:rPr>
        <w:t>relationship, which</w:t>
      </w:r>
      <w:r>
        <w:rPr>
          <w:rFonts w:cs="Arial"/>
        </w:rPr>
        <w:t xml:space="preserve"> is valued.</w:t>
      </w:r>
    </w:p>
    <w:p w:rsidR="00BE2349" w:rsidRPr="00FD77BB" w:rsidRDefault="00BE2349" w:rsidP="00BE2349">
      <w:pPr>
        <w:rPr>
          <w:rFonts w:cs="Arial"/>
        </w:rPr>
      </w:pPr>
      <w:r>
        <w:rPr>
          <w:rFonts w:cs="Arial"/>
        </w:rPr>
        <w:t xml:space="preserve">Developers are very important to us in achieving </w:t>
      </w:r>
      <w:r w:rsidR="007F6FD3">
        <w:rPr>
          <w:rFonts w:cs="Arial"/>
        </w:rPr>
        <w:t xml:space="preserve">our </w:t>
      </w:r>
      <w:r>
        <w:rPr>
          <w:rFonts w:cs="Arial"/>
        </w:rPr>
        <w:t xml:space="preserve">ambition in terms of lowering </w:t>
      </w:r>
      <w:r w:rsidR="009258ED">
        <w:rPr>
          <w:rFonts w:cs="Arial"/>
        </w:rPr>
        <w:t>PCC</w:t>
      </w:r>
      <w:r w:rsidR="00531B8B">
        <w:rPr>
          <w:rFonts w:cs="Arial"/>
        </w:rPr>
        <w:t>,</w:t>
      </w:r>
      <w:r>
        <w:rPr>
          <w:rFonts w:cs="Arial"/>
        </w:rPr>
        <w:t xml:space="preserve"> as water efficient new homes will play a significant role in achieving a </w:t>
      </w:r>
      <w:r w:rsidR="009258ED">
        <w:rPr>
          <w:rFonts w:cs="Arial"/>
        </w:rPr>
        <w:t>PCC</w:t>
      </w:r>
      <w:r>
        <w:rPr>
          <w:rFonts w:cs="Arial"/>
        </w:rPr>
        <w:t xml:space="preserve"> of 100 litres </w:t>
      </w:r>
      <w:r w:rsidR="007F6FD3">
        <w:rPr>
          <w:rFonts w:cs="Arial"/>
        </w:rPr>
        <w:t>per day by 2050</w:t>
      </w:r>
      <w:r>
        <w:rPr>
          <w:rFonts w:cs="Arial"/>
        </w:rPr>
        <w:t>.</w:t>
      </w:r>
    </w:p>
    <w:p w:rsidR="00BE2349" w:rsidRDefault="00BE2349" w:rsidP="00BE2349">
      <w:pPr>
        <w:pStyle w:val="Heading3"/>
      </w:pPr>
      <w:bookmarkStart w:id="122" w:name="_Toc522200003"/>
      <w:bookmarkStart w:id="123" w:name="_Toc522200100"/>
      <w:bookmarkStart w:id="124" w:name="_Toc523651281"/>
      <w:r w:rsidRPr="009E6655">
        <w:t>How are service levels built on customer feedback?</w:t>
      </w:r>
      <w:bookmarkEnd w:id="122"/>
      <w:bookmarkEnd w:id="123"/>
      <w:bookmarkEnd w:id="124"/>
    </w:p>
    <w:p w:rsidR="00BE2349" w:rsidRDefault="00BE2349" w:rsidP="00BE2349">
      <w:pPr>
        <w:rPr>
          <w:rFonts w:cs="Arial"/>
        </w:rPr>
      </w:pPr>
      <w:r w:rsidRPr="006A6A8E">
        <w:rPr>
          <w:rFonts w:cs="Arial"/>
        </w:rPr>
        <w:t>Whilst formalised feedback from customer</w:t>
      </w:r>
      <w:r>
        <w:rPr>
          <w:rFonts w:cs="Arial"/>
        </w:rPr>
        <w:t xml:space="preserve"> surveys via the Institute of Customer Service, SIM and other targeted research provides insight tha</w:t>
      </w:r>
      <w:r w:rsidR="00531B8B">
        <w:rPr>
          <w:rFonts w:cs="Arial"/>
        </w:rPr>
        <w:t xml:space="preserve">t drives service levels, it is </w:t>
      </w:r>
      <w:r>
        <w:rPr>
          <w:rFonts w:cs="Arial"/>
        </w:rPr>
        <w:t>actually the data from the wealth of everyday contacts that really drives our performance.</w:t>
      </w:r>
    </w:p>
    <w:p w:rsidR="00BE2349" w:rsidRDefault="00BE2349" w:rsidP="00BE2349">
      <w:pPr>
        <w:rPr>
          <w:rFonts w:cs="Arial"/>
        </w:rPr>
      </w:pPr>
      <w:r>
        <w:rPr>
          <w:rFonts w:cs="Arial"/>
        </w:rPr>
        <w:t xml:space="preserve">Reviewing, understanding and learning from daily interactions is the key.  For many </w:t>
      </w:r>
      <w:r w:rsidR="00D87981">
        <w:rPr>
          <w:rFonts w:cs="Arial"/>
        </w:rPr>
        <w:t>years,</w:t>
      </w:r>
      <w:r>
        <w:rPr>
          <w:rFonts w:cs="Arial"/>
        </w:rPr>
        <w:t xml:space="preserve"> we have held a monthly Complaints and Compliments Panel.  This Panel, consisting of several Senior Managers reviews all written complaints and compliments from the previous month.  </w:t>
      </w:r>
      <w:r w:rsidR="00645028">
        <w:rPr>
          <w:rFonts w:cs="Arial"/>
        </w:rPr>
        <w:t xml:space="preserve">We look at </w:t>
      </w:r>
      <w:r w:rsidR="000C1E50">
        <w:rPr>
          <w:rFonts w:cs="Arial"/>
        </w:rPr>
        <w:t>“</w:t>
      </w:r>
      <w:r w:rsidR="00645028">
        <w:rPr>
          <w:rFonts w:cs="Arial"/>
        </w:rPr>
        <w:t>People, Process and P</w:t>
      </w:r>
      <w:r>
        <w:rPr>
          <w:rFonts w:cs="Arial"/>
        </w:rPr>
        <w:t>olicy</w:t>
      </w:r>
      <w:r w:rsidR="000C1E50">
        <w:rPr>
          <w:rFonts w:cs="Arial"/>
        </w:rPr>
        <w:t>”</w:t>
      </w:r>
      <w:r>
        <w:rPr>
          <w:rFonts w:cs="Arial"/>
        </w:rPr>
        <w:t xml:space="preserve"> to really understand where we are letting customers down and looking at what we need to do to improve things.  Whilst sometimes this does involve technology and capital investment, in most cases it is actually about making sure that we have sound processes and manage our communication effectively.</w:t>
      </w:r>
      <w:r w:rsidR="009E1269">
        <w:rPr>
          <w:rFonts w:cs="Arial"/>
        </w:rPr>
        <w:t xml:space="preserve">  A summary of complaints and resultant actions is shared with the Board every month.</w:t>
      </w:r>
    </w:p>
    <w:p w:rsidR="00BE2349" w:rsidRDefault="00BE2349" w:rsidP="00BE2349">
      <w:pPr>
        <w:rPr>
          <w:rFonts w:cs="Arial"/>
          <w:b/>
        </w:rPr>
      </w:pPr>
      <w:r>
        <w:rPr>
          <w:rFonts w:cs="Arial"/>
        </w:rPr>
        <w:t xml:space="preserve">Holding lessons learnt sessions after incidents and projects implementations is another embedded means by which we consider customer feedback </w:t>
      </w:r>
      <w:r w:rsidR="00645028">
        <w:rPr>
          <w:rFonts w:cs="Arial"/>
        </w:rPr>
        <w:t xml:space="preserve">and the </w:t>
      </w:r>
      <w:r w:rsidR="006F76A4">
        <w:rPr>
          <w:rFonts w:cs="Arial"/>
        </w:rPr>
        <w:t xml:space="preserve">consequences of our </w:t>
      </w:r>
      <w:r w:rsidR="008D497C">
        <w:rPr>
          <w:rFonts w:cs="Arial"/>
        </w:rPr>
        <w:t xml:space="preserve">decisions </w:t>
      </w:r>
      <w:r w:rsidR="006F76A4">
        <w:rPr>
          <w:rFonts w:cs="Arial"/>
        </w:rPr>
        <w:t>and actions, using findings</w:t>
      </w:r>
      <w:r>
        <w:rPr>
          <w:rFonts w:cs="Arial"/>
        </w:rPr>
        <w:t xml:space="preserve"> to drive continuous improvement</w:t>
      </w:r>
      <w:r w:rsidR="007F6FD3" w:rsidRPr="007F6FD3">
        <w:rPr>
          <w:rFonts w:cs="Arial"/>
        </w:rPr>
        <w:t>.</w:t>
      </w:r>
    </w:p>
    <w:p w:rsidR="00BE2349" w:rsidRDefault="00BE2349" w:rsidP="00BE2349">
      <w:pPr>
        <w:pStyle w:val="Heading3"/>
      </w:pPr>
      <w:bookmarkStart w:id="125" w:name="_Toc522200004"/>
      <w:bookmarkStart w:id="126" w:name="_Toc522200101"/>
      <w:bookmarkStart w:id="127" w:name="_Toc523651282"/>
      <w:r w:rsidRPr="009E6655">
        <w:t>How do we drive a customer service culture now and in the future?</w:t>
      </w:r>
      <w:bookmarkEnd w:id="125"/>
      <w:bookmarkEnd w:id="126"/>
      <w:bookmarkEnd w:id="127"/>
      <w:r w:rsidRPr="0084632D">
        <w:t xml:space="preserve"> </w:t>
      </w:r>
    </w:p>
    <w:p w:rsidR="00BE2349" w:rsidRPr="00EE4A9F" w:rsidRDefault="00BE2349" w:rsidP="00BE2349">
      <w:pPr>
        <w:rPr>
          <w:rFonts w:cs="Arial"/>
        </w:rPr>
      </w:pPr>
      <w:r>
        <w:rPr>
          <w:rFonts w:cs="Arial"/>
        </w:rPr>
        <w:t>Engaged</w:t>
      </w:r>
      <w:r w:rsidRPr="00EE4A9F">
        <w:rPr>
          <w:rFonts w:cs="Arial"/>
        </w:rPr>
        <w:t xml:space="preserve"> people deliver great service.  Our staff are our biggest asset and drive a culture of innovation and continuous improvement that has helped us to consistently be highly rated with our </w:t>
      </w:r>
      <w:r>
        <w:rPr>
          <w:rFonts w:cs="Arial"/>
        </w:rPr>
        <w:t xml:space="preserve">Institute of Customer Service UK Customer </w:t>
      </w:r>
      <w:r w:rsidR="008D497C">
        <w:rPr>
          <w:rFonts w:cs="Arial"/>
        </w:rPr>
        <w:t xml:space="preserve">Satisfaction </w:t>
      </w:r>
      <w:r>
        <w:rPr>
          <w:rFonts w:cs="Arial"/>
        </w:rPr>
        <w:t>Index (</w:t>
      </w:r>
      <w:r w:rsidRPr="00EE4A9F">
        <w:rPr>
          <w:rFonts w:cs="Arial"/>
        </w:rPr>
        <w:t>UKCSI</w:t>
      </w:r>
      <w:r>
        <w:rPr>
          <w:rFonts w:cs="Arial"/>
        </w:rPr>
        <w:t>)</w:t>
      </w:r>
      <w:r w:rsidRPr="00EE4A9F">
        <w:rPr>
          <w:rFonts w:cs="Arial"/>
        </w:rPr>
        <w:t xml:space="preserve"> score</w:t>
      </w:r>
      <w:r w:rsidR="00203ADB">
        <w:rPr>
          <w:rFonts w:cs="Arial"/>
        </w:rPr>
        <w:t xml:space="preserve"> (Appendix 2.8)</w:t>
      </w:r>
      <w:r w:rsidRPr="00EE4A9F">
        <w:rPr>
          <w:rFonts w:cs="Arial"/>
        </w:rPr>
        <w:t>, SIM score and track record of receiving very low levels of written complaints.</w:t>
      </w:r>
      <w:r>
        <w:rPr>
          <w:rFonts w:cs="Arial"/>
        </w:rPr>
        <w:t xml:space="preserve"> </w:t>
      </w:r>
      <w:r w:rsidR="006F76A4" w:rsidRPr="006F76A4">
        <w:rPr>
          <w:rFonts w:cs="Arial"/>
        </w:rPr>
        <w:t>95</w:t>
      </w:r>
      <w:r>
        <w:rPr>
          <w:rFonts w:cs="Arial"/>
        </w:rPr>
        <w:t>% of our staff</w:t>
      </w:r>
      <w:r w:rsidR="003C6CA3">
        <w:rPr>
          <w:rFonts w:cs="Arial"/>
        </w:rPr>
        <w:t xml:space="preserve"> tell us they</w:t>
      </w:r>
      <w:r>
        <w:rPr>
          <w:rFonts w:cs="Arial"/>
        </w:rPr>
        <w:t xml:space="preserve"> are proud to work for Portsmouth Water.</w:t>
      </w:r>
    </w:p>
    <w:p w:rsidR="00BE2349" w:rsidRPr="00EE4A9F" w:rsidRDefault="00BE2349" w:rsidP="00BE2349">
      <w:pPr>
        <w:rPr>
          <w:rFonts w:cs="Arial"/>
        </w:rPr>
      </w:pPr>
      <w:r w:rsidRPr="00EE4A9F">
        <w:rPr>
          <w:rFonts w:cs="Arial"/>
        </w:rPr>
        <w:t xml:space="preserve">We are a </w:t>
      </w:r>
      <w:r w:rsidR="00531B8B">
        <w:rPr>
          <w:rFonts w:cs="Arial"/>
        </w:rPr>
        <w:t>‘</w:t>
      </w:r>
      <w:r w:rsidRPr="00EE4A9F">
        <w:rPr>
          <w:rFonts w:cs="Arial"/>
        </w:rPr>
        <w:t>behaviours</w:t>
      </w:r>
      <w:r w:rsidR="00531B8B">
        <w:rPr>
          <w:rFonts w:cs="Arial"/>
        </w:rPr>
        <w:t>’</w:t>
      </w:r>
      <w:r w:rsidRPr="00EE4A9F">
        <w:rPr>
          <w:rFonts w:cs="Arial"/>
        </w:rPr>
        <w:t xml:space="preserve"> driven company, using </w:t>
      </w:r>
      <w:r w:rsidR="00531B8B" w:rsidRPr="00EE4A9F">
        <w:rPr>
          <w:rFonts w:cs="Arial"/>
        </w:rPr>
        <w:t>competence-based</w:t>
      </w:r>
      <w:r w:rsidRPr="00EE4A9F">
        <w:rPr>
          <w:rFonts w:cs="Arial"/>
        </w:rPr>
        <w:t xml:space="preserve"> assessments to recruit</w:t>
      </w:r>
      <w:r w:rsidR="006F76A4">
        <w:rPr>
          <w:rFonts w:cs="Arial"/>
        </w:rPr>
        <w:t>,</w:t>
      </w:r>
      <w:r w:rsidRPr="00EE4A9F">
        <w:rPr>
          <w:rFonts w:cs="Arial"/>
        </w:rPr>
        <w:t xml:space="preserve"> </w:t>
      </w:r>
      <w:r>
        <w:rPr>
          <w:rFonts w:cs="Arial"/>
        </w:rPr>
        <w:t>develop and</w:t>
      </w:r>
      <w:r w:rsidRPr="00EE4A9F">
        <w:rPr>
          <w:rFonts w:cs="Arial"/>
        </w:rPr>
        <w:t xml:space="preserve"> support staff.  Our business</w:t>
      </w:r>
      <w:r>
        <w:rPr>
          <w:rFonts w:cs="Arial"/>
        </w:rPr>
        <w:t xml:space="preserve"> culture</w:t>
      </w:r>
      <w:r w:rsidRPr="00EE4A9F">
        <w:rPr>
          <w:rFonts w:cs="Arial"/>
        </w:rPr>
        <w:t xml:space="preserve"> is built on our Values, Mission and Vision.</w:t>
      </w:r>
    </w:p>
    <w:p w:rsidR="00BE2349" w:rsidRPr="00EE4A9F" w:rsidRDefault="00BE2349" w:rsidP="00BE2349">
      <w:pPr>
        <w:rPr>
          <w:rFonts w:cs="Arial"/>
        </w:rPr>
      </w:pPr>
      <w:r w:rsidRPr="00EE4A9F">
        <w:rPr>
          <w:rFonts w:cs="Arial"/>
        </w:rPr>
        <w:t>Values: ‘Excellence, Respect and Integrity’</w:t>
      </w:r>
    </w:p>
    <w:p w:rsidR="00BE2349" w:rsidRPr="00EE4A9F" w:rsidRDefault="00BE2349" w:rsidP="00BE2349">
      <w:pPr>
        <w:rPr>
          <w:rFonts w:cs="Arial"/>
        </w:rPr>
      </w:pPr>
      <w:r w:rsidRPr="00EE4A9F">
        <w:rPr>
          <w:rFonts w:cs="Arial"/>
        </w:rPr>
        <w:t xml:space="preserve">Mission: </w:t>
      </w:r>
      <w:r w:rsidR="008D497C">
        <w:rPr>
          <w:rFonts w:cs="Arial"/>
        </w:rPr>
        <w:t>‘</w:t>
      </w:r>
      <w:r w:rsidRPr="00EE4A9F">
        <w:rPr>
          <w:rFonts w:cs="Arial"/>
        </w:rPr>
        <w:t>To supply high quality drinking water whilst providing excellent levels of service for our customers at the lowest price in the country’</w:t>
      </w:r>
    </w:p>
    <w:p w:rsidR="00BE2349" w:rsidRPr="009A2FAB" w:rsidRDefault="00BE2349" w:rsidP="00BE2349">
      <w:pPr>
        <w:rPr>
          <w:rFonts w:cs="Arial"/>
        </w:rPr>
      </w:pPr>
      <w:r w:rsidRPr="00EE4A9F">
        <w:rPr>
          <w:rFonts w:cs="Arial"/>
        </w:rPr>
        <w:t xml:space="preserve">Vision: </w:t>
      </w:r>
      <w:r w:rsidR="008D497C">
        <w:rPr>
          <w:rFonts w:cs="Arial"/>
        </w:rPr>
        <w:t>‘</w:t>
      </w:r>
      <w:r w:rsidRPr="00EE4A9F">
        <w:rPr>
          <w:rFonts w:cs="Arial"/>
        </w:rPr>
        <w:t>Delivering excellence for our customers, our people and our environment’</w:t>
      </w:r>
    </w:p>
    <w:p w:rsidR="00BE2349" w:rsidRDefault="00BE2349" w:rsidP="00BE2349">
      <w:pPr>
        <w:rPr>
          <w:rFonts w:cs="Arial"/>
        </w:rPr>
      </w:pPr>
      <w:r>
        <w:rPr>
          <w:rFonts w:cs="Arial"/>
        </w:rPr>
        <w:t xml:space="preserve">We are an agile business that seeks to review and triangulate customer feedback with other data to continuously improve our service offering.  However, we </w:t>
      </w:r>
      <w:r w:rsidR="007F6FD3">
        <w:rPr>
          <w:rFonts w:cs="Arial"/>
        </w:rPr>
        <w:t xml:space="preserve">are </w:t>
      </w:r>
      <w:r>
        <w:rPr>
          <w:rFonts w:cs="Arial"/>
        </w:rPr>
        <w:t xml:space="preserve">not complacent. </w:t>
      </w:r>
      <w:r w:rsidR="00FB14F9">
        <w:rPr>
          <w:rFonts w:cs="Arial"/>
        </w:rPr>
        <w:t xml:space="preserve">We review customer calls taken into all parts of the business and access them from the </w:t>
      </w:r>
      <w:r w:rsidR="00531B8B">
        <w:rPr>
          <w:rFonts w:cs="Arial"/>
        </w:rPr>
        <w:t>customers’</w:t>
      </w:r>
      <w:r w:rsidR="00FB14F9">
        <w:rPr>
          <w:rFonts w:cs="Arial"/>
        </w:rPr>
        <w:t xml:space="preserve"> perspective.  We feedback the results to all team members, both individually and in groups to learn lessons and drive continuous improvement. </w:t>
      </w:r>
    </w:p>
    <w:p w:rsidR="00BE2349" w:rsidRPr="009A2FAB" w:rsidRDefault="00BE2349" w:rsidP="00BE2349">
      <w:pPr>
        <w:rPr>
          <w:rFonts w:cs="Arial"/>
        </w:rPr>
      </w:pPr>
      <w:r w:rsidRPr="009A2FAB">
        <w:rPr>
          <w:rFonts w:cs="Arial"/>
        </w:rPr>
        <w:t xml:space="preserve">Our core principle is about “doing the right thing” and we drive this into the business culture.  </w:t>
      </w:r>
      <w:r w:rsidR="00531B8B" w:rsidRPr="009A2FAB">
        <w:rPr>
          <w:rFonts w:cs="Arial"/>
        </w:rPr>
        <w:t>The following drive our service</w:t>
      </w:r>
      <w:r w:rsidR="00531B8B">
        <w:rPr>
          <w:rFonts w:cs="Arial"/>
        </w:rPr>
        <w:t>:</w:t>
      </w:r>
    </w:p>
    <w:p w:rsidR="00BE2349" w:rsidRPr="009A2FAB" w:rsidRDefault="00D87981" w:rsidP="00D87981">
      <w:pPr>
        <w:pStyle w:val="Bullets"/>
      </w:pPr>
      <w:r w:rsidRPr="009A2FAB">
        <w:t>An engaged and committed workforce delivers great customer service</w:t>
      </w:r>
      <w:r w:rsidR="00BE2349" w:rsidRPr="009A2FAB">
        <w:t>.</w:t>
      </w:r>
    </w:p>
    <w:p w:rsidR="00BE2349" w:rsidRPr="009A2FAB" w:rsidRDefault="00BE2349" w:rsidP="00D87981">
      <w:pPr>
        <w:pStyle w:val="Bullets"/>
      </w:pPr>
      <w:r w:rsidRPr="009A2FAB">
        <w:t>Our behaviours, processes and systems should be aligned to customer needs.</w:t>
      </w:r>
    </w:p>
    <w:p w:rsidR="00BE2349" w:rsidRPr="009A2FAB" w:rsidRDefault="00BE2349" w:rsidP="00D87981">
      <w:pPr>
        <w:pStyle w:val="Bullets"/>
      </w:pPr>
      <w:r w:rsidRPr="009A2FAB">
        <w:t xml:space="preserve">Always keep the customer informed. </w:t>
      </w:r>
    </w:p>
    <w:p w:rsidR="00BE2349" w:rsidRPr="009A2FAB" w:rsidRDefault="00BE2349" w:rsidP="00D87981">
      <w:pPr>
        <w:pStyle w:val="Bullets"/>
      </w:pPr>
      <w:r w:rsidRPr="009A2FAB">
        <w:t>Do what we say we will do.</w:t>
      </w:r>
    </w:p>
    <w:p w:rsidR="00BE2349" w:rsidRPr="009A2FAB" w:rsidRDefault="00BE2349" w:rsidP="00D87981">
      <w:pPr>
        <w:pStyle w:val="Bullets"/>
      </w:pPr>
      <w:r w:rsidRPr="009A2FAB">
        <w:t>If we get it wrong, put it right quickly and say sorry.</w:t>
      </w:r>
    </w:p>
    <w:p w:rsidR="00BE2349" w:rsidRDefault="00BE2349" w:rsidP="00D87981">
      <w:pPr>
        <w:pStyle w:val="Bullets"/>
      </w:pPr>
      <w:r w:rsidRPr="009A2FAB">
        <w:t>Encourage staff to take responsibility for an issue.</w:t>
      </w:r>
    </w:p>
    <w:p w:rsidR="00D87981" w:rsidRPr="009A2FAB" w:rsidRDefault="00D87981" w:rsidP="00D87981">
      <w:pPr>
        <w:pStyle w:val="Bullets"/>
        <w:numPr>
          <w:ilvl w:val="0"/>
          <w:numId w:val="0"/>
        </w:numPr>
        <w:ind w:left="1848"/>
      </w:pPr>
    </w:p>
    <w:p w:rsidR="00BE2349" w:rsidRDefault="00BE2349" w:rsidP="00BE2349">
      <w:pPr>
        <w:rPr>
          <w:rFonts w:cs="Arial"/>
        </w:rPr>
      </w:pPr>
      <w:r>
        <w:rPr>
          <w:rFonts w:cs="Arial"/>
        </w:rPr>
        <w:t>Our engagement shows that we are easy to do business with.  Whilst we need to keep doing what we do well</w:t>
      </w:r>
      <w:r w:rsidR="003C6CA3">
        <w:rPr>
          <w:rFonts w:cs="Arial"/>
        </w:rPr>
        <w:t>, t</w:t>
      </w:r>
      <w:r>
        <w:rPr>
          <w:rFonts w:cs="Arial"/>
        </w:rPr>
        <w:t>hat is to provide a reliable, local, personal service</w:t>
      </w:r>
      <w:r w:rsidR="003C6CA3">
        <w:rPr>
          <w:rFonts w:cs="Arial"/>
        </w:rPr>
        <w:t xml:space="preserve"> - </w:t>
      </w:r>
      <w:r>
        <w:rPr>
          <w:rFonts w:cs="Arial"/>
        </w:rPr>
        <w:t>we do need to develop more communication channels and provide greater opportunity for customers self-serve. Self-serve is seen as an additional customer option for those that prefer it, not a means of forcing customers to help us to reduce our cost to serve.  We very much believe that as a monopoly provider that we must cater for all customers</w:t>
      </w:r>
      <w:r w:rsidR="003C6CA3">
        <w:rPr>
          <w:rFonts w:cs="Arial"/>
        </w:rPr>
        <w:t>’</w:t>
      </w:r>
      <w:r>
        <w:rPr>
          <w:rFonts w:cs="Arial"/>
        </w:rPr>
        <w:t xml:space="preserve"> preferences and work harder to ensure that those at times of vulnerability are recognised and handled with compassion and professionalism.</w:t>
      </w:r>
    </w:p>
    <w:p w:rsidR="008D497C" w:rsidRDefault="00BE2349" w:rsidP="00BE2349">
      <w:pPr>
        <w:rPr>
          <w:rFonts w:cs="Arial"/>
        </w:rPr>
      </w:pPr>
      <w:r>
        <w:rPr>
          <w:rFonts w:cs="Arial"/>
        </w:rPr>
        <w:t>We are not seeking additional funding through the business plan process for improvements to our customer journeys.  Billing improvements, providing a portal, increasing use of SMS messaging and increasing self-serve options are all ongoing programmes that will not be impacted by the regulatory cycle.</w:t>
      </w:r>
      <w:r w:rsidR="006F76A4">
        <w:rPr>
          <w:rFonts w:cs="Arial"/>
        </w:rPr>
        <w:t xml:space="preserve"> </w:t>
      </w:r>
    </w:p>
    <w:p w:rsidR="00BE2349" w:rsidRPr="00455C79" w:rsidRDefault="00BE2349" w:rsidP="00BE2349">
      <w:pPr>
        <w:rPr>
          <w:rFonts w:cs="Arial"/>
        </w:rPr>
      </w:pPr>
      <w:r w:rsidRPr="00455C79">
        <w:rPr>
          <w:rFonts w:cs="Arial"/>
        </w:rPr>
        <w:t xml:space="preserve">We celebrate </w:t>
      </w:r>
      <w:r>
        <w:rPr>
          <w:rFonts w:cs="Arial"/>
        </w:rPr>
        <w:t>success and reward great service as part of our service led culture.</w:t>
      </w:r>
    </w:p>
    <w:p w:rsidR="00BE2349" w:rsidRPr="009E6655" w:rsidRDefault="00BE2349" w:rsidP="00BE2349">
      <w:pPr>
        <w:pStyle w:val="Heading3"/>
      </w:pPr>
      <w:bookmarkStart w:id="128" w:name="_Toc522200005"/>
      <w:bookmarkStart w:id="129" w:name="_Toc522200102"/>
      <w:bookmarkStart w:id="130" w:name="_Toc523651283"/>
      <w:r w:rsidRPr="009E6655">
        <w:t>How do we innovate?</w:t>
      </w:r>
      <w:bookmarkEnd w:id="128"/>
      <w:bookmarkEnd w:id="129"/>
      <w:bookmarkEnd w:id="130"/>
    </w:p>
    <w:p w:rsidR="00BE2349" w:rsidRPr="00E87FAF" w:rsidRDefault="00BE2349" w:rsidP="00BE2349">
      <w:pPr>
        <w:rPr>
          <w:rFonts w:cs="Arial"/>
        </w:rPr>
      </w:pPr>
      <w:r w:rsidRPr="00E87FAF">
        <w:rPr>
          <w:rFonts w:cs="Arial"/>
        </w:rPr>
        <w:t xml:space="preserve">Our staff know our business better than </w:t>
      </w:r>
      <w:r w:rsidR="008041B4" w:rsidRPr="00E87FAF">
        <w:rPr>
          <w:rFonts w:cs="Arial"/>
        </w:rPr>
        <w:t>anyone</w:t>
      </w:r>
      <w:r w:rsidRPr="00E87FAF">
        <w:rPr>
          <w:rFonts w:cs="Arial"/>
        </w:rPr>
        <w:t>.  Fostering an environment that encourages ‘light bulb’ moments and manages them through to delivery is essential.</w:t>
      </w:r>
    </w:p>
    <w:p w:rsidR="00BE2349" w:rsidRPr="00E87FAF" w:rsidRDefault="00BE2349" w:rsidP="00BE2349">
      <w:pPr>
        <w:rPr>
          <w:rFonts w:cs="Arial"/>
        </w:rPr>
      </w:pPr>
      <w:r w:rsidRPr="00E87FAF">
        <w:rPr>
          <w:rFonts w:cs="Arial"/>
        </w:rPr>
        <w:t>We manage the delivery of innovation through our Business Improvement Group (BIG).  This group, which has senior representatives from all key internal disciplines and Business Systems Analysts, meets fortnightly.</w:t>
      </w:r>
    </w:p>
    <w:p w:rsidR="00BE2349" w:rsidRPr="00E87FAF" w:rsidRDefault="00F46992" w:rsidP="00BE2349">
      <w:pPr>
        <w:rPr>
          <w:rFonts w:cs="Arial"/>
        </w:rPr>
      </w:pPr>
      <w:r>
        <w:rPr>
          <w:rFonts w:cs="Arial"/>
        </w:rPr>
        <w:t xml:space="preserve">Staff who </w:t>
      </w:r>
      <w:r w:rsidR="00BE2349" w:rsidRPr="00E87FAF">
        <w:rPr>
          <w:rFonts w:cs="Arial"/>
        </w:rPr>
        <w:t>have ideas are encouraged to submit a form via our intranet setting out their idea.  They are then invited to the next BIG Group to talk through their proposal.  Once the idea has been presented to the BIG Group, if it has clear merit, it is assessed more fully by the Business Systems Analysts who undertake an assessment, using a standardised structure, which considers stakeholders, wider business impacts, effort to deliver</w:t>
      </w:r>
      <w:r w:rsidR="006F76A4">
        <w:rPr>
          <w:rFonts w:cs="Arial"/>
        </w:rPr>
        <w:t>, the</w:t>
      </w:r>
      <w:r w:rsidR="00BE2349" w:rsidRPr="00E87FAF">
        <w:rPr>
          <w:rFonts w:cs="Arial"/>
        </w:rPr>
        <w:t xml:space="preserve"> benefits to customers and any business efficiency gains.</w:t>
      </w:r>
    </w:p>
    <w:p w:rsidR="00BE2349" w:rsidRDefault="00BE2349" w:rsidP="00BE2349">
      <w:pPr>
        <w:rPr>
          <w:rFonts w:cs="Arial"/>
        </w:rPr>
      </w:pPr>
      <w:r w:rsidRPr="00E87FAF">
        <w:rPr>
          <w:rFonts w:cs="Arial"/>
        </w:rPr>
        <w:t>The best ideas are prioritised by the BIG Group who monitor them from inception through to an assessment of the benefits realisation.  The Executive Team review progress against the BIG list weekly and the full Board 6 monthly.</w:t>
      </w:r>
    </w:p>
    <w:p w:rsidR="00FB14F9" w:rsidRDefault="00FB14F9" w:rsidP="00BE2349">
      <w:pPr>
        <w:rPr>
          <w:rFonts w:cs="Arial"/>
        </w:rPr>
      </w:pPr>
      <w:r>
        <w:rPr>
          <w:rFonts w:cs="Arial"/>
        </w:rPr>
        <w:t xml:space="preserve">BIG projects this year have enabled more mobile technology, are harnessing existing systems to improve Drinking Water Safety Plans, negating the need to rely on old technology to manage our vehicle fleet and </w:t>
      </w:r>
      <w:r w:rsidR="00F46992">
        <w:rPr>
          <w:rFonts w:cs="Arial"/>
        </w:rPr>
        <w:t xml:space="preserve">are </w:t>
      </w:r>
      <w:r>
        <w:rPr>
          <w:rFonts w:cs="Arial"/>
        </w:rPr>
        <w:t xml:space="preserve">supporting the launch of our new customer portal. </w:t>
      </w:r>
    </w:p>
    <w:p w:rsidR="008D497C" w:rsidRPr="00453F64" w:rsidRDefault="008D497C" w:rsidP="00BE2349">
      <w:pPr>
        <w:rPr>
          <w:rFonts w:cs="Arial"/>
          <w:color w:val="2E74B5" w:themeColor="accent1" w:themeShade="BF"/>
        </w:rPr>
      </w:pPr>
      <w:r w:rsidRPr="00453F64">
        <w:rPr>
          <w:rFonts w:cs="Arial"/>
          <w:color w:val="2E74B5" w:themeColor="accent1" w:themeShade="BF"/>
        </w:rPr>
        <w:t xml:space="preserve">Appendices relevant to this </w:t>
      </w:r>
      <w:r w:rsidR="00453F64" w:rsidRPr="00453F64">
        <w:rPr>
          <w:rFonts w:cs="Arial"/>
          <w:color w:val="2E74B5" w:themeColor="accent1" w:themeShade="BF"/>
        </w:rPr>
        <w:t>chapter</w:t>
      </w:r>
    </w:p>
    <w:tbl>
      <w:tblPr>
        <w:tblStyle w:val="TableGrid22"/>
        <w:tblW w:w="0" w:type="auto"/>
        <w:jc w:val="center"/>
        <w:tblLook w:val="04A0" w:firstRow="1" w:lastRow="0" w:firstColumn="1" w:lastColumn="0" w:noHBand="0" w:noVBand="1"/>
      </w:tblPr>
      <w:tblGrid>
        <w:gridCol w:w="1838"/>
        <w:gridCol w:w="4173"/>
        <w:gridCol w:w="1781"/>
      </w:tblGrid>
      <w:tr w:rsidR="00203ADB" w:rsidRPr="001E0DCD" w:rsidTr="00203ADB">
        <w:trPr>
          <w:jc w:val="center"/>
        </w:trPr>
        <w:tc>
          <w:tcPr>
            <w:tcW w:w="1838" w:type="dxa"/>
            <w:shd w:val="clear" w:color="auto" w:fill="2E74B5" w:themeFill="accent1" w:themeFillShade="BF"/>
          </w:tcPr>
          <w:p w:rsidR="00203ADB" w:rsidRPr="001E0DCD" w:rsidRDefault="00203ADB" w:rsidP="00203AD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203ADB" w:rsidRPr="001E0DCD" w:rsidRDefault="00203ADB" w:rsidP="00203AD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203ADB" w:rsidRPr="001E0DCD" w:rsidRDefault="00203ADB" w:rsidP="00203ADB">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203ADB" w:rsidRPr="001E0DCD" w:rsidTr="00203ADB">
        <w:trPr>
          <w:jc w:val="center"/>
        </w:trPr>
        <w:tc>
          <w:tcPr>
            <w:tcW w:w="1838" w:type="dxa"/>
          </w:tcPr>
          <w:p w:rsidR="00203ADB" w:rsidRPr="001E0DCD" w:rsidRDefault="00203ADB" w:rsidP="00203ADB">
            <w:pPr>
              <w:tabs>
                <w:tab w:val="clear" w:pos="851"/>
              </w:tabs>
              <w:spacing w:after="0"/>
              <w:ind w:left="0"/>
              <w:jc w:val="left"/>
              <w:rPr>
                <w:rFonts w:cs="Arial"/>
                <w:sz w:val="16"/>
                <w:szCs w:val="16"/>
              </w:rPr>
            </w:pPr>
            <w:r>
              <w:rPr>
                <w:rFonts w:cs="Arial"/>
                <w:sz w:val="16"/>
                <w:szCs w:val="16"/>
              </w:rPr>
              <w:t>2.2</w:t>
            </w:r>
          </w:p>
        </w:tc>
        <w:tc>
          <w:tcPr>
            <w:tcW w:w="4173" w:type="dxa"/>
          </w:tcPr>
          <w:p w:rsidR="00203ADB" w:rsidRPr="001E0DCD" w:rsidRDefault="00203ADB" w:rsidP="00203ADB">
            <w:pPr>
              <w:tabs>
                <w:tab w:val="clear" w:pos="851"/>
              </w:tabs>
              <w:spacing w:after="0"/>
              <w:ind w:left="0"/>
              <w:jc w:val="left"/>
              <w:rPr>
                <w:rFonts w:cs="Arial"/>
                <w:sz w:val="16"/>
                <w:szCs w:val="16"/>
              </w:rPr>
            </w:pPr>
            <w:r>
              <w:rPr>
                <w:rFonts w:cs="Arial"/>
                <w:sz w:val="16"/>
                <w:szCs w:val="16"/>
              </w:rPr>
              <w:t>Developers Research</w:t>
            </w:r>
          </w:p>
        </w:tc>
        <w:tc>
          <w:tcPr>
            <w:tcW w:w="1781" w:type="dxa"/>
          </w:tcPr>
          <w:p w:rsidR="00203ADB" w:rsidRPr="001E0DCD" w:rsidRDefault="00203ADB" w:rsidP="00203ADB">
            <w:pPr>
              <w:tabs>
                <w:tab w:val="clear" w:pos="851"/>
              </w:tabs>
              <w:spacing w:after="0"/>
              <w:ind w:left="0"/>
              <w:jc w:val="left"/>
              <w:rPr>
                <w:rFonts w:cs="Arial"/>
                <w:sz w:val="16"/>
                <w:szCs w:val="16"/>
              </w:rPr>
            </w:pPr>
            <w:r>
              <w:rPr>
                <w:rFonts w:cs="Arial"/>
                <w:sz w:val="16"/>
                <w:szCs w:val="16"/>
              </w:rPr>
              <w:t>April 2016</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2.5</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Developers Research</w:t>
            </w:r>
          </w:p>
        </w:tc>
        <w:tc>
          <w:tcPr>
            <w:tcW w:w="1781" w:type="dxa"/>
          </w:tcPr>
          <w:p w:rsidR="00203ADB" w:rsidRDefault="00203ADB" w:rsidP="00203ADB">
            <w:pPr>
              <w:tabs>
                <w:tab w:val="clear" w:pos="851"/>
              </w:tabs>
              <w:spacing w:after="0"/>
              <w:ind w:left="0"/>
              <w:jc w:val="left"/>
              <w:rPr>
                <w:rFonts w:cs="Arial"/>
                <w:sz w:val="16"/>
                <w:szCs w:val="16"/>
              </w:rPr>
            </w:pPr>
            <w:r>
              <w:rPr>
                <w:rFonts w:cs="Arial"/>
                <w:sz w:val="16"/>
                <w:szCs w:val="16"/>
              </w:rPr>
              <w:t>March 2017</w:t>
            </w:r>
          </w:p>
        </w:tc>
      </w:tr>
      <w:tr w:rsidR="00203ADB" w:rsidRPr="001E0DCD" w:rsidTr="00203ADB">
        <w:trPr>
          <w:jc w:val="center"/>
        </w:trPr>
        <w:tc>
          <w:tcPr>
            <w:tcW w:w="1838" w:type="dxa"/>
          </w:tcPr>
          <w:p w:rsidR="00203ADB" w:rsidRDefault="00203ADB" w:rsidP="00203ADB">
            <w:pPr>
              <w:tabs>
                <w:tab w:val="clear" w:pos="851"/>
              </w:tabs>
              <w:spacing w:after="0"/>
              <w:ind w:left="0"/>
              <w:jc w:val="left"/>
              <w:rPr>
                <w:rFonts w:cs="Arial"/>
                <w:sz w:val="16"/>
                <w:szCs w:val="16"/>
              </w:rPr>
            </w:pPr>
            <w:r>
              <w:rPr>
                <w:rFonts w:cs="Arial"/>
                <w:sz w:val="16"/>
                <w:szCs w:val="16"/>
              </w:rPr>
              <w:t>2.19</w:t>
            </w:r>
          </w:p>
        </w:tc>
        <w:tc>
          <w:tcPr>
            <w:tcW w:w="4173" w:type="dxa"/>
          </w:tcPr>
          <w:p w:rsidR="00203ADB" w:rsidRDefault="00203ADB" w:rsidP="00203ADB">
            <w:pPr>
              <w:tabs>
                <w:tab w:val="clear" w:pos="851"/>
              </w:tabs>
              <w:spacing w:after="0"/>
              <w:ind w:left="0"/>
              <w:jc w:val="left"/>
              <w:rPr>
                <w:rFonts w:cs="Arial"/>
                <w:sz w:val="16"/>
                <w:szCs w:val="16"/>
              </w:rPr>
            </w:pPr>
            <w:r>
              <w:rPr>
                <w:rFonts w:cs="Arial"/>
                <w:sz w:val="16"/>
                <w:szCs w:val="16"/>
              </w:rPr>
              <w:t>Developers Research</w:t>
            </w:r>
          </w:p>
        </w:tc>
        <w:tc>
          <w:tcPr>
            <w:tcW w:w="1781" w:type="dxa"/>
          </w:tcPr>
          <w:p w:rsidR="00203ADB" w:rsidRDefault="00177760" w:rsidP="00203ADB">
            <w:pPr>
              <w:tabs>
                <w:tab w:val="clear" w:pos="851"/>
              </w:tabs>
              <w:spacing w:after="0"/>
              <w:ind w:left="0"/>
              <w:jc w:val="left"/>
              <w:rPr>
                <w:rFonts w:cs="Arial"/>
                <w:sz w:val="16"/>
                <w:szCs w:val="16"/>
              </w:rPr>
            </w:pPr>
            <w:r>
              <w:rPr>
                <w:rFonts w:cs="Arial"/>
                <w:sz w:val="16"/>
                <w:szCs w:val="16"/>
              </w:rPr>
              <w:t>April 2018</w:t>
            </w:r>
          </w:p>
        </w:tc>
      </w:tr>
      <w:tr w:rsidR="00203ADB" w:rsidRPr="001E0DCD" w:rsidTr="00203ADB">
        <w:trPr>
          <w:jc w:val="center"/>
        </w:trPr>
        <w:tc>
          <w:tcPr>
            <w:tcW w:w="1838" w:type="dxa"/>
          </w:tcPr>
          <w:p w:rsidR="00203ADB" w:rsidRDefault="00177760" w:rsidP="00203ADB">
            <w:pPr>
              <w:tabs>
                <w:tab w:val="clear" w:pos="851"/>
              </w:tabs>
              <w:spacing w:after="0"/>
              <w:ind w:left="0"/>
              <w:jc w:val="left"/>
              <w:rPr>
                <w:rFonts w:cs="Arial"/>
                <w:sz w:val="16"/>
                <w:szCs w:val="16"/>
              </w:rPr>
            </w:pPr>
            <w:r>
              <w:rPr>
                <w:rFonts w:cs="Arial"/>
                <w:sz w:val="16"/>
                <w:szCs w:val="16"/>
              </w:rPr>
              <w:t>2.8</w:t>
            </w:r>
          </w:p>
        </w:tc>
        <w:tc>
          <w:tcPr>
            <w:tcW w:w="4173" w:type="dxa"/>
          </w:tcPr>
          <w:p w:rsidR="00203ADB" w:rsidRDefault="00177760" w:rsidP="00203ADB">
            <w:pPr>
              <w:tabs>
                <w:tab w:val="clear" w:pos="851"/>
              </w:tabs>
              <w:spacing w:after="0"/>
              <w:ind w:left="0"/>
              <w:jc w:val="left"/>
              <w:rPr>
                <w:rFonts w:cs="Arial"/>
                <w:sz w:val="16"/>
                <w:szCs w:val="16"/>
              </w:rPr>
            </w:pPr>
            <w:r>
              <w:rPr>
                <w:rFonts w:cs="Arial"/>
                <w:sz w:val="16"/>
                <w:szCs w:val="16"/>
              </w:rPr>
              <w:t>Institute of Customer Service Report</w:t>
            </w:r>
          </w:p>
        </w:tc>
        <w:tc>
          <w:tcPr>
            <w:tcW w:w="1781" w:type="dxa"/>
          </w:tcPr>
          <w:p w:rsidR="00203ADB" w:rsidRDefault="00177760" w:rsidP="00203ADB">
            <w:pPr>
              <w:tabs>
                <w:tab w:val="clear" w:pos="851"/>
              </w:tabs>
              <w:spacing w:after="0"/>
              <w:ind w:left="0"/>
              <w:jc w:val="left"/>
              <w:rPr>
                <w:rFonts w:cs="Arial"/>
                <w:sz w:val="16"/>
                <w:szCs w:val="16"/>
              </w:rPr>
            </w:pPr>
            <w:r>
              <w:rPr>
                <w:rFonts w:cs="Arial"/>
                <w:sz w:val="16"/>
                <w:szCs w:val="16"/>
              </w:rPr>
              <w:t>July 2017</w:t>
            </w:r>
          </w:p>
        </w:tc>
      </w:tr>
    </w:tbl>
    <w:p w:rsidR="00203ADB" w:rsidRPr="00E87FAF" w:rsidRDefault="00203ADB" w:rsidP="00BE2349">
      <w:pPr>
        <w:rPr>
          <w:rFonts w:cs="Arial"/>
        </w:rPr>
      </w:pPr>
    </w:p>
    <w:p w:rsidR="008B3495" w:rsidRDefault="008B3495">
      <w:pPr>
        <w:tabs>
          <w:tab w:val="clear" w:pos="851"/>
        </w:tabs>
        <w:spacing w:after="0"/>
        <w:ind w:left="0"/>
        <w:jc w:val="left"/>
        <w:rPr>
          <w:rFonts w:cs="Arial"/>
          <w:b/>
        </w:rPr>
      </w:pPr>
      <w:r>
        <w:rPr>
          <w:rFonts w:cs="Arial"/>
          <w:b/>
        </w:rPr>
        <w:br w:type="page"/>
      </w:r>
    </w:p>
    <w:p w:rsidR="008E7569" w:rsidRDefault="008E7569" w:rsidP="0005234B">
      <w:pPr>
        <w:pStyle w:val="Heading1"/>
      </w:pPr>
      <w:bookmarkStart w:id="131" w:name="_Toc522200006"/>
      <w:bookmarkStart w:id="132" w:name="_Toc522200103"/>
      <w:bookmarkStart w:id="133" w:name="_Toc523651284"/>
      <w:r>
        <w:t>Addressing affordability and vulnerability</w:t>
      </w:r>
      <w:bookmarkEnd w:id="131"/>
      <w:bookmarkEnd w:id="132"/>
      <w:bookmarkEnd w:id="133"/>
    </w:p>
    <w:p w:rsidR="007E696C" w:rsidRDefault="007E696C" w:rsidP="00802B2B">
      <w:pPr>
        <w:pStyle w:val="Heading2"/>
      </w:pPr>
      <w:bookmarkStart w:id="134" w:name="_Toc522200007"/>
      <w:bookmarkStart w:id="135" w:name="_Toc522200104"/>
      <w:bookmarkStart w:id="136" w:name="_Toc523651285"/>
      <w:r w:rsidRPr="00A7546D">
        <w:t>Affordability</w:t>
      </w:r>
      <w:bookmarkEnd w:id="134"/>
      <w:bookmarkEnd w:id="135"/>
      <w:bookmarkEnd w:id="136"/>
    </w:p>
    <w:p w:rsidR="006B7D96" w:rsidRDefault="006B7D96" w:rsidP="008041B4">
      <w:pPr>
        <w:spacing w:after="0"/>
      </w:pPr>
      <w:r w:rsidRPr="00F912F8">
        <w:t xml:space="preserve">Our </w:t>
      </w:r>
      <w:r>
        <w:t>strategy delivers:-</w:t>
      </w:r>
    </w:p>
    <w:p w:rsidR="006B7D96" w:rsidRPr="00E62463" w:rsidRDefault="006B7D96" w:rsidP="008041B4">
      <w:pPr>
        <w:pStyle w:val="Bullets"/>
      </w:pPr>
      <w:r>
        <w:t xml:space="preserve">Affordability and value for money – </w:t>
      </w:r>
      <w:r w:rsidRPr="00E62463">
        <w:t>We will maintain our position as having the lowest bill in the industry by a considerab</w:t>
      </w:r>
      <w:r>
        <w:t>le margin.  We will keep</w:t>
      </w:r>
      <w:r w:rsidRPr="00E62463">
        <w:t xml:space="preserve"> average </w:t>
      </w:r>
      <w:r>
        <w:t xml:space="preserve">household </w:t>
      </w:r>
      <w:r w:rsidRPr="00E62463">
        <w:t>bills at less than</w:t>
      </w:r>
      <w:r>
        <w:t xml:space="preserve"> </w:t>
      </w:r>
      <w:r w:rsidRPr="00E62463">
        <w:t>0.5% of average household incomes.</w:t>
      </w:r>
    </w:p>
    <w:p w:rsidR="006B7D96" w:rsidRDefault="006B7D96" w:rsidP="008041B4">
      <w:pPr>
        <w:pStyle w:val="Bullets"/>
      </w:pPr>
      <w:r>
        <w:t xml:space="preserve">Affordability in the long term – </w:t>
      </w:r>
      <w:r w:rsidRPr="00E62463">
        <w:t>Flat bills, in real terms, over the next 15 years.</w:t>
      </w:r>
    </w:p>
    <w:p w:rsidR="006B7D96" w:rsidRDefault="006B7D96" w:rsidP="008041B4">
      <w:pPr>
        <w:pStyle w:val="Bullets"/>
      </w:pPr>
      <w:r>
        <w:t>Affordability for those struggling to pay, or at risk of str</w:t>
      </w:r>
      <w:r w:rsidRPr="00F912F8">
        <w:t>uggling to pay</w:t>
      </w:r>
      <w:r>
        <w:t xml:space="preserve"> – We will increase</w:t>
      </w:r>
      <w:r w:rsidRPr="00E62463">
        <w:t xml:space="preserve"> the number on our Social Tariff to 8000 by 2025.</w:t>
      </w:r>
      <w:r>
        <w:t xml:space="preserve">  </w:t>
      </w:r>
      <w:r w:rsidRPr="00E62463">
        <w:t>We will keep our Social Tariff at less than 0.5% of the Government</w:t>
      </w:r>
      <w:r w:rsidR="00CB4267">
        <w:t>’</w:t>
      </w:r>
      <w:r w:rsidRPr="00E62463">
        <w:t xml:space="preserve">s </w:t>
      </w:r>
      <w:r w:rsidR="00CB4267" w:rsidRPr="00E62463">
        <w:t>low-income</w:t>
      </w:r>
      <w:r w:rsidRPr="00E62463">
        <w:t xml:space="preserve"> household income threshold</w:t>
      </w:r>
      <w:r>
        <w:t>.</w:t>
      </w:r>
    </w:p>
    <w:p w:rsidR="008041B4" w:rsidRDefault="008041B4" w:rsidP="008041B4">
      <w:pPr>
        <w:pStyle w:val="Bullets"/>
        <w:numPr>
          <w:ilvl w:val="0"/>
          <w:numId w:val="0"/>
        </w:numPr>
        <w:ind w:left="1854"/>
      </w:pPr>
    </w:p>
    <w:p w:rsidR="006B7D96" w:rsidRDefault="006B7D96" w:rsidP="006B7D96">
      <w:r>
        <w:t>How will we ensure affordability? – Key questions and answers</w:t>
      </w:r>
    </w:p>
    <w:tbl>
      <w:tblPr>
        <w:tblStyle w:val="TableGrid13"/>
        <w:tblW w:w="8788" w:type="dxa"/>
        <w:tblInd w:w="846" w:type="dxa"/>
        <w:tblLook w:val="04A0" w:firstRow="1" w:lastRow="0" w:firstColumn="1" w:lastColumn="0" w:noHBand="0" w:noVBand="1"/>
      </w:tblPr>
      <w:tblGrid>
        <w:gridCol w:w="3685"/>
        <w:gridCol w:w="5103"/>
      </w:tblGrid>
      <w:tr w:rsidR="006B7D96" w:rsidRPr="0034678D" w:rsidTr="008B62E5">
        <w:tc>
          <w:tcPr>
            <w:tcW w:w="3685" w:type="dxa"/>
          </w:tcPr>
          <w:p w:rsidR="006B7D96" w:rsidRPr="0034678D" w:rsidRDefault="006B7D96" w:rsidP="006B7D96">
            <w:pPr>
              <w:tabs>
                <w:tab w:val="clear" w:pos="851"/>
              </w:tabs>
              <w:spacing w:after="0"/>
              <w:ind w:left="0"/>
              <w:jc w:val="left"/>
              <w:rPr>
                <w:rFonts w:cs="Arial"/>
                <w:sz w:val="16"/>
                <w:szCs w:val="16"/>
              </w:rPr>
            </w:pPr>
            <w:r w:rsidRPr="0034678D">
              <w:rPr>
                <w:rFonts w:cs="Arial"/>
                <w:sz w:val="16"/>
                <w:szCs w:val="16"/>
              </w:rPr>
              <w:t>Ofwat principle 1: Customer engagement – how well have we engaged with customers on overall affordability and value now, in the long term and assistance for those who struggle to pay?</w:t>
            </w:r>
          </w:p>
        </w:tc>
        <w:tc>
          <w:tcPr>
            <w:tcW w:w="5103" w:type="dxa"/>
          </w:tcPr>
          <w:p w:rsidR="006B7D96" w:rsidRPr="0034678D" w:rsidRDefault="006B7D96" w:rsidP="006B7D96">
            <w:pPr>
              <w:tabs>
                <w:tab w:val="clear" w:pos="851"/>
              </w:tabs>
              <w:spacing w:after="0"/>
              <w:ind w:left="0"/>
              <w:jc w:val="left"/>
              <w:rPr>
                <w:rFonts w:cs="Arial"/>
                <w:sz w:val="16"/>
                <w:szCs w:val="16"/>
              </w:rPr>
            </w:pPr>
            <w:r w:rsidRPr="0034678D">
              <w:rPr>
                <w:rFonts w:cs="Arial"/>
                <w:sz w:val="16"/>
                <w:szCs w:val="16"/>
              </w:rPr>
              <w:t xml:space="preserve">We have engaged with support agencies, customers with historic and current affordability challenges, future customers and representative groups of customers based on socio-economic groupings. </w:t>
            </w:r>
          </w:p>
          <w:p w:rsidR="006B7D96" w:rsidRPr="0034678D" w:rsidRDefault="006B7D96" w:rsidP="006B7D96">
            <w:pPr>
              <w:tabs>
                <w:tab w:val="clear" w:pos="851"/>
              </w:tabs>
              <w:spacing w:after="0"/>
              <w:ind w:left="0"/>
              <w:jc w:val="left"/>
              <w:rPr>
                <w:rFonts w:cs="Arial"/>
                <w:sz w:val="16"/>
                <w:szCs w:val="16"/>
              </w:rPr>
            </w:pPr>
            <w:r w:rsidRPr="0034678D">
              <w:rPr>
                <w:rFonts w:cs="Arial"/>
                <w:sz w:val="16"/>
                <w:szCs w:val="16"/>
              </w:rPr>
              <w:t>We have used focus groups, on-line surveys, a Customer Advisory Panel and triangulated the findings using external data and a wealth of internal information this is constantly captured and reviewed as part of business as usual.</w:t>
            </w:r>
          </w:p>
        </w:tc>
      </w:tr>
      <w:tr w:rsidR="006B7D96" w:rsidRPr="0034678D" w:rsidTr="008B62E5">
        <w:tc>
          <w:tcPr>
            <w:tcW w:w="3685" w:type="dxa"/>
          </w:tcPr>
          <w:p w:rsidR="006B7D96" w:rsidRPr="0034678D" w:rsidRDefault="006B7D96" w:rsidP="006B7D96">
            <w:pPr>
              <w:tabs>
                <w:tab w:val="clear" w:pos="851"/>
              </w:tabs>
              <w:spacing w:after="0"/>
              <w:ind w:left="0"/>
              <w:jc w:val="left"/>
              <w:rPr>
                <w:rFonts w:cs="Arial"/>
                <w:sz w:val="16"/>
                <w:szCs w:val="16"/>
              </w:rPr>
            </w:pPr>
            <w:r w:rsidRPr="0034678D">
              <w:rPr>
                <w:rFonts w:cs="Arial"/>
                <w:sz w:val="16"/>
                <w:szCs w:val="16"/>
              </w:rPr>
              <w:t>Ofwat principle 2: Customer Support – how well do we understand what affordability looks like for its customers and how this reflected in the proposals?</w:t>
            </w:r>
          </w:p>
        </w:tc>
        <w:tc>
          <w:tcPr>
            <w:tcW w:w="5103" w:type="dxa"/>
          </w:tcPr>
          <w:p w:rsidR="006B7D96" w:rsidRPr="0034678D" w:rsidRDefault="006B7D96" w:rsidP="007F6FD3">
            <w:pPr>
              <w:tabs>
                <w:tab w:val="clear" w:pos="851"/>
              </w:tabs>
              <w:spacing w:after="0"/>
              <w:ind w:left="0"/>
              <w:jc w:val="left"/>
              <w:rPr>
                <w:rFonts w:cs="Arial"/>
                <w:sz w:val="16"/>
                <w:szCs w:val="16"/>
              </w:rPr>
            </w:pPr>
            <w:r w:rsidRPr="0034678D">
              <w:rPr>
                <w:rFonts w:cs="Arial"/>
                <w:sz w:val="16"/>
                <w:szCs w:val="16"/>
              </w:rPr>
              <w:t>We have used data to analyse debt patterns, compare our customers’ debt with deprivation information. We directly employ field staff that spend every day out visiting customers.  This gives us real insight into our customers, those with genuine hardship, along with those that do not consider their water bill to be a priority.</w:t>
            </w:r>
          </w:p>
        </w:tc>
      </w:tr>
      <w:tr w:rsidR="006B7D96" w:rsidRPr="0034678D" w:rsidTr="008B62E5">
        <w:tc>
          <w:tcPr>
            <w:tcW w:w="3685" w:type="dxa"/>
          </w:tcPr>
          <w:p w:rsidR="006B7D96" w:rsidRPr="0034678D" w:rsidRDefault="006B7D96" w:rsidP="006B7D96">
            <w:pPr>
              <w:tabs>
                <w:tab w:val="clear" w:pos="851"/>
              </w:tabs>
              <w:spacing w:after="0"/>
              <w:ind w:left="0"/>
              <w:jc w:val="left"/>
              <w:rPr>
                <w:rFonts w:cs="Arial"/>
                <w:sz w:val="16"/>
                <w:szCs w:val="16"/>
              </w:rPr>
            </w:pPr>
            <w:r w:rsidRPr="0034678D">
              <w:rPr>
                <w:rFonts w:cs="Arial"/>
                <w:sz w:val="16"/>
                <w:szCs w:val="16"/>
              </w:rPr>
              <w:t>Ofwat principle 3: Effectiveness – how effectively does the company’s business plan improve affordability?  What are the benefits of the company’s measures?</w:t>
            </w:r>
          </w:p>
        </w:tc>
        <w:tc>
          <w:tcPr>
            <w:tcW w:w="5103" w:type="dxa"/>
          </w:tcPr>
          <w:p w:rsidR="006B7D96" w:rsidRPr="0034678D" w:rsidRDefault="006B7D96" w:rsidP="006B7D96">
            <w:pPr>
              <w:tabs>
                <w:tab w:val="clear" w:pos="851"/>
              </w:tabs>
              <w:spacing w:after="0"/>
              <w:ind w:left="0"/>
              <w:jc w:val="left"/>
              <w:rPr>
                <w:rFonts w:cs="Arial"/>
                <w:sz w:val="16"/>
                <w:szCs w:val="16"/>
              </w:rPr>
            </w:pPr>
            <w:r w:rsidRPr="0034678D">
              <w:rPr>
                <w:rFonts w:cs="Arial"/>
                <w:sz w:val="16"/>
                <w:szCs w:val="16"/>
              </w:rPr>
              <w:t xml:space="preserve">We are making a clear promise on bill levels in terms of both low incomes and average incomes.  Our bill is the lowest in the country, therefore the most affordable.  However, we recognise that however low a bill is it will not be affordable to </w:t>
            </w:r>
            <w:r w:rsidR="00CB4267" w:rsidRPr="0034678D">
              <w:rPr>
                <w:rFonts w:cs="Arial"/>
                <w:sz w:val="16"/>
                <w:szCs w:val="16"/>
              </w:rPr>
              <w:t>all;</w:t>
            </w:r>
            <w:r w:rsidRPr="0034678D">
              <w:rPr>
                <w:rFonts w:cs="Arial"/>
                <w:sz w:val="16"/>
                <w:szCs w:val="16"/>
              </w:rPr>
              <w:t xml:space="preserve"> </w:t>
            </w:r>
            <w:r w:rsidR="00CB4267" w:rsidRPr="0034678D">
              <w:rPr>
                <w:rFonts w:cs="Arial"/>
                <w:sz w:val="16"/>
                <w:szCs w:val="16"/>
              </w:rPr>
              <w:t>hence,</w:t>
            </w:r>
            <w:r w:rsidRPr="0034678D">
              <w:rPr>
                <w:rFonts w:cs="Arial"/>
                <w:sz w:val="16"/>
                <w:szCs w:val="16"/>
              </w:rPr>
              <w:t xml:space="preserve"> every member of our Debt and Affordability team can agree token payments for customers with genuine hardship.  We would rather have £1 a month than nothing at all, as we believe that being in the paying habit is essential and payment levels can be revised upwards when the customer’s personal circumstances improve. We understand that affordable payments may mean that the whole of our bill cannot be cleared within the period that it applies to.</w:t>
            </w:r>
          </w:p>
        </w:tc>
      </w:tr>
      <w:tr w:rsidR="006B7D96" w:rsidRPr="0034678D" w:rsidTr="008B62E5">
        <w:tc>
          <w:tcPr>
            <w:tcW w:w="3685" w:type="dxa"/>
          </w:tcPr>
          <w:p w:rsidR="006B7D96" w:rsidRPr="0034678D" w:rsidRDefault="006B7D96" w:rsidP="006B7D96">
            <w:pPr>
              <w:tabs>
                <w:tab w:val="clear" w:pos="851"/>
              </w:tabs>
              <w:spacing w:after="0"/>
              <w:ind w:left="0"/>
              <w:jc w:val="left"/>
              <w:rPr>
                <w:rFonts w:cs="Arial"/>
                <w:sz w:val="16"/>
                <w:szCs w:val="16"/>
              </w:rPr>
            </w:pPr>
            <w:r w:rsidRPr="0034678D">
              <w:rPr>
                <w:rFonts w:cs="Arial"/>
                <w:sz w:val="16"/>
                <w:szCs w:val="16"/>
              </w:rPr>
              <w:t>Principle 4: Efficie</w:t>
            </w:r>
            <w:r w:rsidR="00CB4267">
              <w:rPr>
                <w:rFonts w:cs="Arial"/>
                <w:sz w:val="16"/>
                <w:szCs w:val="16"/>
              </w:rPr>
              <w:t>ncy – what difference will the C</w:t>
            </w:r>
            <w:r w:rsidRPr="0034678D">
              <w:rPr>
                <w:rFonts w:cs="Arial"/>
                <w:sz w:val="16"/>
                <w:szCs w:val="16"/>
              </w:rPr>
              <w:t>ompany’s proposed measures to address affordability make compared to the cost of other interventions? Are the measures the most cost effective means of support?</w:t>
            </w:r>
          </w:p>
        </w:tc>
        <w:tc>
          <w:tcPr>
            <w:tcW w:w="5103" w:type="dxa"/>
          </w:tcPr>
          <w:p w:rsidR="006B7D96" w:rsidRPr="0034678D" w:rsidRDefault="006B7D96" w:rsidP="007F6FD3">
            <w:pPr>
              <w:tabs>
                <w:tab w:val="clear" w:pos="851"/>
              </w:tabs>
              <w:spacing w:after="0"/>
              <w:ind w:left="0"/>
              <w:jc w:val="left"/>
              <w:rPr>
                <w:rFonts w:cs="Arial"/>
                <w:sz w:val="16"/>
                <w:szCs w:val="16"/>
              </w:rPr>
            </w:pPr>
            <w:r w:rsidRPr="0034678D">
              <w:rPr>
                <w:rFonts w:cs="Arial"/>
                <w:sz w:val="16"/>
                <w:szCs w:val="16"/>
              </w:rPr>
              <w:t xml:space="preserve">We believe that a personal local service is the best way to serve customers with affordability and vulnerability issues, not forgetting that these often go hand in hand.  We will resource this area as required to serve customers in line with our values and behaviours.  However, we see opportunities, within the current bill level, to expand our self-service options and thereby reduce costs on other retail areas to continue to support this work.  </w:t>
            </w:r>
            <w:r w:rsidR="00CB4267" w:rsidRPr="0034678D">
              <w:rPr>
                <w:rFonts w:cs="Arial"/>
                <w:sz w:val="16"/>
                <w:szCs w:val="16"/>
              </w:rPr>
              <w:t>In addition</w:t>
            </w:r>
            <w:r w:rsidRPr="0034678D">
              <w:rPr>
                <w:rFonts w:cs="Arial"/>
                <w:sz w:val="16"/>
                <w:szCs w:val="16"/>
              </w:rPr>
              <w:t xml:space="preserve">, we are striving to manage more with data, knowing our customers better, so that a personal service, for those that need it, is well targeted and not a cost </w:t>
            </w:r>
            <w:r w:rsidR="007F6FD3">
              <w:rPr>
                <w:rFonts w:cs="Arial"/>
                <w:sz w:val="16"/>
                <w:szCs w:val="16"/>
              </w:rPr>
              <w:t xml:space="preserve">impact </w:t>
            </w:r>
            <w:r w:rsidRPr="0034678D">
              <w:rPr>
                <w:rFonts w:cs="Arial"/>
                <w:sz w:val="16"/>
                <w:szCs w:val="16"/>
              </w:rPr>
              <w:t>to other customers.</w:t>
            </w:r>
            <w:r w:rsidR="009E1269">
              <w:rPr>
                <w:rFonts w:cs="Arial"/>
                <w:sz w:val="16"/>
                <w:szCs w:val="16"/>
              </w:rPr>
              <w:t xml:space="preserve">  We have considered other approaches but believe our strategy to be the most appropriate and cost effective, given our size and ethos.</w:t>
            </w:r>
          </w:p>
        </w:tc>
      </w:tr>
      <w:tr w:rsidR="006B7D96" w:rsidRPr="0034678D" w:rsidTr="008B62E5">
        <w:tc>
          <w:tcPr>
            <w:tcW w:w="3685" w:type="dxa"/>
          </w:tcPr>
          <w:p w:rsidR="006B7D96" w:rsidRPr="0034678D" w:rsidRDefault="006B7D96" w:rsidP="006B7D96">
            <w:pPr>
              <w:tabs>
                <w:tab w:val="clear" w:pos="851"/>
              </w:tabs>
              <w:spacing w:after="0"/>
              <w:ind w:left="0"/>
              <w:jc w:val="left"/>
              <w:rPr>
                <w:rFonts w:cs="Arial"/>
                <w:sz w:val="16"/>
                <w:szCs w:val="16"/>
              </w:rPr>
            </w:pPr>
            <w:r w:rsidRPr="0034678D">
              <w:rPr>
                <w:rFonts w:cs="Arial"/>
                <w:sz w:val="16"/>
                <w:szCs w:val="16"/>
              </w:rPr>
              <w:t>Principle 5: Accessibility – what will the company do to ensure that customers who are struggling to pay have easy access to help and support?</w:t>
            </w:r>
          </w:p>
          <w:p w:rsidR="006B7D96" w:rsidRPr="0034678D" w:rsidRDefault="006B7D96" w:rsidP="006B7D96">
            <w:pPr>
              <w:tabs>
                <w:tab w:val="clear" w:pos="851"/>
              </w:tabs>
              <w:spacing w:after="0"/>
              <w:ind w:left="0"/>
              <w:jc w:val="left"/>
              <w:rPr>
                <w:rFonts w:cs="Arial"/>
                <w:sz w:val="16"/>
                <w:szCs w:val="16"/>
              </w:rPr>
            </w:pPr>
          </w:p>
        </w:tc>
        <w:tc>
          <w:tcPr>
            <w:tcW w:w="5103" w:type="dxa"/>
          </w:tcPr>
          <w:p w:rsidR="006B7D96" w:rsidRPr="0034678D" w:rsidRDefault="006B7D96" w:rsidP="00F46992">
            <w:pPr>
              <w:tabs>
                <w:tab w:val="clear" w:pos="851"/>
              </w:tabs>
              <w:spacing w:after="0"/>
              <w:ind w:left="0"/>
              <w:jc w:val="left"/>
              <w:rPr>
                <w:rFonts w:cs="Arial"/>
                <w:sz w:val="16"/>
                <w:szCs w:val="16"/>
              </w:rPr>
            </w:pPr>
            <w:r w:rsidRPr="0034678D">
              <w:rPr>
                <w:rFonts w:cs="Arial"/>
                <w:sz w:val="16"/>
                <w:szCs w:val="16"/>
              </w:rPr>
              <w:t xml:space="preserve">We will continue with home visits.  We are </w:t>
            </w:r>
            <w:r w:rsidR="00F46992">
              <w:rPr>
                <w:rFonts w:cs="Arial"/>
                <w:sz w:val="16"/>
                <w:szCs w:val="16"/>
              </w:rPr>
              <w:t xml:space="preserve">continually </w:t>
            </w:r>
            <w:r w:rsidRPr="0034678D">
              <w:rPr>
                <w:rFonts w:cs="Arial"/>
                <w:sz w:val="16"/>
                <w:szCs w:val="16"/>
              </w:rPr>
              <w:t>expanding our work with outside agencies and trying to make contact and connect with those with financial vulnerability.  We do things such as drop in sessions, for example at local housing associations, often attending in collaboration with Southern Water, who provide the sewerage services, and bill separately, with our area of supply.</w:t>
            </w:r>
          </w:p>
        </w:tc>
      </w:tr>
    </w:tbl>
    <w:p w:rsidR="008B3495" w:rsidRDefault="008B3495" w:rsidP="00AA565B">
      <w:pPr>
        <w:rPr>
          <w:rFonts w:cs="Arial"/>
          <w:b/>
          <w:u w:val="single"/>
        </w:rPr>
      </w:pPr>
    </w:p>
    <w:p w:rsidR="008B3495" w:rsidRDefault="008B3495">
      <w:pPr>
        <w:tabs>
          <w:tab w:val="clear" w:pos="851"/>
        </w:tabs>
        <w:spacing w:after="0"/>
        <w:ind w:left="0"/>
        <w:jc w:val="left"/>
        <w:rPr>
          <w:rFonts w:cs="Arial"/>
          <w:b/>
          <w:u w:val="single"/>
        </w:rPr>
      </w:pPr>
      <w:r>
        <w:rPr>
          <w:rFonts w:cs="Arial"/>
          <w:b/>
          <w:u w:val="single"/>
        </w:rPr>
        <w:br w:type="page"/>
      </w:r>
    </w:p>
    <w:p w:rsidR="006B7D96" w:rsidRDefault="006B7D96" w:rsidP="006B7D96">
      <w:pPr>
        <w:rPr>
          <w:rFonts w:cs="Arial"/>
          <w:b/>
          <w:u w:val="single"/>
        </w:rPr>
      </w:pPr>
      <w:r w:rsidRPr="00526D5E">
        <w:rPr>
          <w:rFonts w:cs="Arial"/>
          <w:b/>
          <w:u w:val="single"/>
        </w:rPr>
        <w:t>Affordability and value for money</w:t>
      </w:r>
    </w:p>
    <w:p w:rsidR="006B7D96" w:rsidRPr="00AB35E4" w:rsidRDefault="006B7D96" w:rsidP="006B7D96">
      <w:pPr>
        <w:rPr>
          <w:rFonts w:cs="Arial"/>
          <w:b/>
        </w:rPr>
      </w:pPr>
      <w:r w:rsidRPr="00AB35E4">
        <w:rPr>
          <w:rFonts w:cs="Arial"/>
          <w:b/>
        </w:rPr>
        <w:t>Business Plan Commitment - Average Household bills to be no more than 0.5% of average household incomes.</w:t>
      </w:r>
    </w:p>
    <w:p w:rsidR="006B7D96" w:rsidRDefault="006B7D96" w:rsidP="006B7D96">
      <w:pPr>
        <w:rPr>
          <w:rFonts w:cs="Arial"/>
        </w:rPr>
      </w:pPr>
      <w:r>
        <w:rPr>
          <w:rFonts w:cs="Arial"/>
        </w:rPr>
        <w:t>Our research has shown that customers believe that the best way to manage affordability is to keep</w:t>
      </w:r>
      <w:r w:rsidR="006F76A4">
        <w:rPr>
          <w:rFonts w:cs="Arial"/>
        </w:rPr>
        <w:t xml:space="preserve"> all</w:t>
      </w:r>
      <w:r>
        <w:rPr>
          <w:rFonts w:cs="Arial"/>
        </w:rPr>
        <w:t xml:space="preserve"> bills low.  Having the lowest bill in the industry makes our bill the most affordable.  Customers support continuation of our existing Helping Hand Social Tariff for those that are financially vulnerable, but </w:t>
      </w:r>
      <w:r w:rsidR="008D497C">
        <w:rPr>
          <w:rFonts w:cs="Arial"/>
        </w:rPr>
        <w:t xml:space="preserve">also </w:t>
      </w:r>
      <w:r>
        <w:rPr>
          <w:rFonts w:cs="Arial"/>
        </w:rPr>
        <w:t>said that our</w:t>
      </w:r>
      <w:r w:rsidR="00305B58">
        <w:rPr>
          <w:rFonts w:cs="Arial"/>
        </w:rPr>
        <w:t xml:space="preserve"> low bill, at an average of £10</w:t>
      </w:r>
      <w:r w:rsidR="00A67852">
        <w:rPr>
          <w:rFonts w:cs="Arial"/>
        </w:rPr>
        <w:t>1</w:t>
      </w:r>
      <w:r>
        <w:rPr>
          <w:rFonts w:cs="Arial"/>
        </w:rPr>
        <w:t xml:space="preserve">, </w:t>
      </w:r>
      <w:r w:rsidR="007F6FD3">
        <w:rPr>
          <w:rFonts w:cs="Arial"/>
        </w:rPr>
        <w:t xml:space="preserve">before AMP7 reductions, </w:t>
      </w:r>
      <w:r>
        <w:rPr>
          <w:rFonts w:cs="Arial"/>
        </w:rPr>
        <w:t xml:space="preserve">helps </w:t>
      </w:r>
      <w:r w:rsidR="008D497C">
        <w:rPr>
          <w:rFonts w:cs="Arial"/>
        </w:rPr>
        <w:t>all of our customers and not just those least able to pay.</w:t>
      </w:r>
    </w:p>
    <w:p w:rsidR="006B7D96" w:rsidRDefault="006B7D96" w:rsidP="006B7D96">
      <w:pPr>
        <w:rPr>
          <w:rFonts w:cs="Arial"/>
        </w:rPr>
      </w:pPr>
      <w:r>
        <w:rPr>
          <w:rFonts w:cs="Arial"/>
        </w:rPr>
        <w:t>The 2017-18 Water Matters report from CCWater shows 87% of our customers agree their water charges are affordable, the highest percentage in the industry.</w:t>
      </w:r>
    </w:p>
    <w:p w:rsidR="006B7D96" w:rsidRDefault="006B7D96" w:rsidP="006B7D96">
      <w:pPr>
        <w:rPr>
          <w:rFonts w:cs="Arial"/>
        </w:rPr>
      </w:pPr>
      <w:r>
        <w:rPr>
          <w:rFonts w:cs="Arial"/>
        </w:rPr>
        <w:t xml:space="preserve">Portsmouth Water has a long history of providing the lowest water supply bill in the country and is committed to continuing to </w:t>
      </w:r>
      <w:r w:rsidR="008D497C">
        <w:rPr>
          <w:rFonts w:cs="Arial"/>
        </w:rPr>
        <w:t xml:space="preserve">ensure </w:t>
      </w:r>
      <w:r>
        <w:rPr>
          <w:rFonts w:cs="Arial"/>
        </w:rPr>
        <w:t>affordability now</w:t>
      </w:r>
      <w:r w:rsidR="008D497C">
        <w:rPr>
          <w:rFonts w:cs="Arial"/>
        </w:rPr>
        <w:t xml:space="preserve"> and </w:t>
      </w:r>
      <w:r>
        <w:rPr>
          <w:rFonts w:cs="Arial"/>
        </w:rPr>
        <w:t xml:space="preserve">in the future </w:t>
      </w:r>
      <w:r w:rsidR="008D497C">
        <w:rPr>
          <w:rFonts w:cs="Arial"/>
        </w:rPr>
        <w:t xml:space="preserve">for all </w:t>
      </w:r>
      <w:r>
        <w:rPr>
          <w:rFonts w:cs="Arial"/>
        </w:rPr>
        <w:t xml:space="preserve">and </w:t>
      </w:r>
      <w:r w:rsidR="008D497C">
        <w:rPr>
          <w:rFonts w:cs="Arial"/>
        </w:rPr>
        <w:t xml:space="preserve">delivering special help </w:t>
      </w:r>
      <w:r>
        <w:rPr>
          <w:rFonts w:cs="Arial"/>
        </w:rPr>
        <w:t>for those that are struggling to pay.</w:t>
      </w:r>
    </w:p>
    <w:p w:rsidR="006B7D96" w:rsidRPr="0078128B" w:rsidRDefault="006B7D96" w:rsidP="006B7D96">
      <w:pPr>
        <w:rPr>
          <w:rFonts w:cs="Arial"/>
        </w:rPr>
      </w:pPr>
      <w:r w:rsidRPr="0078128B">
        <w:rPr>
          <w:rFonts w:cs="Arial"/>
        </w:rPr>
        <w:t>How Portsmouth Water bills have moved over time</w:t>
      </w:r>
      <w:r>
        <w:rPr>
          <w:rFonts w:cs="Arial"/>
        </w:rPr>
        <w:t>:-</w:t>
      </w:r>
    </w:p>
    <w:p w:rsidR="006B7D96" w:rsidRDefault="006B7D96" w:rsidP="006B7D96">
      <w:pPr>
        <w:rPr>
          <w:rFonts w:cs="Arial"/>
        </w:rPr>
      </w:pPr>
      <w:r w:rsidRPr="0078128B">
        <w:rPr>
          <w:rFonts w:cs="Arial"/>
        </w:rPr>
        <w:t xml:space="preserve">The following graphs show how Portsmouth Water bills have moved over time, in real terms, relative to other water companies, utilities and Council tax.  </w:t>
      </w:r>
      <w:r>
        <w:rPr>
          <w:rFonts w:cs="Arial"/>
        </w:rPr>
        <w:t>As can be seen our bill trend compares favourably against each of these comparisons.</w:t>
      </w:r>
    </w:p>
    <w:p w:rsidR="006B7D96" w:rsidRDefault="006B7D96" w:rsidP="006B7D96">
      <w:pPr>
        <w:rPr>
          <w:rFonts w:cs="Arial"/>
          <w:b/>
        </w:rPr>
      </w:pPr>
      <w:r w:rsidRPr="005F695D">
        <w:rPr>
          <w:rFonts w:cs="Arial"/>
          <w:b/>
        </w:rPr>
        <w:t>Water Industry Bills</w:t>
      </w:r>
    </w:p>
    <w:p w:rsidR="006B7D96" w:rsidRPr="007D676B" w:rsidRDefault="009845F5" w:rsidP="006B7D96">
      <w:pPr>
        <w:rPr>
          <w:i/>
        </w:rPr>
      </w:pPr>
      <w:r w:rsidRPr="009845F5">
        <w:rPr>
          <w:noProof/>
        </w:rPr>
        <w:drawing>
          <wp:inline distT="0" distB="0" distL="0" distR="0">
            <wp:extent cx="5791200" cy="323545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8275" cy="3244998"/>
                    </a:xfrm>
                    <a:prstGeom prst="rect">
                      <a:avLst/>
                    </a:prstGeom>
                    <a:noFill/>
                    <a:ln>
                      <a:noFill/>
                    </a:ln>
                  </pic:spPr>
                </pic:pic>
              </a:graphicData>
            </a:graphic>
          </wp:inline>
        </w:drawing>
      </w:r>
    </w:p>
    <w:p w:rsidR="008B3495" w:rsidRDefault="006B7D96" w:rsidP="006B7D96">
      <w:pPr>
        <w:rPr>
          <w:rFonts w:cs="Arial"/>
        </w:rPr>
      </w:pPr>
      <w:r w:rsidRPr="0078128B">
        <w:rPr>
          <w:rFonts w:cs="Arial"/>
        </w:rPr>
        <w:t xml:space="preserve">This shows a strong trend that Portsmouth </w:t>
      </w:r>
      <w:r w:rsidR="000C1E50">
        <w:rPr>
          <w:rFonts w:cs="Arial"/>
        </w:rPr>
        <w:t>W</w:t>
      </w:r>
      <w:r w:rsidRPr="0078128B">
        <w:rPr>
          <w:rFonts w:cs="Arial"/>
        </w:rPr>
        <w:t>ater bills have fallen relative to inflation over time whilst other water industry bills have increased on average.</w:t>
      </w:r>
    </w:p>
    <w:p w:rsidR="008B3495" w:rsidRDefault="008B3495">
      <w:pPr>
        <w:tabs>
          <w:tab w:val="clear" w:pos="851"/>
        </w:tabs>
        <w:spacing w:after="0"/>
        <w:ind w:left="0"/>
        <w:jc w:val="left"/>
        <w:rPr>
          <w:rFonts w:cs="Arial"/>
        </w:rPr>
      </w:pPr>
      <w:r>
        <w:rPr>
          <w:rFonts w:cs="Arial"/>
        </w:rPr>
        <w:br w:type="page"/>
      </w:r>
    </w:p>
    <w:p w:rsidR="006B7D96" w:rsidRPr="005F695D" w:rsidRDefault="006B7D96" w:rsidP="006B7D96">
      <w:pPr>
        <w:rPr>
          <w:rFonts w:cs="Arial"/>
          <w:b/>
        </w:rPr>
      </w:pPr>
      <w:r w:rsidRPr="005F695D">
        <w:rPr>
          <w:rFonts w:cs="Arial"/>
          <w:b/>
        </w:rPr>
        <w:t>Utility Bills</w:t>
      </w:r>
    </w:p>
    <w:p w:rsidR="006B7D96" w:rsidRDefault="006B7D96" w:rsidP="006B7D96">
      <w:r>
        <w:rPr>
          <w:noProof/>
        </w:rPr>
        <w:drawing>
          <wp:inline distT="0" distB="0" distL="0" distR="0" wp14:anchorId="758CD5C2" wp14:editId="36F16C69">
            <wp:extent cx="4236720" cy="282901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3512" cy="2866941"/>
                    </a:xfrm>
                    <a:prstGeom prst="rect">
                      <a:avLst/>
                    </a:prstGeom>
                  </pic:spPr>
                </pic:pic>
              </a:graphicData>
            </a:graphic>
          </wp:inline>
        </w:drawing>
      </w:r>
    </w:p>
    <w:p w:rsidR="006B7D96" w:rsidRPr="0078128B" w:rsidRDefault="006B7D96" w:rsidP="006B7D96">
      <w:pPr>
        <w:rPr>
          <w:rFonts w:cs="Arial"/>
        </w:rPr>
      </w:pPr>
      <w:r w:rsidRPr="0078128B">
        <w:rPr>
          <w:rFonts w:cs="Arial"/>
        </w:rPr>
        <w:t>This also shows that our water bill has fallen relative to both electricity and gas.</w:t>
      </w:r>
    </w:p>
    <w:p w:rsidR="006B7D96" w:rsidRPr="005F695D" w:rsidRDefault="006B7D96" w:rsidP="006B7D96">
      <w:pPr>
        <w:rPr>
          <w:rFonts w:cs="Arial"/>
          <w:b/>
        </w:rPr>
      </w:pPr>
      <w:r w:rsidRPr="005F695D">
        <w:rPr>
          <w:rFonts w:cs="Arial"/>
          <w:b/>
        </w:rPr>
        <w:t>Council Tax</w:t>
      </w:r>
    </w:p>
    <w:p w:rsidR="006B7D96" w:rsidRDefault="006B7D96" w:rsidP="006B7D96">
      <w:r>
        <w:rPr>
          <w:noProof/>
        </w:rPr>
        <w:drawing>
          <wp:inline distT="0" distB="0" distL="0" distR="0" wp14:anchorId="66D8D893" wp14:editId="27F976D7">
            <wp:extent cx="4937760" cy="30294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5769" cy="3052767"/>
                    </a:xfrm>
                    <a:prstGeom prst="rect">
                      <a:avLst/>
                    </a:prstGeom>
                  </pic:spPr>
                </pic:pic>
              </a:graphicData>
            </a:graphic>
          </wp:inline>
        </w:drawing>
      </w:r>
    </w:p>
    <w:p w:rsidR="006B7D96" w:rsidRPr="0078128B" w:rsidRDefault="008041B4" w:rsidP="006B7D96">
      <w:pPr>
        <w:rPr>
          <w:rFonts w:cs="Arial"/>
        </w:rPr>
      </w:pPr>
      <w:r w:rsidRPr="0078128B">
        <w:rPr>
          <w:rFonts w:cs="Arial"/>
        </w:rPr>
        <w:t>Finally,</w:t>
      </w:r>
      <w:r w:rsidR="006B7D96" w:rsidRPr="0078128B">
        <w:rPr>
          <w:rFonts w:cs="Arial"/>
        </w:rPr>
        <w:t xml:space="preserve"> relative to Council </w:t>
      </w:r>
      <w:r w:rsidR="00F46992">
        <w:rPr>
          <w:rFonts w:cs="Arial"/>
        </w:rPr>
        <w:t>T</w:t>
      </w:r>
      <w:r w:rsidR="006B7D96" w:rsidRPr="0078128B">
        <w:rPr>
          <w:rFonts w:cs="Arial"/>
        </w:rPr>
        <w:t>ax bills over our area of supply again there is a significant difference in profile with water bills showing a better profile and lower level over time in real terms.</w:t>
      </w:r>
    </w:p>
    <w:p w:rsidR="006B7D96" w:rsidRPr="00B700B7" w:rsidRDefault="006B7D96" w:rsidP="006B7D96">
      <w:pPr>
        <w:rPr>
          <w:rFonts w:cs="Arial"/>
        </w:rPr>
      </w:pPr>
      <w:r>
        <w:rPr>
          <w:rFonts w:cs="Arial"/>
        </w:rPr>
        <w:t xml:space="preserve">To keep bills affordable we need to work efficiently to keep our costs to a minimum.  As a small company this can be challenging as often introductory costs of new products and services have fixed elements, which makes them, relatively, more expensive for us than for larger companies.  We have for some time wanted to introduce PayPoint, which finally went live last autumn.  PayPoint, which allows customers to pay our bill at a large selection of local shops and Post </w:t>
      </w:r>
      <w:r w:rsidR="00CB4267">
        <w:rPr>
          <w:rFonts w:cs="Arial"/>
        </w:rPr>
        <w:t>Offices,</w:t>
      </w:r>
      <w:r>
        <w:rPr>
          <w:rFonts w:cs="Arial"/>
        </w:rPr>
        <w:t xml:space="preserve"> is free to the customer and the favoured method of payment for many that </w:t>
      </w:r>
      <w:r w:rsidR="003259BE">
        <w:rPr>
          <w:rFonts w:cs="Arial"/>
        </w:rPr>
        <w:t xml:space="preserve">are </w:t>
      </w:r>
      <w:r>
        <w:rPr>
          <w:rFonts w:cs="Arial"/>
        </w:rPr>
        <w:t>financially, or otherwise, vulnerable.  However, the processing costs are high and supplying barcoded plastic cards relatively expensive where volumes are low.  Accordingly, in introducing this payment method, we used in-house programming skills to put a barcode for PayPoint on</w:t>
      </w:r>
      <w:r w:rsidR="006F76A4">
        <w:rPr>
          <w:rFonts w:cs="Arial"/>
        </w:rPr>
        <w:t xml:space="preserve"> paper</w:t>
      </w:r>
      <w:r>
        <w:rPr>
          <w:rFonts w:cs="Arial"/>
        </w:rPr>
        <w:t xml:space="preserve"> bills and have only targeted it at, and advertised it to, customers that are likely to be in hardship, based on their historic payment history.  Whilst we do not prevent anyone from paying via this method, our approach and design means that this higher cost to serve is targeted at those that really benefit from it.</w:t>
      </w:r>
    </w:p>
    <w:p w:rsidR="006B7D96" w:rsidRDefault="006B7D96" w:rsidP="006B7D96">
      <w:pPr>
        <w:rPr>
          <w:rFonts w:cs="Arial"/>
          <w:b/>
        </w:rPr>
      </w:pPr>
      <w:r w:rsidRPr="00F912F8">
        <w:rPr>
          <w:rFonts w:cs="Arial"/>
          <w:b/>
        </w:rPr>
        <w:t>Affordability in the long term</w:t>
      </w:r>
    </w:p>
    <w:p w:rsidR="00FB14F9" w:rsidRPr="00FB14F9" w:rsidRDefault="00FB14F9" w:rsidP="00FB14F9">
      <w:pPr>
        <w:rPr>
          <w:rFonts w:cs="Arial"/>
          <w:color w:val="000000" w:themeColor="text1"/>
        </w:rPr>
      </w:pPr>
      <w:r w:rsidRPr="00FB14F9">
        <w:rPr>
          <w:rFonts w:cs="Arial"/>
          <w:color w:val="000000" w:themeColor="text1"/>
        </w:rPr>
        <w:t xml:space="preserve">Our current average household bill at £101 is the lowest in the industry.  With a reduction to £97 in the next </w:t>
      </w:r>
      <w:r w:rsidR="00CB4267" w:rsidRPr="00FB14F9">
        <w:rPr>
          <w:rFonts w:cs="Arial"/>
          <w:color w:val="000000" w:themeColor="text1"/>
        </w:rPr>
        <w:t>AMP,</w:t>
      </w:r>
      <w:r w:rsidRPr="00FB14F9">
        <w:rPr>
          <w:rFonts w:cs="Arial"/>
          <w:color w:val="000000" w:themeColor="text1"/>
        </w:rPr>
        <w:t xml:space="preserve"> we believe that it represents good value for money.  Together with a Social Tariff of £</w:t>
      </w:r>
      <w:r w:rsidR="00CB4267" w:rsidRPr="00FB14F9">
        <w:rPr>
          <w:rFonts w:cs="Arial"/>
          <w:color w:val="000000" w:themeColor="text1"/>
        </w:rPr>
        <w:t>75,</w:t>
      </w:r>
      <w:r w:rsidRPr="00FB14F9">
        <w:rPr>
          <w:rFonts w:cs="Arial"/>
          <w:color w:val="000000" w:themeColor="text1"/>
        </w:rPr>
        <w:t xml:space="preserve"> these bill levels are affordable to all but the most financially vulnerable customers.</w:t>
      </w:r>
    </w:p>
    <w:tbl>
      <w:tblPr>
        <w:tblStyle w:val="TableGrid141"/>
        <w:tblW w:w="0" w:type="auto"/>
        <w:jc w:val="center"/>
        <w:tblLook w:val="04A0" w:firstRow="1" w:lastRow="0" w:firstColumn="1" w:lastColumn="0" w:noHBand="0" w:noVBand="1"/>
      </w:tblPr>
      <w:tblGrid>
        <w:gridCol w:w="3005"/>
        <w:gridCol w:w="1952"/>
      </w:tblGrid>
      <w:tr w:rsidR="00FB14F9" w:rsidRPr="00615934" w:rsidTr="00FB14F9">
        <w:trPr>
          <w:jc w:val="center"/>
        </w:trPr>
        <w:tc>
          <w:tcPr>
            <w:tcW w:w="3005" w:type="dxa"/>
            <w:shd w:val="clear" w:color="auto" w:fill="2E74B5" w:themeFill="accent1" w:themeFillShade="BF"/>
          </w:tcPr>
          <w:p w:rsidR="00FB14F9" w:rsidRPr="00615934" w:rsidRDefault="00FB14F9" w:rsidP="00FB14F9">
            <w:pPr>
              <w:tabs>
                <w:tab w:val="clear" w:pos="851"/>
              </w:tabs>
              <w:spacing w:after="0"/>
              <w:ind w:left="0"/>
              <w:jc w:val="left"/>
              <w:rPr>
                <w:rFonts w:cs="Arial"/>
                <w:color w:val="FFFFFF" w:themeColor="background1"/>
                <w:sz w:val="16"/>
                <w:szCs w:val="16"/>
              </w:rPr>
            </w:pPr>
          </w:p>
        </w:tc>
        <w:tc>
          <w:tcPr>
            <w:tcW w:w="1952" w:type="dxa"/>
            <w:shd w:val="clear" w:color="auto" w:fill="2E74B5" w:themeFill="accent1" w:themeFillShade="BF"/>
          </w:tcPr>
          <w:p w:rsidR="00FB14F9" w:rsidRPr="00615934" w:rsidRDefault="00FB14F9" w:rsidP="00FB14F9">
            <w:pPr>
              <w:tabs>
                <w:tab w:val="clear" w:pos="851"/>
              </w:tabs>
              <w:spacing w:after="0"/>
              <w:ind w:left="0"/>
              <w:jc w:val="center"/>
              <w:rPr>
                <w:rFonts w:cs="Arial"/>
                <w:b/>
                <w:color w:val="FFFFFF" w:themeColor="background1"/>
                <w:sz w:val="16"/>
                <w:szCs w:val="16"/>
              </w:rPr>
            </w:pPr>
            <w:r w:rsidRPr="00615934">
              <w:rPr>
                <w:rFonts w:cs="Arial"/>
                <w:b/>
                <w:color w:val="FFFFFF" w:themeColor="background1"/>
                <w:sz w:val="16"/>
                <w:szCs w:val="16"/>
              </w:rPr>
              <w:t>Average PR19 bill</w:t>
            </w:r>
          </w:p>
        </w:tc>
      </w:tr>
      <w:tr w:rsidR="00FB14F9" w:rsidRPr="00615934" w:rsidTr="00FB14F9">
        <w:trPr>
          <w:jc w:val="center"/>
        </w:trPr>
        <w:tc>
          <w:tcPr>
            <w:tcW w:w="3005" w:type="dxa"/>
          </w:tcPr>
          <w:p w:rsidR="00FB14F9" w:rsidRPr="00615934" w:rsidRDefault="00FB14F9" w:rsidP="00FB14F9">
            <w:pPr>
              <w:tabs>
                <w:tab w:val="clear" w:pos="851"/>
              </w:tabs>
              <w:spacing w:after="0"/>
              <w:ind w:left="0"/>
              <w:jc w:val="left"/>
              <w:rPr>
                <w:rFonts w:cs="Arial"/>
                <w:sz w:val="16"/>
                <w:szCs w:val="16"/>
              </w:rPr>
            </w:pPr>
            <w:r w:rsidRPr="00615934">
              <w:rPr>
                <w:rFonts w:cs="Arial"/>
                <w:sz w:val="16"/>
                <w:szCs w:val="16"/>
              </w:rPr>
              <w:t>Household average bill % average household income</w:t>
            </w:r>
          </w:p>
        </w:tc>
        <w:tc>
          <w:tcPr>
            <w:tcW w:w="1952" w:type="dxa"/>
          </w:tcPr>
          <w:p w:rsidR="00FB14F9" w:rsidRPr="00615934" w:rsidRDefault="00FB14F9" w:rsidP="00FB14F9">
            <w:pPr>
              <w:tabs>
                <w:tab w:val="clear" w:pos="851"/>
              </w:tabs>
              <w:spacing w:after="0"/>
              <w:ind w:left="0"/>
              <w:jc w:val="center"/>
              <w:rPr>
                <w:rFonts w:cs="Arial"/>
                <w:sz w:val="16"/>
                <w:szCs w:val="16"/>
              </w:rPr>
            </w:pPr>
            <w:r w:rsidRPr="00615934">
              <w:rPr>
                <w:rFonts w:cs="Arial"/>
                <w:sz w:val="16"/>
                <w:szCs w:val="16"/>
              </w:rPr>
              <w:t>0.37%</w:t>
            </w:r>
          </w:p>
        </w:tc>
      </w:tr>
      <w:tr w:rsidR="00FB14F9" w:rsidRPr="00615934" w:rsidTr="00FB14F9">
        <w:trPr>
          <w:jc w:val="center"/>
        </w:trPr>
        <w:tc>
          <w:tcPr>
            <w:tcW w:w="3005" w:type="dxa"/>
          </w:tcPr>
          <w:p w:rsidR="00FB14F9" w:rsidRPr="00615934" w:rsidRDefault="00FB14F9" w:rsidP="00FB14F9">
            <w:pPr>
              <w:tabs>
                <w:tab w:val="clear" w:pos="851"/>
              </w:tabs>
              <w:spacing w:after="0"/>
              <w:ind w:left="0"/>
              <w:jc w:val="left"/>
              <w:rPr>
                <w:rFonts w:cs="Arial"/>
                <w:sz w:val="16"/>
                <w:szCs w:val="16"/>
              </w:rPr>
            </w:pPr>
            <w:r w:rsidRPr="00615934">
              <w:rPr>
                <w:rFonts w:cs="Arial"/>
                <w:sz w:val="16"/>
                <w:szCs w:val="16"/>
              </w:rPr>
              <w:t>Social Tariff % low income threshold</w:t>
            </w:r>
          </w:p>
        </w:tc>
        <w:tc>
          <w:tcPr>
            <w:tcW w:w="1952" w:type="dxa"/>
          </w:tcPr>
          <w:p w:rsidR="00FB14F9" w:rsidRPr="00615934" w:rsidRDefault="00FB14F9" w:rsidP="00FB14F9">
            <w:pPr>
              <w:tabs>
                <w:tab w:val="clear" w:pos="851"/>
              </w:tabs>
              <w:spacing w:after="0"/>
              <w:ind w:left="0"/>
              <w:jc w:val="center"/>
              <w:rPr>
                <w:rFonts w:cs="Arial"/>
                <w:sz w:val="16"/>
                <w:szCs w:val="16"/>
              </w:rPr>
            </w:pPr>
            <w:r w:rsidRPr="00615934">
              <w:rPr>
                <w:rFonts w:cs="Arial"/>
                <w:sz w:val="16"/>
                <w:szCs w:val="16"/>
              </w:rPr>
              <w:t>0.46%</w:t>
            </w:r>
          </w:p>
        </w:tc>
      </w:tr>
    </w:tbl>
    <w:p w:rsidR="00FB14F9" w:rsidRPr="00FB14F9" w:rsidRDefault="00FB14F9" w:rsidP="00615934">
      <w:pPr>
        <w:spacing w:after="0"/>
        <w:rPr>
          <w:rFonts w:cs="Arial"/>
          <w:color w:val="000000" w:themeColor="text1"/>
        </w:rPr>
      </w:pPr>
    </w:p>
    <w:p w:rsidR="00FB14F9" w:rsidRPr="00FB14F9" w:rsidRDefault="00FB14F9" w:rsidP="00FB14F9">
      <w:pPr>
        <w:rPr>
          <w:rFonts w:cs="Arial"/>
          <w:color w:val="000000" w:themeColor="text1"/>
        </w:rPr>
      </w:pPr>
      <w:r w:rsidRPr="00FB14F9">
        <w:rPr>
          <w:rFonts w:cs="Arial"/>
          <w:color w:val="000000" w:themeColor="text1"/>
        </w:rPr>
        <w:t>S</w:t>
      </w:r>
      <w:r w:rsidR="003C6CA3">
        <w:rPr>
          <w:rFonts w:cs="Arial"/>
          <w:color w:val="000000" w:themeColor="text1"/>
        </w:rPr>
        <w:t>et out further in Chapter 11.3.5</w:t>
      </w:r>
      <w:r w:rsidRPr="00FB14F9">
        <w:rPr>
          <w:rFonts w:cs="Arial"/>
          <w:color w:val="000000" w:themeColor="text1"/>
        </w:rPr>
        <w:t xml:space="preserve"> is more information on the components of PR19 bills and how the bill has moved since PR14.</w:t>
      </w:r>
    </w:p>
    <w:p w:rsidR="00FB14F9" w:rsidRPr="00FB14F9" w:rsidRDefault="00FB14F9" w:rsidP="00FB14F9">
      <w:pPr>
        <w:rPr>
          <w:rFonts w:cs="Arial"/>
          <w:color w:val="000000" w:themeColor="text1"/>
        </w:rPr>
      </w:pPr>
      <w:r w:rsidRPr="00FB14F9">
        <w:rPr>
          <w:rFonts w:cs="Arial"/>
          <w:color w:val="000000" w:themeColor="text1"/>
        </w:rPr>
        <w:t xml:space="preserve">Our intention is to maintain </w:t>
      </w:r>
      <w:r w:rsidR="00CB4267" w:rsidRPr="00FB14F9">
        <w:rPr>
          <w:rFonts w:cs="Arial"/>
          <w:color w:val="000000" w:themeColor="text1"/>
        </w:rPr>
        <w:t>bills, which are flat in the long term,</w:t>
      </w:r>
      <w:r w:rsidRPr="00FB14F9">
        <w:rPr>
          <w:rFonts w:cs="Arial"/>
          <w:color w:val="000000" w:themeColor="text1"/>
        </w:rPr>
        <w:t xml:space="preserve"> and this approach received high levels of acceptability</w:t>
      </w:r>
      <w:r w:rsidR="00F46992">
        <w:rPr>
          <w:rFonts w:cs="Arial"/>
          <w:color w:val="000000" w:themeColor="text1"/>
        </w:rPr>
        <w:t xml:space="preserve"> during testin</w:t>
      </w:r>
      <w:r w:rsidRPr="00FB14F9">
        <w:rPr>
          <w:rFonts w:cs="Arial"/>
          <w:color w:val="000000" w:themeColor="text1"/>
        </w:rPr>
        <w:t xml:space="preserve">g from customers </w:t>
      </w:r>
      <w:r w:rsidRPr="003C6CA3">
        <w:rPr>
          <w:rFonts w:cs="Arial"/>
          <w:color w:val="000000" w:themeColor="text1"/>
        </w:rPr>
        <w:t>(over 80%)</w:t>
      </w:r>
      <w:r w:rsidRPr="00FB14F9">
        <w:rPr>
          <w:rFonts w:cs="Arial"/>
          <w:color w:val="000000" w:themeColor="text1"/>
        </w:rPr>
        <w:t>.  Our modelling supports the following trend in average bills:</w:t>
      </w:r>
    </w:p>
    <w:tbl>
      <w:tblPr>
        <w:tblStyle w:val="TableGrid59"/>
        <w:tblW w:w="0" w:type="auto"/>
        <w:tblInd w:w="851" w:type="dxa"/>
        <w:tblLook w:val="04A0" w:firstRow="1" w:lastRow="0" w:firstColumn="1" w:lastColumn="0" w:noHBand="0" w:noVBand="1"/>
      </w:tblPr>
      <w:tblGrid>
        <w:gridCol w:w="1681"/>
        <w:gridCol w:w="1774"/>
        <w:gridCol w:w="1774"/>
        <w:gridCol w:w="1774"/>
        <w:gridCol w:w="1774"/>
      </w:tblGrid>
      <w:tr w:rsidR="00FB14F9" w:rsidRPr="00615934" w:rsidTr="00FB14F9">
        <w:trPr>
          <w:trHeight w:val="253"/>
        </w:trPr>
        <w:tc>
          <w:tcPr>
            <w:tcW w:w="1681" w:type="dxa"/>
            <w:shd w:val="clear" w:color="auto" w:fill="2E74B5" w:themeFill="accent1" w:themeFillShade="BF"/>
          </w:tcPr>
          <w:p w:rsidR="00FB14F9" w:rsidRPr="00615934" w:rsidRDefault="00FB14F9" w:rsidP="00FB14F9">
            <w:pPr>
              <w:spacing w:after="0"/>
              <w:ind w:left="0"/>
              <w:rPr>
                <w:rFonts w:cs="Arial"/>
                <w:b/>
                <w:color w:val="FFFFFF" w:themeColor="background1"/>
                <w:sz w:val="16"/>
                <w:szCs w:val="16"/>
              </w:rPr>
            </w:pPr>
          </w:p>
        </w:tc>
        <w:tc>
          <w:tcPr>
            <w:tcW w:w="1774" w:type="dxa"/>
            <w:shd w:val="clear" w:color="auto" w:fill="2E74B5" w:themeFill="accent1" w:themeFillShade="BF"/>
          </w:tcPr>
          <w:p w:rsidR="00FB14F9" w:rsidRPr="00615934" w:rsidRDefault="00FB14F9" w:rsidP="00FB14F9">
            <w:pPr>
              <w:spacing w:after="0"/>
              <w:ind w:left="0"/>
              <w:jc w:val="center"/>
              <w:rPr>
                <w:rFonts w:cs="Arial"/>
                <w:b/>
                <w:color w:val="FFFFFF" w:themeColor="background1"/>
                <w:sz w:val="16"/>
                <w:szCs w:val="16"/>
              </w:rPr>
            </w:pPr>
            <w:r w:rsidRPr="00615934">
              <w:rPr>
                <w:rFonts w:cs="Arial"/>
                <w:b/>
                <w:color w:val="FFFFFF" w:themeColor="background1"/>
                <w:sz w:val="16"/>
                <w:szCs w:val="16"/>
              </w:rPr>
              <w:t>AMP6</w:t>
            </w:r>
          </w:p>
        </w:tc>
        <w:tc>
          <w:tcPr>
            <w:tcW w:w="1774" w:type="dxa"/>
            <w:shd w:val="clear" w:color="auto" w:fill="2E74B5" w:themeFill="accent1" w:themeFillShade="BF"/>
          </w:tcPr>
          <w:p w:rsidR="00FB14F9" w:rsidRPr="00615934" w:rsidRDefault="00FB14F9" w:rsidP="00FB14F9">
            <w:pPr>
              <w:spacing w:after="0"/>
              <w:ind w:left="0"/>
              <w:jc w:val="center"/>
              <w:rPr>
                <w:rFonts w:cs="Arial"/>
                <w:b/>
                <w:color w:val="FFFFFF" w:themeColor="background1"/>
                <w:sz w:val="16"/>
                <w:szCs w:val="16"/>
              </w:rPr>
            </w:pPr>
            <w:r w:rsidRPr="00615934">
              <w:rPr>
                <w:rFonts w:cs="Arial"/>
                <w:b/>
                <w:color w:val="FFFFFF" w:themeColor="background1"/>
                <w:sz w:val="16"/>
                <w:szCs w:val="16"/>
              </w:rPr>
              <w:t>AMP7</w:t>
            </w:r>
          </w:p>
        </w:tc>
        <w:tc>
          <w:tcPr>
            <w:tcW w:w="1774" w:type="dxa"/>
            <w:shd w:val="clear" w:color="auto" w:fill="2E74B5" w:themeFill="accent1" w:themeFillShade="BF"/>
          </w:tcPr>
          <w:p w:rsidR="00FB14F9" w:rsidRPr="00615934" w:rsidRDefault="00FB14F9" w:rsidP="00FB14F9">
            <w:pPr>
              <w:spacing w:after="0"/>
              <w:ind w:left="0"/>
              <w:jc w:val="center"/>
              <w:rPr>
                <w:rFonts w:cs="Arial"/>
                <w:b/>
                <w:color w:val="FFFFFF" w:themeColor="background1"/>
                <w:sz w:val="16"/>
                <w:szCs w:val="16"/>
              </w:rPr>
            </w:pPr>
            <w:r w:rsidRPr="00615934">
              <w:rPr>
                <w:rFonts w:cs="Arial"/>
                <w:b/>
                <w:color w:val="FFFFFF" w:themeColor="background1"/>
                <w:sz w:val="16"/>
                <w:szCs w:val="16"/>
              </w:rPr>
              <w:t>AMP8</w:t>
            </w:r>
          </w:p>
        </w:tc>
        <w:tc>
          <w:tcPr>
            <w:tcW w:w="1774" w:type="dxa"/>
            <w:shd w:val="clear" w:color="auto" w:fill="2E74B5" w:themeFill="accent1" w:themeFillShade="BF"/>
          </w:tcPr>
          <w:p w:rsidR="00FB14F9" w:rsidRPr="00615934" w:rsidRDefault="00FB14F9" w:rsidP="00FB14F9">
            <w:pPr>
              <w:spacing w:after="0"/>
              <w:ind w:left="0"/>
              <w:jc w:val="center"/>
              <w:rPr>
                <w:rFonts w:cs="Arial"/>
                <w:b/>
                <w:color w:val="FFFFFF" w:themeColor="background1"/>
                <w:sz w:val="16"/>
                <w:szCs w:val="16"/>
              </w:rPr>
            </w:pPr>
            <w:r w:rsidRPr="00615934">
              <w:rPr>
                <w:rFonts w:cs="Arial"/>
                <w:b/>
                <w:color w:val="FFFFFF" w:themeColor="background1"/>
                <w:sz w:val="16"/>
                <w:szCs w:val="16"/>
              </w:rPr>
              <w:t>AMP9</w:t>
            </w:r>
          </w:p>
        </w:tc>
      </w:tr>
      <w:tr w:rsidR="00FB14F9" w:rsidRPr="00615934" w:rsidTr="00FB14F9">
        <w:tc>
          <w:tcPr>
            <w:tcW w:w="1681" w:type="dxa"/>
          </w:tcPr>
          <w:p w:rsidR="00FB14F9" w:rsidRPr="00615934" w:rsidRDefault="00FB14F9" w:rsidP="00FB14F9">
            <w:pPr>
              <w:tabs>
                <w:tab w:val="clear" w:pos="851"/>
              </w:tabs>
              <w:spacing w:after="0"/>
              <w:ind w:left="0"/>
              <w:jc w:val="left"/>
              <w:rPr>
                <w:rFonts w:cs="Arial"/>
                <w:color w:val="000000" w:themeColor="text1"/>
                <w:sz w:val="16"/>
                <w:szCs w:val="16"/>
              </w:rPr>
            </w:pPr>
            <w:r w:rsidRPr="00615934">
              <w:rPr>
                <w:rFonts w:cs="Arial"/>
                <w:color w:val="000000" w:themeColor="text1"/>
                <w:sz w:val="16"/>
                <w:szCs w:val="16"/>
              </w:rPr>
              <w:t>2017/18 prices</w:t>
            </w:r>
          </w:p>
        </w:tc>
        <w:tc>
          <w:tcPr>
            <w:tcW w:w="1774" w:type="dxa"/>
          </w:tcPr>
          <w:p w:rsidR="00FB14F9" w:rsidRPr="00615934" w:rsidRDefault="00FB14F9" w:rsidP="00FB14F9">
            <w:pPr>
              <w:tabs>
                <w:tab w:val="clear" w:pos="851"/>
              </w:tabs>
              <w:spacing w:after="0"/>
              <w:ind w:left="0"/>
              <w:jc w:val="center"/>
              <w:rPr>
                <w:rFonts w:cs="Arial"/>
                <w:color w:val="000000" w:themeColor="text1"/>
                <w:sz w:val="16"/>
                <w:szCs w:val="16"/>
              </w:rPr>
            </w:pPr>
            <w:r w:rsidRPr="00615934">
              <w:rPr>
                <w:rFonts w:cs="Arial"/>
                <w:color w:val="000000" w:themeColor="text1"/>
                <w:sz w:val="16"/>
                <w:szCs w:val="16"/>
              </w:rPr>
              <w:t>101</w:t>
            </w:r>
          </w:p>
        </w:tc>
        <w:tc>
          <w:tcPr>
            <w:tcW w:w="1774" w:type="dxa"/>
          </w:tcPr>
          <w:p w:rsidR="00FB14F9" w:rsidRPr="00615934" w:rsidRDefault="00FB14F9" w:rsidP="00FB14F9">
            <w:pPr>
              <w:tabs>
                <w:tab w:val="clear" w:pos="851"/>
              </w:tabs>
              <w:spacing w:after="0"/>
              <w:ind w:left="0"/>
              <w:jc w:val="center"/>
              <w:rPr>
                <w:rFonts w:cs="Arial"/>
                <w:color w:val="000000" w:themeColor="text1"/>
                <w:sz w:val="16"/>
                <w:szCs w:val="16"/>
              </w:rPr>
            </w:pPr>
            <w:r w:rsidRPr="00615934">
              <w:rPr>
                <w:rFonts w:cs="Arial"/>
                <w:color w:val="000000" w:themeColor="text1"/>
                <w:sz w:val="16"/>
                <w:szCs w:val="16"/>
              </w:rPr>
              <w:t>97</w:t>
            </w:r>
          </w:p>
        </w:tc>
        <w:tc>
          <w:tcPr>
            <w:tcW w:w="1774" w:type="dxa"/>
          </w:tcPr>
          <w:p w:rsidR="00FB14F9" w:rsidRPr="00615934" w:rsidRDefault="00FB14F9" w:rsidP="00FB14F9">
            <w:pPr>
              <w:tabs>
                <w:tab w:val="clear" w:pos="851"/>
              </w:tabs>
              <w:spacing w:after="0"/>
              <w:ind w:left="0"/>
              <w:jc w:val="center"/>
              <w:rPr>
                <w:rFonts w:cs="Arial"/>
                <w:color w:val="000000" w:themeColor="text1"/>
                <w:sz w:val="16"/>
                <w:szCs w:val="16"/>
              </w:rPr>
            </w:pPr>
            <w:r w:rsidRPr="00615934">
              <w:rPr>
                <w:rFonts w:cs="Arial"/>
                <w:color w:val="000000" w:themeColor="text1"/>
                <w:sz w:val="16"/>
                <w:szCs w:val="16"/>
              </w:rPr>
              <w:t>97</w:t>
            </w:r>
          </w:p>
        </w:tc>
        <w:tc>
          <w:tcPr>
            <w:tcW w:w="1774" w:type="dxa"/>
          </w:tcPr>
          <w:p w:rsidR="00FB14F9" w:rsidRPr="00615934" w:rsidRDefault="00FB14F9" w:rsidP="00FB14F9">
            <w:pPr>
              <w:tabs>
                <w:tab w:val="clear" w:pos="851"/>
              </w:tabs>
              <w:spacing w:after="0"/>
              <w:ind w:left="0"/>
              <w:jc w:val="center"/>
              <w:rPr>
                <w:rFonts w:cs="Arial"/>
                <w:color w:val="000000" w:themeColor="text1"/>
                <w:sz w:val="16"/>
                <w:szCs w:val="16"/>
              </w:rPr>
            </w:pPr>
            <w:r w:rsidRPr="00615934">
              <w:rPr>
                <w:rFonts w:cs="Arial"/>
                <w:color w:val="000000" w:themeColor="text1"/>
                <w:sz w:val="16"/>
                <w:szCs w:val="16"/>
              </w:rPr>
              <w:t>97</w:t>
            </w:r>
          </w:p>
        </w:tc>
      </w:tr>
      <w:tr w:rsidR="00FB14F9" w:rsidRPr="00615934" w:rsidTr="00FB14F9">
        <w:tc>
          <w:tcPr>
            <w:tcW w:w="1681" w:type="dxa"/>
          </w:tcPr>
          <w:p w:rsidR="00FB14F9" w:rsidRPr="00615934" w:rsidRDefault="00FB14F9" w:rsidP="00FB14F9">
            <w:pPr>
              <w:tabs>
                <w:tab w:val="clear" w:pos="851"/>
              </w:tabs>
              <w:spacing w:after="0"/>
              <w:ind w:left="0"/>
              <w:jc w:val="left"/>
              <w:rPr>
                <w:rFonts w:cs="Arial"/>
                <w:color w:val="000000" w:themeColor="text1"/>
                <w:sz w:val="16"/>
                <w:szCs w:val="16"/>
              </w:rPr>
            </w:pPr>
            <w:r w:rsidRPr="00615934">
              <w:rPr>
                <w:rFonts w:cs="Arial"/>
                <w:color w:val="000000" w:themeColor="text1"/>
                <w:sz w:val="16"/>
                <w:szCs w:val="16"/>
              </w:rPr>
              <w:t>Outturn prices</w:t>
            </w:r>
          </w:p>
        </w:tc>
        <w:tc>
          <w:tcPr>
            <w:tcW w:w="1774" w:type="dxa"/>
          </w:tcPr>
          <w:p w:rsidR="00FB14F9" w:rsidRPr="00615934" w:rsidRDefault="00FB14F9" w:rsidP="00FB14F9">
            <w:pPr>
              <w:tabs>
                <w:tab w:val="clear" w:pos="851"/>
              </w:tabs>
              <w:spacing w:after="0"/>
              <w:ind w:left="0"/>
              <w:jc w:val="center"/>
              <w:rPr>
                <w:rFonts w:cs="Arial"/>
                <w:color w:val="000000" w:themeColor="text1"/>
                <w:sz w:val="16"/>
                <w:szCs w:val="16"/>
              </w:rPr>
            </w:pPr>
            <w:r w:rsidRPr="00615934">
              <w:rPr>
                <w:rFonts w:cs="Arial"/>
                <w:color w:val="000000" w:themeColor="text1"/>
                <w:sz w:val="16"/>
                <w:szCs w:val="16"/>
              </w:rPr>
              <w:t>102</w:t>
            </w:r>
          </w:p>
        </w:tc>
        <w:tc>
          <w:tcPr>
            <w:tcW w:w="1774" w:type="dxa"/>
          </w:tcPr>
          <w:p w:rsidR="00FB14F9" w:rsidRPr="00615934" w:rsidRDefault="00FB14F9" w:rsidP="00FB14F9">
            <w:pPr>
              <w:tabs>
                <w:tab w:val="clear" w:pos="851"/>
              </w:tabs>
              <w:spacing w:after="0"/>
              <w:ind w:left="0"/>
              <w:jc w:val="center"/>
              <w:rPr>
                <w:rFonts w:cs="Arial"/>
                <w:color w:val="000000" w:themeColor="text1"/>
                <w:sz w:val="16"/>
                <w:szCs w:val="16"/>
              </w:rPr>
            </w:pPr>
            <w:r w:rsidRPr="00615934">
              <w:rPr>
                <w:rFonts w:cs="Arial"/>
                <w:color w:val="000000" w:themeColor="text1"/>
                <w:sz w:val="16"/>
                <w:szCs w:val="16"/>
              </w:rPr>
              <w:t>107</w:t>
            </w:r>
          </w:p>
        </w:tc>
        <w:tc>
          <w:tcPr>
            <w:tcW w:w="1774" w:type="dxa"/>
          </w:tcPr>
          <w:p w:rsidR="00FB14F9" w:rsidRPr="00615934" w:rsidRDefault="00FB14F9" w:rsidP="00FB14F9">
            <w:pPr>
              <w:tabs>
                <w:tab w:val="clear" w:pos="851"/>
              </w:tabs>
              <w:spacing w:after="0"/>
              <w:ind w:left="0"/>
              <w:jc w:val="center"/>
              <w:rPr>
                <w:rFonts w:cs="Arial"/>
                <w:color w:val="000000" w:themeColor="text1"/>
                <w:sz w:val="16"/>
                <w:szCs w:val="16"/>
              </w:rPr>
            </w:pPr>
            <w:r w:rsidRPr="00615934">
              <w:rPr>
                <w:rFonts w:cs="Arial"/>
                <w:color w:val="000000" w:themeColor="text1"/>
                <w:sz w:val="16"/>
                <w:szCs w:val="16"/>
              </w:rPr>
              <w:t>118</w:t>
            </w:r>
          </w:p>
        </w:tc>
        <w:tc>
          <w:tcPr>
            <w:tcW w:w="1774" w:type="dxa"/>
          </w:tcPr>
          <w:p w:rsidR="00FB14F9" w:rsidRPr="00615934" w:rsidRDefault="00FB14F9" w:rsidP="00FB14F9">
            <w:pPr>
              <w:tabs>
                <w:tab w:val="clear" w:pos="851"/>
              </w:tabs>
              <w:spacing w:after="0"/>
              <w:ind w:left="0"/>
              <w:jc w:val="center"/>
              <w:rPr>
                <w:rFonts w:cs="Arial"/>
                <w:color w:val="000000" w:themeColor="text1"/>
                <w:sz w:val="16"/>
                <w:szCs w:val="16"/>
              </w:rPr>
            </w:pPr>
            <w:r w:rsidRPr="00615934">
              <w:rPr>
                <w:rFonts w:cs="Arial"/>
                <w:color w:val="000000" w:themeColor="text1"/>
                <w:sz w:val="16"/>
                <w:szCs w:val="16"/>
              </w:rPr>
              <w:t>131</w:t>
            </w:r>
          </w:p>
        </w:tc>
      </w:tr>
    </w:tbl>
    <w:p w:rsidR="00615934" w:rsidRDefault="00615934" w:rsidP="00F71D07">
      <w:pPr>
        <w:spacing w:after="0"/>
        <w:rPr>
          <w:rFonts w:cs="Arial"/>
          <w:b/>
        </w:rPr>
      </w:pPr>
    </w:p>
    <w:p w:rsidR="006B7D96" w:rsidRDefault="006B7D96" w:rsidP="006B7D96">
      <w:pPr>
        <w:rPr>
          <w:rFonts w:cs="Arial"/>
          <w:b/>
        </w:rPr>
      </w:pPr>
      <w:r w:rsidRPr="00F912F8">
        <w:rPr>
          <w:rFonts w:cs="Arial"/>
          <w:b/>
        </w:rPr>
        <w:t>Affordability for those struggling to pay, or at risk of struggling to pay</w:t>
      </w:r>
    </w:p>
    <w:p w:rsidR="006B7D96" w:rsidRPr="00AB35E4" w:rsidRDefault="006B7D96" w:rsidP="006B7D96">
      <w:pPr>
        <w:rPr>
          <w:rFonts w:cs="Arial"/>
          <w:b/>
        </w:rPr>
      </w:pPr>
      <w:r w:rsidRPr="00AB35E4">
        <w:rPr>
          <w:rFonts w:cs="Arial"/>
          <w:b/>
        </w:rPr>
        <w:t>Business Plan commitment -</w:t>
      </w:r>
      <w:r>
        <w:rPr>
          <w:rFonts w:cs="Arial"/>
          <w:b/>
        </w:rPr>
        <w:t xml:space="preserve"> Our Social T</w:t>
      </w:r>
      <w:r w:rsidRPr="00AB35E4">
        <w:rPr>
          <w:rFonts w:cs="Arial"/>
          <w:b/>
        </w:rPr>
        <w:t xml:space="preserve">ariff will not exceed 0.5% of the </w:t>
      </w:r>
      <w:r w:rsidR="000C1E50">
        <w:rPr>
          <w:rFonts w:cs="Arial"/>
          <w:b/>
        </w:rPr>
        <w:t>G</w:t>
      </w:r>
      <w:r w:rsidRPr="00AB35E4">
        <w:rPr>
          <w:rFonts w:cs="Arial"/>
          <w:b/>
        </w:rPr>
        <w:t xml:space="preserve">overnment’s household </w:t>
      </w:r>
      <w:r w:rsidR="00CB4267" w:rsidRPr="00AB35E4">
        <w:rPr>
          <w:rFonts w:cs="Arial"/>
          <w:b/>
        </w:rPr>
        <w:t>low-income</w:t>
      </w:r>
      <w:r w:rsidRPr="00AB35E4">
        <w:rPr>
          <w:rFonts w:cs="Arial"/>
          <w:b/>
        </w:rPr>
        <w:t xml:space="preserve"> threshold. We will continue to work with other </w:t>
      </w:r>
      <w:r w:rsidR="00F46992">
        <w:rPr>
          <w:rFonts w:cs="Arial"/>
          <w:b/>
        </w:rPr>
        <w:t>w</w:t>
      </w:r>
      <w:r w:rsidRPr="00AB35E4">
        <w:rPr>
          <w:rFonts w:cs="Arial"/>
          <w:b/>
        </w:rPr>
        <w:t xml:space="preserve">ater </w:t>
      </w:r>
      <w:r w:rsidR="00F46992">
        <w:rPr>
          <w:rFonts w:cs="Arial"/>
          <w:b/>
        </w:rPr>
        <w:t>c</w:t>
      </w:r>
      <w:r w:rsidRPr="00AB35E4">
        <w:rPr>
          <w:rFonts w:cs="Arial"/>
          <w:b/>
        </w:rPr>
        <w:t xml:space="preserve">ompanies in our region to work towards standardisation of Social Tariff design across the South East of England.  We will target </w:t>
      </w:r>
      <w:r>
        <w:rPr>
          <w:rFonts w:cs="Arial"/>
          <w:b/>
        </w:rPr>
        <w:t>an increase to 8000 customers</w:t>
      </w:r>
      <w:r w:rsidRPr="00AB35E4">
        <w:rPr>
          <w:rFonts w:cs="Arial"/>
          <w:b/>
        </w:rPr>
        <w:t xml:space="preserve"> on the tariff by the end of AMP7.</w:t>
      </w:r>
    </w:p>
    <w:p w:rsidR="006B7D96" w:rsidRDefault="006B7D96" w:rsidP="006B7D96">
      <w:pPr>
        <w:rPr>
          <w:rFonts w:cs="Arial"/>
        </w:rPr>
      </w:pPr>
      <w:r>
        <w:rPr>
          <w:rFonts w:cs="Arial"/>
        </w:rPr>
        <w:t>Whilst having the lowest bill in the industry makes it the most affordable, bill level is just part of helping customers with affordability.</w:t>
      </w:r>
    </w:p>
    <w:p w:rsidR="006B7D96" w:rsidRDefault="006B7D96" w:rsidP="006B7D96">
      <w:pPr>
        <w:rPr>
          <w:rFonts w:cs="Arial"/>
        </w:rPr>
      </w:pPr>
      <w:r>
        <w:rPr>
          <w:rFonts w:cs="Arial"/>
        </w:rPr>
        <w:t>Ever</w:t>
      </w:r>
      <w:r w:rsidR="003259BE">
        <w:rPr>
          <w:rFonts w:cs="Arial"/>
        </w:rPr>
        <w:t>y</w:t>
      </w:r>
      <w:r>
        <w:rPr>
          <w:rFonts w:cs="Arial"/>
        </w:rPr>
        <w:t xml:space="preserve"> member of our Debt and Affordability team has the authority to freeze payments and to accept </w:t>
      </w:r>
      <w:r w:rsidR="003259BE">
        <w:rPr>
          <w:rFonts w:cs="Arial"/>
        </w:rPr>
        <w:t xml:space="preserve">minimal </w:t>
      </w:r>
      <w:r>
        <w:rPr>
          <w:rFonts w:cs="Arial"/>
        </w:rPr>
        <w:t>payments whe</w:t>
      </w:r>
      <w:r w:rsidR="00F46992">
        <w:rPr>
          <w:rFonts w:cs="Arial"/>
        </w:rPr>
        <w:t>n</w:t>
      </w:r>
      <w:r>
        <w:rPr>
          <w:rFonts w:cs="Arial"/>
        </w:rPr>
        <w:t xml:space="preserve"> a customer is in genuine hardship.</w:t>
      </w:r>
    </w:p>
    <w:p w:rsidR="006B7D96" w:rsidRDefault="006B7D96" w:rsidP="006B7D96">
      <w:pPr>
        <w:rPr>
          <w:rFonts w:cs="Arial"/>
        </w:rPr>
      </w:pPr>
      <w:r>
        <w:rPr>
          <w:rFonts w:cs="Arial"/>
        </w:rPr>
        <w:t>We make our bill easy to pay, not just via conventional payment means, and newer ways such as PayPoint, but also by offering doorstep collection.  We will, free of charge, collect money at customer’s houses at a regular agreed time. A table, summarising free p</w:t>
      </w:r>
      <w:r w:rsidR="00CB4267">
        <w:rPr>
          <w:rFonts w:cs="Arial"/>
        </w:rPr>
        <w:t>ayment methods, is shown below:</w:t>
      </w:r>
    </w:p>
    <w:tbl>
      <w:tblPr>
        <w:tblStyle w:val="TableGrid"/>
        <w:tblW w:w="8788" w:type="dxa"/>
        <w:tblInd w:w="846" w:type="dxa"/>
        <w:tblLook w:val="04A0" w:firstRow="1" w:lastRow="0" w:firstColumn="1" w:lastColumn="0" w:noHBand="0" w:noVBand="1"/>
      </w:tblPr>
      <w:tblGrid>
        <w:gridCol w:w="3118"/>
        <w:gridCol w:w="5670"/>
      </w:tblGrid>
      <w:tr w:rsidR="006B7D96" w:rsidTr="008041B4">
        <w:tc>
          <w:tcPr>
            <w:tcW w:w="3118" w:type="dxa"/>
            <w:shd w:val="clear" w:color="auto" w:fill="2E74B5" w:themeFill="accent1" w:themeFillShade="BF"/>
          </w:tcPr>
          <w:p w:rsidR="006B7D96" w:rsidRPr="008041B4" w:rsidRDefault="006B7D96" w:rsidP="00615934">
            <w:pPr>
              <w:tabs>
                <w:tab w:val="clear" w:pos="851"/>
              </w:tabs>
              <w:spacing w:after="0"/>
              <w:ind w:left="169"/>
              <w:jc w:val="center"/>
              <w:rPr>
                <w:rFonts w:cs="Arial"/>
                <w:b/>
                <w:color w:val="FFFFFF" w:themeColor="background1"/>
                <w:sz w:val="16"/>
                <w:szCs w:val="16"/>
              </w:rPr>
            </w:pPr>
            <w:r w:rsidRPr="008041B4">
              <w:rPr>
                <w:rFonts w:cs="Arial"/>
                <w:b/>
                <w:color w:val="FFFFFF" w:themeColor="background1"/>
                <w:sz w:val="16"/>
                <w:szCs w:val="16"/>
              </w:rPr>
              <w:t>Free Payment Methods</w:t>
            </w:r>
          </w:p>
        </w:tc>
        <w:tc>
          <w:tcPr>
            <w:tcW w:w="5670" w:type="dxa"/>
            <w:shd w:val="clear" w:color="auto" w:fill="2E74B5" w:themeFill="accent1" w:themeFillShade="BF"/>
          </w:tcPr>
          <w:p w:rsidR="006B7D96" w:rsidRPr="008041B4" w:rsidRDefault="006B7D96" w:rsidP="00615934">
            <w:pPr>
              <w:tabs>
                <w:tab w:val="clear" w:pos="851"/>
              </w:tabs>
              <w:spacing w:after="0"/>
              <w:ind w:left="58"/>
              <w:jc w:val="center"/>
              <w:rPr>
                <w:rFonts w:cs="Arial"/>
                <w:b/>
                <w:color w:val="FFFFFF" w:themeColor="background1"/>
                <w:sz w:val="16"/>
                <w:szCs w:val="16"/>
              </w:rPr>
            </w:pPr>
            <w:r w:rsidRPr="008041B4">
              <w:rPr>
                <w:rFonts w:cs="Arial"/>
                <w:b/>
                <w:color w:val="FFFFFF" w:themeColor="background1"/>
                <w:sz w:val="16"/>
                <w:szCs w:val="16"/>
              </w:rPr>
              <w:t>Where to Pay</w:t>
            </w:r>
          </w:p>
        </w:tc>
      </w:tr>
      <w:tr w:rsidR="006B7D96" w:rsidTr="008B62E5">
        <w:tc>
          <w:tcPr>
            <w:tcW w:w="3118" w:type="dxa"/>
          </w:tcPr>
          <w:p w:rsidR="006B7D96" w:rsidRPr="008B62E5" w:rsidRDefault="006B7D96" w:rsidP="00615934">
            <w:pPr>
              <w:tabs>
                <w:tab w:val="clear" w:pos="851"/>
              </w:tabs>
              <w:spacing w:after="0"/>
              <w:ind w:left="169"/>
              <w:rPr>
                <w:rFonts w:cs="Arial"/>
                <w:sz w:val="16"/>
                <w:szCs w:val="16"/>
              </w:rPr>
            </w:pPr>
            <w:r w:rsidRPr="008B62E5">
              <w:rPr>
                <w:rFonts w:cs="Arial"/>
                <w:sz w:val="16"/>
                <w:szCs w:val="16"/>
              </w:rPr>
              <w:t>Cash/Cheque</w:t>
            </w:r>
          </w:p>
        </w:tc>
        <w:tc>
          <w:tcPr>
            <w:tcW w:w="5670" w:type="dxa"/>
          </w:tcPr>
          <w:p w:rsidR="006B7D96" w:rsidRPr="008B62E5" w:rsidRDefault="006B7D96" w:rsidP="00F46992">
            <w:pPr>
              <w:tabs>
                <w:tab w:val="clear" w:pos="851"/>
              </w:tabs>
              <w:spacing w:after="0"/>
              <w:ind w:left="58"/>
              <w:rPr>
                <w:rFonts w:cs="Arial"/>
                <w:sz w:val="16"/>
                <w:szCs w:val="16"/>
              </w:rPr>
            </w:pPr>
            <w:r w:rsidRPr="008B62E5">
              <w:rPr>
                <w:rFonts w:cs="Arial"/>
                <w:sz w:val="16"/>
                <w:szCs w:val="16"/>
              </w:rPr>
              <w:t xml:space="preserve">Home Visits, At a customer’s </w:t>
            </w:r>
            <w:r w:rsidR="00F46992">
              <w:rPr>
                <w:rFonts w:cs="Arial"/>
                <w:sz w:val="16"/>
                <w:szCs w:val="16"/>
              </w:rPr>
              <w:t>b</w:t>
            </w:r>
            <w:r w:rsidRPr="008B62E5">
              <w:rPr>
                <w:rFonts w:cs="Arial"/>
                <w:sz w:val="16"/>
                <w:szCs w:val="16"/>
              </w:rPr>
              <w:t>ank, at our bank and at our Head Office.</w:t>
            </w:r>
          </w:p>
        </w:tc>
      </w:tr>
      <w:tr w:rsidR="006B7D96" w:rsidTr="008B62E5">
        <w:tc>
          <w:tcPr>
            <w:tcW w:w="3118" w:type="dxa"/>
          </w:tcPr>
          <w:p w:rsidR="006B7D96" w:rsidRPr="008B62E5" w:rsidRDefault="006B7D96" w:rsidP="00615934">
            <w:pPr>
              <w:tabs>
                <w:tab w:val="clear" w:pos="851"/>
              </w:tabs>
              <w:spacing w:after="0"/>
              <w:ind w:left="169"/>
              <w:rPr>
                <w:rFonts w:cs="Arial"/>
                <w:sz w:val="16"/>
                <w:szCs w:val="16"/>
              </w:rPr>
            </w:pPr>
            <w:r w:rsidRPr="008B62E5">
              <w:rPr>
                <w:rFonts w:cs="Arial"/>
                <w:sz w:val="16"/>
                <w:szCs w:val="16"/>
              </w:rPr>
              <w:t>PayPoint</w:t>
            </w:r>
          </w:p>
        </w:tc>
        <w:tc>
          <w:tcPr>
            <w:tcW w:w="5670" w:type="dxa"/>
          </w:tcPr>
          <w:p w:rsidR="006B7D96" w:rsidRPr="008B62E5" w:rsidRDefault="006B7D96" w:rsidP="00615934">
            <w:pPr>
              <w:tabs>
                <w:tab w:val="clear" w:pos="851"/>
              </w:tabs>
              <w:spacing w:after="0"/>
              <w:ind w:left="58"/>
              <w:rPr>
                <w:rFonts w:cs="Arial"/>
                <w:sz w:val="16"/>
                <w:szCs w:val="16"/>
              </w:rPr>
            </w:pPr>
            <w:r w:rsidRPr="008B62E5">
              <w:rPr>
                <w:rFonts w:cs="Arial"/>
                <w:sz w:val="16"/>
                <w:szCs w:val="16"/>
              </w:rPr>
              <w:t>At numerous retail outlets and Post Offices.</w:t>
            </w:r>
          </w:p>
        </w:tc>
      </w:tr>
      <w:tr w:rsidR="006B7D96" w:rsidTr="008B62E5">
        <w:tc>
          <w:tcPr>
            <w:tcW w:w="3118" w:type="dxa"/>
          </w:tcPr>
          <w:p w:rsidR="006B7D96" w:rsidRPr="008B62E5" w:rsidRDefault="006B7D96" w:rsidP="00615934">
            <w:pPr>
              <w:tabs>
                <w:tab w:val="clear" w:pos="851"/>
              </w:tabs>
              <w:spacing w:after="0"/>
              <w:ind w:left="169"/>
              <w:rPr>
                <w:rFonts w:cs="Arial"/>
                <w:sz w:val="16"/>
                <w:szCs w:val="16"/>
              </w:rPr>
            </w:pPr>
            <w:r w:rsidRPr="008B62E5">
              <w:rPr>
                <w:rFonts w:cs="Arial"/>
                <w:sz w:val="16"/>
                <w:szCs w:val="16"/>
              </w:rPr>
              <w:t>WaterDirect</w:t>
            </w:r>
          </w:p>
        </w:tc>
        <w:tc>
          <w:tcPr>
            <w:tcW w:w="5670" w:type="dxa"/>
          </w:tcPr>
          <w:p w:rsidR="006B7D96" w:rsidRPr="008B62E5" w:rsidRDefault="006B7D96" w:rsidP="00615934">
            <w:pPr>
              <w:tabs>
                <w:tab w:val="clear" w:pos="851"/>
              </w:tabs>
              <w:spacing w:after="0"/>
              <w:ind w:left="58"/>
              <w:rPr>
                <w:rFonts w:cs="Arial"/>
                <w:sz w:val="16"/>
                <w:szCs w:val="16"/>
              </w:rPr>
            </w:pPr>
            <w:r w:rsidRPr="008B62E5">
              <w:rPr>
                <w:rFonts w:cs="Arial"/>
                <w:sz w:val="16"/>
                <w:szCs w:val="16"/>
              </w:rPr>
              <w:t>Direct from benefits</w:t>
            </w:r>
          </w:p>
        </w:tc>
      </w:tr>
      <w:tr w:rsidR="006B7D96" w:rsidTr="008B62E5">
        <w:tc>
          <w:tcPr>
            <w:tcW w:w="3118" w:type="dxa"/>
          </w:tcPr>
          <w:p w:rsidR="006B7D96" w:rsidRPr="008B62E5" w:rsidRDefault="006B7D96" w:rsidP="00615934">
            <w:pPr>
              <w:tabs>
                <w:tab w:val="clear" w:pos="851"/>
              </w:tabs>
              <w:spacing w:after="0"/>
              <w:ind w:left="169"/>
              <w:rPr>
                <w:rFonts w:cs="Arial"/>
                <w:sz w:val="16"/>
                <w:szCs w:val="16"/>
              </w:rPr>
            </w:pPr>
            <w:r w:rsidRPr="008B62E5">
              <w:rPr>
                <w:rFonts w:cs="Arial"/>
                <w:sz w:val="16"/>
                <w:szCs w:val="16"/>
              </w:rPr>
              <w:t>Direct Debit</w:t>
            </w:r>
          </w:p>
        </w:tc>
        <w:tc>
          <w:tcPr>
            <w:tcW w:w="5670" w:type="dxa"/>
          </w:tcPr>
          <w:p w:rsidR="006B7D96" w:rsidRPr="008B62E5" w:rsidRDefault="006B7D96" w:rsidP="00615934">
            <w:pPr>
              <w:tabs>
                <w:tab w:val="clear" w:pos="851"/>
              </w:tabs>
              <w:spacing w:after="0"/>
              <w:ind w:left="58"/>
              <w:rPr>
                <w:rFonts w:cs="Arial"/>
                <w:sz w:val="16"/>
                <w:szCs w:val="16"/>
              </w:rPr>
            </w:pPr>
            <w:r w:rsidRPr="008B62E5">
              <w:rPr>
                <w:rFonts w:cs="Arial"/>
                <w:sz w:val="16"/>
                <w:szCs w:val="16"/>
              </w:rPr>
              <w:t>Set up over the phone or complete a paper mandate.</w:t>
            </w:r>
          </w:p>
        </w:tc>
      </w:tr>
      <w:tr w:rsidR="006B7D96" w:rsidTr="008B62E5">
        <w:tc>
          <w:tcPr>
            <w:tcW w:w="3118" w:type="dxa"/>
          </w:tcPr>
          <w:p w:rsidR="006B7D96" w:rsidRPr="008B62E5" w:rsidRDefault="006B7D96" w:rsidP="00615934">
            <w:pPr>
              <w:tabs>
                <w:tab w:val="clear" w:pos="851"/>
              </w:tabs>
              <w:spacing w:after="0"/>
              <w:ind w:left="169"/>
              <w:rPr>
                <w:rFonts w:cs="Arial"/>
                <w:sz w:val="16"/>
                <w:szCs w:val="16"/>
              </w:rPr>
            </w:pPr>
            <w:r w:rsidRPr="008B62E5">
              <w:rPr>
                <w:rFonts w:cs="Arial"/>
                <w:sz w:val="16"/>
                <w:szCs w:val="16"/>
              </w:rPr>
              <w:t>Card Payments</w:t>
            </w:r>
          </w:p>
        </w:tc>
        <w:tc>
          <w:tcPr>
            <w:tcW w:w="5670" w:type="dxa"/>
          </w:tcPr>
          <w:p w:rsidR="006B7D96" w:rsidRPr="008B62E5" w:rsidRDefault="006B7D96" w:rsidP="00615934">
            <w:pPr>
              <w:tabs>
                <w:tab w:val="clear" w:pos="851"/>
              </w:tabs>
              <w:spacing w:after="0"/>
              <w:ind w:left="58"/>
              <w:rPr>
                <w:rFonts w:cs="Arial"/>
                <w:sz w:val="16"/>
                <w:szCs w:val="16"/>
              </w:rPr>
            </w:pPr>
            <w:r w:rsidRPr="008B62E5">
              <w:rPr>
                <w:rFonts w:cs="Arial"/>
                <w:sz w:val="16"/>
                <w:szCs w:val="16"/>
              </w:rPr>
              <w:t>On-line, via our 24 hour automated payment line or by calling our office.</w:t>
            </w:r>
          </w:p>
        </w:tc>
      </w:tr>
    </w:tbl>
    <w:p w:rsidR="006B7D96" w:rsidRDefault="006B7D96" w:rsidP="00615934">
      <w:pPr>
        <w:spacing w:after="0"/>
        <w:rPr>
          <w:rFonts w:cs="Arial"/>
        </w:rPr>
      </w:pPr>
    </w:p>
    <w:p w:rsidR="006B7D96" w:rsidRDefault="006B7D96" w:rsidP="006B7D96">
      <w:pPr>
        <w:rPr>
          <w:rFonts w:cs="Arial"/>
        </w:rPr>
      </w:pPr>
      <w:r>
        <w:rPr>
          <w:rFonts w:cs="Arial"/>
        </w:rPr>
        <w:t xml:space="preserve">We directly employ staff to visit customers to arrange payment methods, help with water efficiency and ensure they are on the most beneficial tariff.  </w:t>
      </w:r>
      <w:r w:rsidR="008D497C">
        <w:rPr>
          <w:rFonts w:cs="Arial"/>
        </w:rPr>
        <w:t xml:space="preserve">These proactive visits target hard to reach customers, and we use both our records and deprivation information to target this activity.  </w:t>
      </w:r>
      <w:r>
        <w:rPr>
          <w:rFonts w:cs="Arial"/>
        </w:rPr>
        <w:t xml:space="preserve">We have arrangements in place that if either of the two largest debt collection agencies that we work with identify a vulnerable </w:t>
      </w:r>
      <w:r w:rsidR="008041B4">
        <w:rPr>
          <w:rFonts w:cs="Arial"/>
        </w:rPr>
        <w:t>customer</w:t>
      </w:r>
      <w:r w:rsidR="003259BE">
        <w:rPr>
          <w:rFonts w:cs="Arial"/>
        </w:rPr>
        <w:t>,</w:t>
      </w:r>
      <w:r>
        <w:rPr>
          <w:rFonts w:cs="Arial"/>
        </w:rPr>
        <w:t xml:space="preserve"> they will seek to gain authority to let us know.  They will always </w:t>
      </w:r>
      <w:r w:rsidR="003259BE">
        <w:rPr>
          <w:rFonts w:cs="Arial"/>
        </w:rPr>
        <w:t xml:space="preserve">pass back </w:t>
      </w:r>
      <w:r>
        <w:rPr>
          <w:rFonts w:cs="Arial"/>
        </w:rPr>
        <w:t>vulnerable customers</w:t>
      </w:r>
      <w:r w:rsidR="00790505">
        <w:rPr>
          <w:rFonts w:cs="Arial"/>
        </w:rPr>
        <w:t>’ accounts</w:t>
      </w:r>
      <w:r>
        <w:rPr>
          <w:rFonts w:cs="Arial"/>
        </w:rPr>
        <w:t xml:space="preserve"> to us so that we can manage them directly.  In these </w:t>
      </w:r>
      <w:r w:rsidR="008041B4">
        <w:rPr>
          <w:rFonts w:cs="Arial"/>
        </w:rPr>
        <w:t>cases,</w:t>
      </w:r>
      <w:r>
        <w:rPr>
          <w:rFonts w:cs="Arial"/>
        </w:rPr>
        <w:t xml:space="preserve"> we flag these accounts for management by our Customer Support Officer who will visit the customer and seek to help with water matters and</w:t>
      </w:r>
      <w:r w:rsidR="006F76A4">
        <w:rPr>
          <w:rFonts w:cs="Arial"/>
        </w:rPr>
        <w:t>,</w:t>
      </w:r>
      <w:r>
        <w:rPr>
          <w:rFonts w:cs="Arial"/>
        </w:rPr>
        <w:t xml:space="preserve"> where appropriate</w:t>
      </w:r>
      <w:r w:rsidR="006F76A4">
        <w:rPr>
          <w:rFonts w:cs="Arial"/>
        </w:rPr>
        <w:t>,</w:t>
      </w:r>
      <w:r>
        <w:rPr>
          <w:rFonts w:cs="Arial"/>
        </w:rPr>
        <w:t xml:space="preserve"> signpost other sources of help.</w:t>
      </w:r>
    </w:p>
    <w:p w:rsidR="006B7D96" w:rsidRPr="00B441A0" w:rsidRDefault="006B7D96" w:rsidP="006B7D96">
      <w:pPr>
        <w:rPr>
          <w:rFonts w:cs="Arial"/>
        </w:rPr>
      </w:pPr>
      <w:r>
        <w:rPr>
          <w:rFonts w:cs="Arial"/>
        </w:rPr>
        <w:t>Ease of access to support comes from a well-designed web-site (which support agencies have helped us to improve in the last year), well trained staff that understand how to pick up on key words that help to identify financial vulnerability, and having a culture that drives the right behaviours.</w:t>
      </w:r>
      <w:r w:rsidR="008D497C">
        <w:rPr>
          <w:rFonts w:cs="Arial"/>
        </w:rPr>
        <w:t xml:space="preserve">  A bill redesign, due later this year, will also improve clarity for vulnerable customers.</w:t>
      </w:r>
    </w:p>
    <w:p w:rsidR="006B7D96" w:rsidRDefault="006B7D96" w:rsidP="006B7D96">
      <w:pPr>
        <w:rPr>
          <w:rFonts w:cs="Arial"/>
        </w:rPr>
      </w:pPr>
      <w:r>
        <w:rPr>
          <w:rFonts w:cs="Arial"/>
        </w:rPr>
        <w:t xml:space="preserve">As part of our </w:t>
      </w:r>
      <w:r w:rsidR="000C1E50">
        <w:rPr>
          <w:rFonts w:cs="Arial"/>
        </w:rPr>
        <w:t>B</w:t>
      </w:r>
      <w:r>
        <w:rPr>
          <w:rFonts w:cs="Arial"/>
        </w:rPr>
        <w:t xml:space="preserve">usiness </w:t>
      </w:r>
      <w:r w:rsidR="000C1E50">
        <w:rPr>
          <w:rFonts w:cs="Arial"/>
        </w:rPr>
        <w:t>P</w:t>
      </w:r>
      <w:r>
        <w:rPr>
          <w:rFonts w:cs="Arial"/>
        </w:rPr>
        <w:t xml:space="preserve">lan </w:t>
      </w:r>
      <w:r w:rsidR="008041B4">
        <w:rPr>
          <w:rFonts w:cs="Arial"/>
        </w:rPr>
        <w:t>engagement,</w:t>
      </w:r>
      <w:r>
        <w:rPr>
          <w:rFonts w:cs="Arial"/>
        </w:rPr>
        <w:t xml:space="preserve"> we sent </w:t>
      </w:r>
      <w:r w:rsidR="00F269D9">
        <w:rPr>
          <w:rFonts w:cs="Arial"/>
        </w:rPr>
        <w:t>an innovative, targeted</w:t>
      </w:r>
      <w:r>
        <w:rPr>
          <w:rFonts w:cs="Arial"/>
        </w:rPr>
        <w:t xml:space="preserve"> survey to customers that were currently, or had been, in arrears to find out more about their personal circumstances and their attitude to our bill.</w:t>
      </w:r>
      <w:r w:rsidR="00F269D9">
        <w:rPr>
          <w:rFonts w:cs="Arial"/>
        </w:rPr>
        <w:t xml:space="preserve">  We incentivised a response by giving a £5 voucher to all respondents.</w:t>
      </w:r>
      <w:r>
        <w:rPr>
          <w:rFonts w:cs="Arial"/>
        </w:rPr>
        <w:t xml:space="preserve">  These customers typically have very low incomes and struggle to budget to pay our bill</w:t>
      </w:r>
      <w:r w:rsidR="00177760">
        <w:rPr>
          <w:rFonts w:cs="Arial"/>
        </w:rPr>
        <w:t xml:space="preserve"> (Appendix 2.14)</w:t>
      </w:r>
      <w:r>
        <w:rPr>
          <w:rFonts w:cs="Arial"/>
        </w:rPr>
        <w:t xml:space="preserve">.  However, not one respondent to the survey considered our bill to be poor value for money.  </w:t>
      </w:r>
      <w:r w:rsidR="008041B4">
        <w:rPr>
          <w:rFonts w:cs="Arial"/>
        </w:rPr>
        <w:t>Clearly,</w:t>
      </w:r>
      <w:r>
        <w:rPr>
          <w:rFonts w:cs="Arial"/>
        </w:rPr>
        <w:t xml:space="preserve"> affordability and </w:t>
      </w:r>
      <w:r w:rsidR="00CB4267">
        <w:rPr>
          <w:rFonts w:cs="Arial"/>
        </w:rPr>
        <w:t>acceptability of</w:t>
      </w:r>
      <w:r w:rsidR="006F76A4">
        <w:rPr>
          <w:rFonts w:cs="Arial"/>
        </w:rPr>
        <w:t xml:space="preserve"> bills </w:t>
      </w:r>
      <w:r>
        <w:rPr>
          <w:rFonts w:cs="Arial"/>
        </w:rPr>
        <w:t>are not necessarily the same thing.</w:t>
      </w:r>
    </w:p>
    <w:p w:rsidR="006B7D96" w:rsidRDefault="006B7D96" w:rsidP="006B7D96">
      <w:pPr>
        <w:rPr>
          <w:rFonts w:cs="Arial"/>
        </w:rPr>
      </w:pPr>
      <w:r>
        <w:rPr>
          <w:rFonts w:cs="Arial"/>
        </w:rPr>
        <w:t xml:space="preserve">Our customers supported the introduction of a Social </w:t>
      </w:r>
      <w:r w:rsidR="009216AE">
        <w:rPr>
          <w:rFonts w:cs="Arial"/>
        </w:rPr>
        <w:t>T</w:t>
      </w:r>
      <w:r>
        <w:rPr>
          <w:rFonts w:cs="Arial"/>
        </w:rPr>
        <w:t>ariff, which, since its launch in 2016 has helped over 5</w:t>
      </w:r>
      <w:r w:rsidR="00F46992">
        <w:rPr>
          <w:rFonts w:cs="Arial"/>
        </w:rPr>
        <w:t>,</w:t>
      </w:r>
      <w:r w:rsidR="002848C1">
        <w:rPr>
          <w:rFonts w:cs="Arial"/>
        </w:rPr>
        <w:t>3</w:t>
      </w:r>
      <w:r>
        <w:rPr>
          <w:rFonts w:cs="Arial"/>
        </w:rPr>
        <w:t>00 customers, identified from our own work and collaborative sharing of Social Tariff applications with Southern Water.  Our customers support increasing the number on our Helping Hand Social Tariff.</w:t>
      </w:r>
      <w:r w:rsidR="00177760">
        <w:rPr>
          <w:rFonts w:cs="Arial"/>
        </w:rPr>
        <w:t xml:space="preserve">  This was a topic for discussion with our Customer Advisory Panel (Appendix 2.22).</w:t>
      </w:r>
      <w:r>
        <w:rPr>
          <w:rFonts w:cs="Arial"/>
        </w:rPr>
        <w:t xml:space="preserve">  We aim to have 8</w:t>
      </w:r>
      <w:r w:rsidR="00F46992">
        <w:rPr>
          <w:rFonts w:cs="Arial"/>
        </w:rPr>
        <w:t>,</w:t>
      </w:r>
      <w:r>
        <w:rPr>
          <w:rFonts w:cs="Arial"/>
        </w:rPr>
        <w:t xml:space="preserve">000 customers benefiting by the end of AMP 7.  We operate our Social Tariff as a cap for metered customers, meaning there is no danger that they could be worse off whilst on this scheme. More information about our plans and Performance Commitments can be found in our </w:t>
      </w:r>
      <w:r w:rsidR="00F46992">
        <w:rPr>
          <w:rFonts w:cs="Arial"/>
        </w:rPr>
        <w:t>C</w:t>
      </w:r>
      <w:r>
        <w:rPr>
          <w:rFonts w:cs="Arial"/>
        </w:rPr>
        <w:t>hapter</w:t>
      </w:r>
      <w:r w:rsidR="00F46992">
        <w:rPr>
          <w:rFonts w:cs="Arial"/>
        </w:rPr>
        <w:t xml:space="preserve"> 3.9</w:t>
      </w:r>
      <w:r>
        <w:rPr>
          <w:rFonts w:cs="Arial"/>
        </w:rPr>
        <w:t xml:space="preserve"> ‘A service tailored to individual needs at a long term affordable price’.</w:t>
      </w:r>
    </w:p>
    <w:p w:rsidR="006B7D96" w:rsidRDefault="006B7D96" w:rsidP="006B7D96">
      <w:pPr>
        <w:rPr>
          <w:rFonts w:cs="Arial"/>
        </w:rPr>
      </w:pPr>
      <w:r>
        <w:rPr>
          <w:rFonts w:cs="Arial"/>
        </w:rPr>
        <w:t>We use our Arrears Assist £ for £ scheme to incentiv</w:t>
      </w:r>
      <w:r w:rsidR="009216AE">
        <w:rPr>
          <w:rFonts w:cs="Arial"/>
        </w:rPr>
        <w:t>i</w:t>
      </w:r>
      <w:r>
        <w:rPr>
          <w:rFonts w:cs="Arial"/>
        </w:rPr>
        <w:t>s</w:t>
      </w:r>
      <w:r w:rsidR="009216AE">
        <w:rPr>
          <w:rFonts w:cs="Arial"/>
        </w:rPr>
        <w:t>e</w:t>
      </w:r>
      <w:r>
        <w:rPr>
          <w:rFonts w:cs="Arial"/>
        </w:rPr>
        <w:t xml:space="preserve"> customers that have built up arrears and stopped paying us anything, to get them back in the paying habit.  Under this scheme, we write off </w:t>
      </w:r>
      <w:r w:rsidR="00F269D9">
        <w:rPr>
          <w:rFonts w:cs="Arial"/>
        </w:rPr>
        <w:t>£1</w:t>
      </w:r>
      <w:r>
        <w:rPr>
          <w:rFonts w:cs="Arial"/>
        </w:rPr>
        <w:t xml:space="preserve"> for each £</w:t>
      </w:r>
      <w:r w:rsidR="00F269D9">
        <w:rPr>
          <w:rFonts w:cs="Arial"/>
        </w:rPr>
        <w:t>1</w:t>
      </w:r>
      <w:r>
        <w:rPr>
          <w:rFonts w:cs="Arial"/>
        </w:rPr>
        <w:t xml:space="preserve"> that the customer pay</w:t>
      </w:r>
      <w:r w:rsidR="00F269D9">
        <w:rPr>
          <w:rFonts w:cs="Arial"/>
        </w:rPr>
        <w:t>s</w:t>
      </w:r>
      <w:r>
        <w:rPr>
          <w:rFonts w:cs="Arial"/>
        </w:rPr>
        <w:t>.  Currently we have over 230 customers on this scheme, with nearly 400 customers having completely cleared their arrears with the help of us matching their payments.</w:t>
      </w:r>
    </w:p>
    <w:p w:rsidR="00F269D9" w:rsidRDefault="00F269D9" w:rsidP="006B7D96">
      <w:pPr>
        <w:rPr>
          <w:rFonts w:cs="Arial"/>
        </w:rPr>
      </w:pPr>
      <w:r>
        <w:rPr>
          <w:rFonts w:cs="Arial"/>
        </w:rPr>
        <w:t>We continue to promote WaterSure to metered customers that may qualify for this tariff.  However, increasingly we are finding that customers that are eligible for WaterSure are eligible for our Social Tariffs which has a lower bill.</w:t>
      </w:r>
    </w:p>
    <w:p w:rsidR="006B7D96" w:rsidRDefault="006B7D96" w:rsidP="006B7D96">
      <w:pPr>
        <w:rPr>
          <w:rFonts w:cs="Arial"/>
        </w:rPr>
      </w:pPr>
      <w:r>
        <w:rPr>
          <w:rFonts w:cs="Arial"/>
        </w:rPr>
        <w:t>Overall, we consider that our bill levels, approach and support for those in financial vulnerability addresses the UK Governments strategic policy statement in expecting us to go further to meet the needs of those that are struggling to pay our charges.</w:t>
      </w:r>
    </w:p>
    <w:p w:rsidR="00F269D9" w:rsidRDefault="00F269D9" w:rsidP="006B7D96">
      <w:pPr>
        <w:rPr>
          <w:rFonts w:cs="Arial"/>
        </w:rPr>
      </w:pPr>
      <w:r w:rsidRPr="008D497C">
        <w:rPr>
          <w:rFonts w:cs="Arial"/>
          <w:b/>
          <w:color w:val="2E74B5" w:themeColor="accent1" w:themeShade="BF"/>
        </w:rPr>
        <w:t>Appendices relevant to this section</w:t>
      </w:r>
    </w:p>
    <w:tbl>
      <w:tblPr>
        <w:tblStyle w:val="TableGrid22"/>
        <w:tblW w:w="0" w:type="auto"/>
        <w:jc w:val="center"/>
        <w:tblLook w:val="04A0" w:firstRow="1" w:lastRow="0" w:firstColumn="1" w:lastColumn="0" w:noHBand="0" w:noVBand="1"/>
      </w:tblPr>
      <w:tblGrid>
        <w:gridCol w:w="1838"/>
        <w:gridCol w:w="4173"/>
        <w:gridCol w:w="1781"/>
      </w:tblGrid>
      <w:tr w:rsidR="00177760" w:rsidRPr="001E0DCD" w:rsidTr="005A73F6">
        <w:trPr>
          <w:jc w:val="center"/>
        </w:trPr>
        <w:tc>
          <w:tcPr>
            <w:tcW w:w="1838" w:type="dxa"/>
            <w:shd w:val="clear" w:color="auto" w:fill="2E74B5" w:themeFill="accent1" w:themeFillShade="BF"/>
          </w:tcPr>
          <w:p w:rsidR="00177760" w:rsidRPr="001E0DCD" w:rsidRDefault="00177760" w:rsidP="005A73F6">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177760" w:rsidRPr="001E0DCD" w:rsidRDefault="00177760" w:rsidP="005A73F6">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177760" w:rsidRPr="001E0DCD" w:rsidRDefault="00177760" w:rsidP="005A73F6">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177760" w:rsidRPr="001E0DCD" w:rsidTr="005A73F6">
        <w:trPr>
          <w:jc w:val="center"/>
        </w:trPr>
        <w:tc>
          <w:tcPr>
            <w:tcW w:w="1838" w:type="dxa"/>
          </w:tcPr>
          <w:p w:rsidR="00177760" w:rsidRPr="001E0DCD" w:rsidRDefault="00177760" w:rsidP="005A73F6">
            <w:pPr>
              <w:tabs>
                <w:tab w:val="clear" w:pos="851"/>
              </w:tabs>
              <w:spacing w:after="0"/>
              <w:ind w:left="0"/>
              <w:jc w:val="left"/>
              <w:rPr>
                <w:rFonts w:cs="Arial"/>
                <w:sz w:val="16"/>
                <w:szCs w:val="16"/>
              </w:rPr>
            </w:pPr>
            <w:r>
              <w:rPr>
                <w:rFonts w:cs="Arial"/>
                <w:sz w:val="16"/>
                <w:szCs w:val="16"/>
              </w:rPr>
              <w:t>2.14</w:t>
            </w:r>
          </w:p>
        </w:tc>
        <w:tc>
          <w:tcPr>
            <w:tcW w:w="4173" w:type="dxa"/>
          </w:tcPr>
          <w:p w:rsidR="00177760" w:rsidRPr="001E0DCD" w:rsidRDefault="00177760" w:rsidP="005A73F6">
            <w:pPr>
              <w:tabs>
                <w:tab w:val="clear" w:pos="851"/>
              </w:tabs>
              <w:spacing w:after="0"/>
              <w:ind w:left="0"/>
              <w:jc w:val="left"/>
              <w:rPr>
                <w:rFonts w:cs="Arial"/>
                <w:sz w:val="16"/>
                <w:szCs w:val="16"/>
              </w:rPr>
            </w:pPr>
            <w:r>
              <w:rPr>
                <w:rFonts w:cs="Arial"/>
                <w:sz w:val="16"/>
                <w:szCs w:val="16"/>
              </w:rPr>
              <w:t>Customer Affordability Survey</w:t>
            </w:r>
          </w:p>
        </w:tc>
        <w:tc>
          <w:tcPr>
            <w:tcW w:w="1781" w:type="dxa"/>
          </w:tcPr>
          <w:p w:rsidR="00177760" w:rsidRPr="001E0DCD" w:rsidRDefault="00177760" w:rsidP="005A73F6">
            <w:pPr>
              <w:tabs>
                <w:tab w:val="clear" w:pos="851"/>
              </w:tabs>
              <w:spacing w:after="0"/>
              <w:ind w:left="0"/>
              <w:jc w:val="left"/>
              <w:rPr>
                <w:rFonts w:cs="Arial"/>
                <w:sz w:val="16"/>
                <w:szCs w:val="16"/>
              </w:rPr>
            </w:pPr>
            <w:r>
              <w:rPr>
                <w:rFonts w:cs="Arial"/>
                <w:sz w:val="16"/>
                <w:szCs w:val="16"/>
              </w:rPr>
              <w:t>February 2018</w:t>
            </w:r>
          </w:p>
        </w:tc>
      </w:tr>
      <w:tr w:rsidR="00177760" w:rsidRPr="001E0DCD" w:rsidTr="005A73F6">
        <w:trPr>
          <w:jc w:val="center"/>
        </w:trPr>
        <w:tc>
          <w:tcPr>
            <w:tcW w:w="1838" w:type="dxa"/>
          </w:tcPr>
          <w:p w:rsidR="00177760" w:rsidRDefault="00177760" w:rsidP="005A73F6">
            <w:pPr>
              <w:tabs>
                <w:tab w:val="clear" w:pos="851"/>
              </w:tabs>
              <w:spacing w:after="0"/>
              <w:ind w:left="0"/>
              <w:jc w:val="left"/>
              <w:rPr>
                <w:rFonts w:cs="Arial"/>
                <w:sz w:val="16"/>
                <w:szCs w:val="16"/>
              </w:rPr>
            </w:pPr>
            <w:r>
              <w:rPr>
                <w:rFonts w:cs="Arial"/>
                <w:sz w:val="16"/>
                <w:szCs w:val="16"/>
              </w:rPr>
              <w:t>2.22</w:t>
            </w:r>
          </w:p>
        </w:tc>
        <w:tc>
          <w:tcPr>
            <w:tcW w:w="4173" w:type="dxa"/>
          </w:tcPr>
          <w:p w:rsidR="00177760" w:rsidRDefault="00177760" w:rsidP="005A73F6">
            <w:pPr>
              <w:tabs>
                <w:tab w:val="clear" w:pos="851"/>
              </w:tabs>
              <w:spacing w:after="0"/>
              <w:ind w:left="0"/>
              <w:jc w:val="left"/>
              <w:rPr>
                <w:rFonts w:cs="Arial"/>
                <w:sz w:val="16"/>
                <w:szCs w:val="16"/>
              </w:rPr>
            </w:pPr>
            <w:r>
              <w:rPr>
                <w:rFonts w:cs="Arial"/>
                <w:sz w:val="16"/>
                <w:szCs w:val="16"/>
              </w:rPr>
              <w:t>Customer Advisory Panel 5</w:t>
            </w:r>
          </w:p>
        </w:tc>
        <w:tc>
          <w:tcPr>
            <w:tcW w:w="1781" w:type="dxa"/>
          </w:tcPr>
          <w:p w:rsidR="00177760" w:rsidRDefault="00177760" w:rsidP="005A73F6">
            <w:pPr>
              <w:tabs>
                <w:tab w:val="clear" w:pos="851"/>
              </w:tabs>
              <w:spacing w:after="0"/>
              <w:ind w:left="0"/>
              <w:jc w:val="left"/>
              <w:rPr>
                <w:rFonts w:cs="Arial"/>
                <w:sz w:val="16"/>
                <w:szCs w:val="16"/>
              </w:rPr>
            </w:pPr>
            <w:r>
              <w:rPr>
                <w:rFonts w:cs="Arial"/>
                <w:sz w:val="16"/>
                <w:szCs w:val="16"/>
              </w:rPr>
              <w:t>May 2018</w:t>
            </w:r>
          </w:p>
        </w:tc>
      </w:tr>
    </w:tbl>
    <w:p w:rsidR="00177760" w:rsidRDefault="00177760" w:rsidP="00F269D9">
      <w:pPr>
        <w:spacing w:after="0"/>
        <w:rPr>
          <w:rFonts w:cs="Arial"/>
        </w:rPr>
      </w:pPr>
    </w:p>
    <w:p w:rsidR="007E696C" w:rsidRDefault="007E696C" w:rsidP="00802B2B">
      <w:pPr>
        <w:pStyle w:val="Heading2"/>
      </w:pPr>
      <w:bookmarkStart w:id="137" w:name="_Toc522200008"/>
      <w:bookmarkStart w:id="138" w:name="_Toc522200105"/>
      <w:bookmarkStart w:id="139" w:name="_Toc523651286"/>
      <w:r w:rsidRPr="00A7546D">
        <w:t>Vulnerability</w:t>
      </w:r>
      <w:bookmarkEnd w:id="137"/>
      <w:bookmarkEnd w:id="138"/>
      <w:bookmarkEnd w:id="139"/>
    </w:p>
    <w:p w:rsidR="001230A4" w:rsidRDefault="001230A4" w:rsidP="001230A4">
      <w:pPr>
        <w:rPr>
          <w:rFonts w:cs="Arial"/>
          <w:b/>
          <w:u w:val="single"/>
        </w:rPr>
      </w:pPr>
      <w:r w:rsidRPr="00526D5E">
        <w:rPr>
          <w:rFonts w:cs="Arial"/>
          <w:b/>
          <w:u w:val="single"/>
        </w:rPr>
        <w:t>How will we manage Vulnerability – key questions and answers?</w:t>
      </w:r>
    </w:p>
    <w:p w:rsidR="001230A4" w:rsidRDefault="001230A4" w:rsidP="001230A4">
      <w:pPr>
        <w:rPr>
          <w:rFonts w:cs="Arial"/>
          <w:b/>
        </w:rPr>
      </w:pPr>
      <w:r>
        <w:rPr>
          <w:rFonts w:cs="Arial"/>
          <w:b/>
        </w:rPr>
        <w:t>Summary Table</w:t>
      </w:r>
    </w:p>
    <w:tbl>
      <w:tblPr>
        <w:tblStyle w:val="TableGrid"/>
        <w:tblW w:w="0" w:type="auto"/>
        <w:tblInd w:w="851" w:type="dxa"/>
        <w:tblLook w:val="04A0" w:firstRow="1" w:lastRow="0" w:firstColumn="1" w:lastColumn="0" w:noHBand="0" w:noVBand="1"/>
      </w:tblPr>
      <w:tblGrid>
        <w:gridCol w:w="4389"/>
        <w:gridCol w:w="4388"/>
      </w:tblGrid>
      <w:tr w:rsidR="008B62E5" w:rsidTr="008B62E5">
        <w:tc>
          <w:tcPr>
            <w:tcW w:w="4389" w:type="dxa"/>
          </w:tcPr>
          <w:p w:rsidR="008B62E5" w:rsidRPr="0034678D" w:rsidRDefault="008B62E5" w:rsidP="008B62E5">
            <w:pPr>
              <w:tabs>
                <w:tab w:val="clear" w:pos="851"/>
              </w:tabs>
              <w:spacing w:after="0"/>
              <w:ind w:left="0"/>
              <w:jc w:val="left"/>
              <w:rPr>
                <w:rFonts w:cs="Arial"/>
                <w:sz w:val="16"/>
                <w:szCs w:val="16"/>
              </w:rPr>
            </w:pPr>
            <w:r w:rsidRPr="0034678D">
              <w:rPr>
                <w:rFonts w:cs="Arial"/>
                <w:sz w:val="16"/>
                <w:szCs w:val="16"/>
              </w:rPr>
              <w:t>How do we use good quality data to understand our customers and identify those that are in circumstances that make them vulnerable?</w:t>
            </w:r>
          </w:p>
        </w:tc>
        <w:tc>
          <w:tcPr>
            <w:tcW w:w="4388" w:type="dxa"/>
          </w:tcPr>
          <w:p w:rsidR="008B62E5" w:rsidRPr="0034678D" w:rsidRDefault="008B62E5" w:rsidP="008B62E5">
            <w:pPr>
              <w:tabs>
                <w:tab w:val="clear" w:pos="851"/>
              </w:tabs>
              <w:spacing w:after="0"/>
              <w:ind w:left="0"/>
              <w:jc w:val="left"/>
              <w:rPr>
                <w:rFonts w:cs="Arial"/>
                <w:sz w:val="16"/>
                <w:szCs w:val="16"/>
              </w:rPr>
            </w:pPr>
            <w:r w:rsidRPr="0034678D">
              <w:rPr>
                <w:rFonts w:cs="Arial"/>
                <w:sz w:val="16"/>
                <w:szCs w:val="16"/>
              </w:rPr>
              <w:t>We collect good quality data and have processes and procedures in place to ensure that it is quickly reviewed and acted upon as part of our incident management.</w:t>
            </w:r>
          </w:p>
        </w:tc>
      </w:tr>
      <w:tr w:rsidR="008B62E5" w:rsidTr="008B62E5">
        <w:tc>
          <w:tcPr>
            <w:tcW w:w="4389" w:type="dxa"/>
          </w:tcPr>
          <w:p w:rsidR="008B62E5" w:rsidRPr="0034678D" w:rsidRDefault="008B62E5" w:rsidP="008B62E5">
            <w:pPr>
              <w:tabs>
                <w:tab w:val="clear" w:pos="851"/>
              </w:tabs>
              <w:spacing w:after="0"/>
              <w:ind w:left="0"/>
              <w:jc w:val="left"/>
              <w:rPr>
                <w:rFonts w:cs="Arial"/>
                <w:sz w:val="16"/>
                <w:szCs w:val="16"/>
              </w:rPr>
            </w:pPr>
            <w:r w:rsidRPr="0034678D">
              <w:rPr>
                <w:rFonts w:cs="Arial"/>
                <w:sz w:val="16"/>
                <w:szCs w:val="16"/>
              </w:rPr>
              <w:t>How do we engage with other utilities and third parties to identify vulnerability and support those customers that are in circumstances that make them vulnerable?</w:t>
            </w:r>
          </w:p>
        </w:tc>
        <w:tc>
          <w:tcPr>
            <w:tcW w:w="4388" w:type="dxa"/>
          </w:tcPr>
          <w:p w:rsidR="008B62E5" w:rsidRPr="0034678D" w:rsidRDefault="008B62E5" w:rsidP="008B62E5">
            <w:pPr>
              <w:tabs>
                <w:tab w:val="clear" w:pos="851"/>
              </w:tabs>
              <w:spacing w:after="0"/>
              <w:ind w:left="0"/>
              <w:jc w:val="left"/>
              <w:rPr>
                <w:rFonts w:cs="Arial"/>
                <w:sz w:val="16"/>
                <w:szCs w:val="16"/>
              </w:rPr>
            </w:pPr>
            <w:r w:rsidRPr="0034678D">
              <w:rPr>
                <w:rFonts w:cs="Arial"/>
                <w:sz w:val="16"/>
                <w:szCs w:val="16"/>
              </w:rPr>
              <w:t xml:space="preserve">We have a dedicated person that is constantly building our network of utilities and third parties to drive continuous improvement in our management of vulnerability. </w:t>
            </w:r>
          </w:p>
        </w:tc>
      </w:tr>
      <w:tr w:rsidR="008B62E5" w:rsidTr="008B62E5">
        <w:tc>
          <w:tcPr>
            <w:tcW w:w="4389" w:type="dxa"/>
          </w:tcPr>
          <w:p w:rsidR="008B62E5" w:rsidRPr="0034678D" w:rsidRDefault="008B62E5" w:rsidP="008B62E5">
            <w:pPr>
              <w:tabs>
                <w:tab w:val="clear" w:pos="851"/>
              </w:tabs>
              <w:spacing w:after="0"/>
              <w:ind w:left="0"/>
              <w:jc w:val="left"/>
              <w:rPr>
                <w:rFonts w:cs="Arial"/>
                <w:sz w:val="16"/>
                <w:szCs w:val="16"/>
              </w:rPr>
            </w:pPr>
            <w:r w:rsidRPr="0034678D">
              <w:rPr>
                <w:rFonts w:cs="Arial"/>
                <w:sz w:val="16"/>
                <w:szCs w:val="16"/>
              </w:rPr>
              <w:t>How targeted, efficient and effective are our approaches to address vulnerability?</w:t>
            </w:r>
          </w:p>
        </w:tc>
        <w:tc>
          <w:tcPr>
            <w:tcW w:w="4388" w:type="dxa"/>
          </w:tcPr>
          <w:p w:rsidR="008B62E5" w:rsidRPr="0034678D" w:rsidRDefault="008B62E5" w:rsidP="008B62E5">
            <w:pPr>
              <w:tabs>
                <w:tab w:val="clear" w:pos="851"/>
              </w:tabs>
              <w:spacing w:after="0"/>
              <w:ind w:left="0"/>
              <w:jc w:val="left"/>
              <w:rPr>
                <w:rFonts w:cs="Arial"/>
                <w:sz w:val="16"/>
                <w:szCs w:val="16"/>
              </w:rPr>
            </w:pPr>
            <w:r w:rsidRPr="0034678D">
              <w:rPr>
                <w:rFonts w:cs="Arial"/>
                <w:sz w:val="16"/>
                <w:szCs w:val="16"/>
              </w:rPr>
              <w:t xml:space="preserve">With strong Board </w:t>
            </w:r>
            <w:r w:rsidR="00AF7665" w:rsidRPr="0034678D">
              <w:rPr>
                <w:rFonts w:cs="Arial"/>
                <w:sz w:val="16"/>
                <w:szCs w:val="16"/>
              </w:rPr>
              <w:t>backing,</w:t>
            </w:r>
            <w:r w:rsidRPr="0034678D">
              <w:rPr>
                <w:rFonts w:cs="Arial"/>
                <w:sz w:val="16"/>
                <w:szCs w:val="16"/>
              </w:rPr>
              <w:t xml:space="preserve"> we have created a structure and resource to ensure that vulnerability is managed in an efficient and effective way.</w:t>
            </w:r>
          </w:p>
        </w:tc>
      </w:tr>
    </w:tbl>
    <w:p w:rsidR="008B62E5" w:rsidRDefault="008B62E5" w:rsidP="006A2E3B">
      <w:pPr>
        <w:spacing w:after="0"/>
        <w:rPr>
          <w:rFonts w:cs="Arial"/>
          <w:b/>
        </w:rPr>
      </w:pPr>
    </w:p>
    <w:p w:rsidR="001230A4" w:rsidRDefault="001230A4" w:rsidP="001230A4">
      <w:pPr>
        <w:rPr>
          <w:rFonts w:cs="Arial"/>
          <w:b/>
        </w:rPr>
      </w:pPr>
      <w:r w:rsidRPr="002F0B18">
        <w:rPr>
          <w:rFonts w:cs="Arial"/>
          <w:b/>
        </w:rPr>
        <w:t xml:space="preserve">How do we use good quality data </w:t>
      </w:r>
      <w:r w:rsidR="00790505">
        <w:rPr>
          <w:rFonts w:cs="Arial"/>
          <w:b/>
        </w:rPr>
        <w:t xml:space="preserve">to </w:t>
      </w:r>
      <w:r>
        <w:rPr>
          <w:rFonts w:cs="Arial"/>
          <w:b/>
        </w:rPr>
        <w:t xml:space="preserve">understand </w:t>
      </w:r>
      <w:r w:rsidRPr="002F0B18">
        <w:rPr>
          <w:rFonts w:cs="Arial"/>
          <w:b/>
        </w:rPr>
        <w:t>our customers and identify those that are in circumstances that make them vulnerable?</w:t>
      </w:r>
    </w:p>
    <w:p w:rsidR="001230A4" w:rsidRDefault="001230A4" w:rsidP="001230A4">
      <w:pPr>
        <w:rPr>
          <w:rFonts w:cs="Arial"/>
        </w:rPr>
      </w:pPr>
      <w:r>
        <w:rPr>
          <w:rFonts w:cs="Arial"/>
        </w:rPr>
        <w:t>Managing data to provide a sensitive, targeted service is a key objective in our drive to help those at times of vulnerability.</w:t>
      </w:r>
    </w:p>
    <w:p w:rsidR="001230A4" w:rsidRDefault="001230A4" w:rsidP="001230A4">
      <w:pPr>
        <w:rPr>
          <w:rFonts w:cs="Arial"/>
        </w:rPr>
      </w:pPr>
      <w:r>
        <w:rPr>
          <w:rFonts w:cs="Arial"/>
        </w:rPr>
        <w:t xml:space="preserve">Having good data about vulnerable customers is </w:t>
      </w:r>
      <w:r w:rsidR="00F269D9">
        <w:rPr>
          <w:rFonts w:cs="Arial"/>
        </w:rPr>
        <w:t xml:space="preserve">very </w:t>
      </w:r>
      <w:r>
        <w:rPr>
          <w:rFonts w:cs="Arial"/>
        </w:rPr>
        <w:t xml:space="preserve">important at times </w:t>
      </w:r>
      <w:r w:rsidR="00790505">
        <w:rPr>
          <w:rFonts w:cs="Arial"/>
        </w:rPr>
        <w:t>when operational incidents impact supplies</w:t>
      </w:r>
      <w:r>
        <w:rPr>
          <w:rFonts w:cs="Arial"/>
        </w:rPr>
        <w:t xml:space="preserve">, such as occurs with an unplanned interruption, or due to extreme weather events such as the ‘Beast from the East’.  Our overriding aim is to ensure that we have the resilience, through good planning and </w:t>
      </w:r>
      <w:r w:rsidR="00AF7665">
        <w:rPr>
          <w:rFonts w:cs="Arial"/>
        </w:rPr>
        <w:t>well-managed</w:t>
      </w:r>
      <w:r>
        <w:rPr>
          <w:rFonts w:cs="Arial"/>
        </w:rPr>
        <w:t xml:space="preserve"> infrastructure, to minimise incidents, and the resultant customer impacts. Minimising incidents lessens the need to instigate special arrangements for those that are vulnerable, and customers generally.  However, when things do go wrong, our incident planning ensures we quickly identify and contact those that need a priority service.</w:t>
      </w:r>
    </w:p>
    <w:p w:rsidR="001230A4" w:rsidRDefault="001230A4" w:rsidP="001230A4">
      <w:pPr>
        <w:rPr>
          <w:rFonts w:cs="Arial"/>
        </w:rPr>
      </w:pPr>
      <w:r>
        <w:rPr>
          <w:rFonts w:cs="Arial"/>
        </w:rPr>
        <w:t>Obtaining good quality customer data is an ongoing challenge.  With no application form for our services and with details often only provided by third parties, knowing our customers can be difficult.</w:t>
      </w:r>
    </w:p>
    <w:p w:rsidR="001230A4" w:rsidRDefault="00AF7665" w:rsidP="001230A4">
      <w:pPr>
        <w:rPr>
          <w:rFonts w:cs="Arial"/>
        </w:rPr>
      </w:pPr>
      <w:r>
        <w:rPr>
          <w:rFonts w:cs="Arial"/>
        </w:rPr>
        <w:t>Sources of good data come from:</w:t>
      </w:r>
    </w:p>
    <w:p w:rsidR="001230A4" w:rsidRDefault="001230A4" w:rsidP="008041B4">
      <w:pPr>
        <w:pStyle w:val="Bullets"/>
      </w:pPr>
      <w:r>
        <w:t>Well trained staff in the contact centre, with good listening skills and trained to identify words and comments within calls that need to be explored so that we collect the information we need to serve that customer well, placing them on the Priority Service Register and/or providing assistance with financial vulnerability.</w:t>
      </w:r>
      <w:r w:rsidR="00F269D9">
        <w:t xml:space="preserve">  Our Customer Support Officer works to constantly improve the skills of our staff.</w:t>
      </w:r>
    </w:p>
    <w:p w:rsidR="001230A4" w:rsidRDefault="001230A4" w:rsidP="008041B4">
      <w:pPr>
        <w:pStyle w:val="Bullets"/>
      </w:pPr>
      <w:r>
        <w:t xml:space="preserve">Operational staff </w:t>
      </w:r>
      <w:r w:rsidR="00AF7665">
        <w:t>reporting</w:t>
      </w:r>
      <w:r>
        <w:t xml:space="preserve"> and recording interactions where a customer needs more help and support.</w:t>
      </w:r>
    </w:p>
    <w:p w:rsidR="001230A4" w:rsidRDefault="001230A4" w:rsidP="008041B4">
      <w:pPr>
        <w:pStyle w:val="Bullets"/>
      </w:pPr>
      <w:r>
        <w:t>Making the most of community activities and the interactions they facilitate.</w:t>
      </w:r>
    </w:p>
    <w:p w:rsidR="001230A4" w:rsidRDefault="001230A4" w:rsidP="008041B4">
      <w:pPr>
        <w:pStyle w:val="Bullets"/>
      </w:pPr>
      <w:r>
        <w:t xml:space="preserve">Effectively managing </w:t>
      </w:r>
      <w:r w:rsidR="00F269D9">
        <w:t xml:space="preserve">relationships </w:t>
      </w:r>
      <w:r>
        <w:t xml:space="preserve">with other organisations, sharing data where allowed by law and where the customer has consented. </w:t>
      </w:r>
    </w:p>
    <w:p w:rsidR="001230A4" w:rsidRDefault="001230A4" w:rsidP="008041B4">
      <w:pPr>
        <w:pStyle w:val="Bullets"/>
      </w:pPr>
      <w:r>
        <w:t>Using on-line tools such as CreditSafe (software that confirms a customer’s identification) and the Land Registry.</w:t>
      </w:r>
    </w:p>
    <w:p w:rsidR="008041B4" w:rsidRDefault="008041B4" w:rsidP="008041B4">
      <w:pPr>
        <w:pStyle w:val="Bullets"/>
        <w:numPr>
          <w:ilvl w:val="0"/>
          <w:numId w:val="0"/>
        </w:numPr>
        <w:ind w:left="1848"/>
      </w:pPr>
    </w:p>
    <w:p w:rsidR="001230A4" w:rsidRDefault="001230A4" w:rsidP="001230A4">
      <w:pPr>
        <w:rPr>
          <w:rFonts w:cs="Arial"/>
          <w:b/>
        </w:rPr>
      </w:pPr>
      <w:r w:rsidRPr="002F0B18">
        <w:rPr>
          <w:rFonts w:cs="Arial"/>
          <w:b/>
        </w:rPr>
        <w:t>How do we engage with other utilities and third parties to identify vulnerability and support those customers that are in circumstances that make them vulnerable?</w:t>
      </w:r>
    </w:p>
    <w:p w:rsidR="001230A4" w:rsidRDefault="001230A4" w:rsidP="001230A4">
      <w:r w:rsidRPr="006D5D38">
        <w:rPr>
          <w:rFonts w:cs="Arial"/>
          <w:iCs/>
          <w:shd w:val="clear" w:color="auto" w:fill="FFFFFF"/>
        </w:rPr>
        <w:t xml:space="preserve">We are working with water service providers in the South East to create a cross-regional network of organisations supporting customers facing financial and non-financial vulnerability. Our objective is to implement a common approach to supporting customers. This will increase the consistency of support across the region, removing unnecessary complexity and thereby allowing customers to access the support they require without having to contact multiple organisations. Our first area of focus is the alignment of our social tariffs and a single sign-up model, through the course of </w:t>
      </w:r>
      <w:r w:rsidR="008041B4" w:rsidRPr="006D5D38">
        <w:rPr>
          <w:rFonts w:cs="Arial"/>
          <w:iCs/>
          <w:shd w:val="clear" w:color="auto" w:fill="FFFFFF"/>
        </w:rPr>
        <w:t>AMP7;</w:t>
      </w:r>
      <w:r w:rsidRPr="006D5D38">
        <w:rPr>
          <w:rFonts w:cs="Arial"/>
          <w:iCs/>
          <w:shd w:val="clear" w:color="auto" w:fill="FFFFFF"/>
        </w:rPr>
        <w:t xml:space="preserve"> we will further integrate and align our support provision.</w:t>
      </w:r>
      <w:r w:rsidRPr="006D5D38">
        <w:t xml:space="preserve"> </w:t>
      </w:r>
    </w:p>
    <w:p w:rsidR="001230A4" w:rsidRDefault="001230A4" w:rsidP="001230A4">
      <w:pPr>
        <w:rPr>
          <w:rFonts w:cs="Arial"/>
        </w:rPr>
      </w:pPr>
      <w:r>
        <w:rPr>
          <w:rFonts w:cs="Arial"/>
        </w:rPr>
        <w:t>We work collaboratively with Southern Water, who provide sewerage services to our customers, attending many events together.  We also participate in many of the same groups, such as the Debt and Benefits Forum run by Portsmouth City Council.</w:t>
      </w:r>
    </w:p>
    <w:p w:rsidR="001230A4" w:rsidRPr="00CE7E63" w:rsidRDefault="001230A4" w:rsidP="001230A4">
      <w:pPr>
        <w:rPr>
          <w:rFonts w:cs="Arial"/>
        </w:rPr>
      </w:pPr>
      <w:r>
        <w:rPr>
          <w:rFonts w:cs="Arial"/>
        </w:rPr>
        <w:t>We work with</w:t>
      </w:r>
      <w:r w:rsidRPr="00CE7E63">
        <w:rPr>
          <w:rFonts w:cs="Arial"/>
        </w:rPr>
        <w:t xml:space="preserve"> l</w:t>
      </w:r>
      <w:r>
        <w:rPr>
          <w:rFonts w:cs="Arial"/>
        </w:rPr>
        <w:t>ocal councils who have supplied</w:t>
      </w:r>
      <w:r w:rsidRPr="00CE7E63">
        <w:rPr>
          <w:rFonts w:cs="Arial"/>
        </w:rPr>
        <w:t xml:space="preserve"> </w:t>
      </w:r>
      <w:r>
        <w:rPr>
          <w:rFonts w:cs="Arial"/>
        </w:rPr>
        <w:t xml:space="preserve">a list of all of their sheltered accommodation.  With this </w:t>
      </w:r>
      <w:r w:rsidR="008041B4">
        <w:rPr>
          <w:rFonts w:cs="Arial"/>
        </w:rPr>
        <w:t>information,</w:t>
      </w:r>
      <w:r>
        <w:rPr>
          <w:rFonts w:cs="Arial"/>
        </w:rPr>
        <w:t xml:space="preserve"> we are able to target activity to ensure the occupiers have access to help and assistance.</w:t>
      </w:r>
    </w:p>
    <w:p w:rsidR="001230A4" w:rsidRDefault="001230A4" w:rsidP="001230A4">
      <w:pPr>
        <w:rPr>
          <w:rFonts w:cs="Arial"/>
        </w:rPr>
      </w:pPr>
      <w:r>
        <w:rPr>
          <w:rFonts w:cs="Arial"/>
        </w:rPr>
        <w:t>We have an ongoing programme</w:t>
      </w:r>
      <w:r w:rsidR="009216AE">
        <w:rPr>
          <w:rFonts w:cs="Arial"/>
        </w:rPr>
        <w:t xml:space="preserve"> of visits to C</w:t>
      </w:r>
      <w:r w:rsidR="003C6CA3">
        <w:rPr>
          <w:rFonts w:cs="Arial"/>
        </w:rPr>
        <w:t xml:space="preserve">itizens </w:t>
      </w:r>
      <w:r w:rsidR="009216AE">
        <w:rPr>
          <w:rFonts w:cs="Arial"/>
        </w:rPr>
        <w:t>A</w:t>
      </w:r>
      <w:r w:rsidR="003C6CA3">
        <w:rPr>
          <w:rFonts w:cs="Arial"/>
        </w:rPr>
        <w:t>dvice Bureau</w:t>
      </w:r>
      <w:r w:rsidR="009216AE">
        <w:rPr>
          <w:rFonts w:cs="Arial"/>
        </w:rPr>
        <w:t>s, Councils, h</w:t>
      </w:r>
      <w:r>
        <w:rPr>
          <w:rFonts w:cs="Arial"/>
        </w:rPr>
        <w:t xml:space="preserve">ousing </w:t>
      </w:r>
      <w:r w:rsidR="009216AE">
        <w:rPr>
          <w:rFonts w:cs="Arial"/>
        </w:rPr>
        <w:t>a</w:t>
      </w:r>
      <w:r>
        <w:rPr>
          <w:rFonts w:cs="Arial"/>
        </w:rPr>
        <w:t xml:space="preserve">ssociations, foodbanks, Age UK, Step Change, cancer charities, Samaritans, carers groups, money advice providers, Department of Work and Pensions and the Stroke Association.  These visits allow us to identify training quick </w:t>
      </w:r>
      <w:r w:rsidR="008041B4">
        <w:rPr>
          <w:rFonts w:cs="Arial"/>
        </w:rPr>
        <w:t>wins, which</w:t>
      </w:r>
      <w:r>
        <w:rPr>
          <w:rFonts w:cs="Arial"/>
        </w:rPr>
        <w:t xml:space="preserve"> have been delivered to staff via short training sessions.</w:t>
      </w:r>
    </w:p>
    <w:p w:rsidR="001230A4" w:rsidRDefault="001230A4" w:rsidP="001230A4">
      <w:pPr>
        <w:rPr>
          <w:rFonts w:cs="Arial"/>
        </w:rPr>
      </w:pPr>
      <w:r>
        <w:rPr>
          <w:rFonts w:cs="Arial"/>
        </w:rPr>
        <w:t>We have also trained staff to better understand dementia and are working towards becoming a dementia friendly company.</w:t>
      </w:r>
    </w:p>
    <w:p w:rsidR="001230A4" w:rsidRDefault="001230A4" w:rsidP="001230A4">
      <w:pPr>
        <w:rPr>
          <w:rFonts w:cs="Arial"/>
        </w:rPr>
      </w:pPr>
      <w:r>
        <w:rPr>
          <w:rFonts w:cs="Arial"/>
        </w:rPr>
        <w:t>We have entered into a data share arrangement with SSE Networks and are currently running a pilot to encourage the joint sign up to our Priority Service Register, using home visits that have been targeted following analysis of deprivation data.  We are testing whether this targeted, innovative approach, will have a significant impact on our Priority Service Register sign up.</w:t>
      </w:r>
    </w:p>
    <w:p w:rsidR="001230A4" w:rsidRDefault="001230A4" w:rsidP="001230A4">
      <w:pPr>
        <w:rPr>
          <w:rFonts w:cs="Arial"/>
        </w:rPr>
      </w:pPr>
      <w:r>
        <w:rPr>
          <w:rFonts w:cs="Arial"/>
        </w:rPr>
        <w:t xml:space="preserve">We have agreed with the two largest debt collection agencies that we use that where they identify a vulnerable customer they will pass them back to us to directly manage, and seek to gain the customers authority for them to make us aware of what extra help may be needed.  These referrals allow us to make proactive home visits to see how we can help the customer directly and/or signpost other help. </w:t>
      </w:r>
    </w:p>
    <w:p w:rsidR="001230A4" w:rsidRDefault="001230A4" w:rsidP="001230A4">
      <w:pPr>
        <w:rPr>
          <w:rFonts w:cs="Arial"/>
        </w:rPr>
      </w:pPr>
      <w:r>
        <w:rPr>
          <w:rFonts w:cs="Arial"/>
        </w:rPr>
        <w:t xml:space="preserve">As well as individual home </w:t>
      </w:r>
      <w:r w:rsidR="008041B4">
        <w:rPr>
          <w:rFonts w:cs="Arial"/>
        </w:rPr>
        <w:t>visits,</w:t>
      </w:r>
      <w:r>
        <w:rPr>
          <w:rFonts w:cs="Arial"/>
        </w:rPr>
        <w:t xml:space="preserve"> we </w:t>
      </w:r>
      <w:r w:rsidR="00F46992">
        <w:rPr>
          <w:rFonts w:cs="Arial"/>
        </w:rPr>
        <w:t xml:space="preserve">hold </w:t>
      </w:r>
      <w:r>
        <w:rPr>
          <w:rFonts w:cs="Arial"/>
        </w:rPr>
        <w:t>roadshows at supermarkets, fetes, shopping centres, seminars and events. Below is a copy of a flyer in respect of a recent community event</w:t>
      </w:r>
      <w:r w:rsidR="00790505">
        <w:rPr>
          <w:rFonts w:cs="Arial"/>
        </w:rPr>
        <w:t xml:space="preserve"> in Havant in August 2018</w:t>
      </w:r>
      <w:r>
        <w:rPr>
          <w:rFonts w:cs="Arial"/>
        </w:rPr>
        <w:t>:-</w:t>
      </w:r>
    </w:p>
    <w:p w:rsidR="001230A4" w:rsidRDefault="001230A4" w:rsidP="008041B4">
      <w:pPr>
        <w:jc w:val="center"/>
        <w:rPr>
          <w:rFonts w:cs="Arial"/>
        </w:rPr>
      </w:pPr>
      <w:r>
        <w:rPr>
          <w:noProof/>
        </w:rPr>
        <w:drawing>
          <wp:inline distT="0" distB="0" distL="0" distR="0" wp14:anchorId="030127F0" wp14:editId="5E65D92F">
            <wp:extent cx="2723443" cy="3841845"/>
            <wp:effectExtent l="0" t="0" r="1270" b="6350"/>
            <wp:docPr id="3813" name="Picture 3813" descr="cid:image001.png@01D41AAF.4D15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1AAF.4D15567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763960" cy="3899001"/>
                    </a:xfrm>
                    <a:prstGeom prst="rect">
                      <a:avLst/>
                    </a:prstGeom>
                    <a:noFill/>
                    <a:ln>
                      <a:noFill/>
                    </a:ln>
                  </pic:spPr>
                </pic:pic>
              </a:graphicData>
            </a:graphic>
          </wp:inline>
        </w:drawing>
      </w:r>
    </w:p>
    <w:tbl>
      <w:tblPr>
        <w:tblStyle w:val="TableGrid"/>
        <w:tblW w:w="0" w:type="auto"/>
        <w:tblInd w:w="851" w:type="dxa"/>
        <w:tblLook w:val="04A0" w:firstRow="1" w:lastRow="0" w:firstColumn="1" w:lastColumn="0" w:noHBand="0" w:noVBand="1"/>
      </w:tblPr>
      <w:tblGrid>
        <w:gridCol w:w="8777"/>
      </w:tblGrid>
      <w:tr w:rsidR="006F76A4" w:rsidTr="002145BB">
        <w:tc>
          <w:tcPr>
            <w:tcW w:w="8777" w:type="dxa"/>
          </w:tcPr>
          <w:p w:rsidR="00DB38E2" w:rsidRDefault="006F76A4" w:rsidP="00DB38E2">
            <w:pPr>
              <w:spacing w:before="240" w:after="0"/>
              <w:ind w:left="0"/>
              <w:jc w:val="center"/>
              <w:rPr>
                <w:rFonts w:cs="Arial"/>
                <w:b/>
              </w:rPr>
            </w:pPr>
            <w:r w:rsidRPr="00DB38E2">
              <w:rPr>
                <w:rFonts w:cs="Arial"/>
                <w:b/>
              </w:rPr>
              <w:t>Case Study – Using 3</w:t>
            </w:r>
            <w:r w:rsidRPr="00DB38E2">
              <w:rPr>
                <w:rFonts w:cs="Arial"/>
                <w:b/>
                <w:vertAlign w:val="superscript"/>
              </w:rPr>
              <w:t>rd</w:t>
            </w:r>
            <w:r w:rsidRPr="00DB38E2">
              <w:rPr>
                <w:rFonts w:cs="Arial"/>
                <w:b/>
              </w:rPr>
              <w:t xml:space="preserve"> party relationships to help engage </w:t>
            </w:r>
          </w:p>
          <w:p w:rsidR="006F76A4" w:rsidRPr="00DB38E2" w:rsidRDefault="006F76A4" w:rsidP="00DB38E2">
            <w:pPr>
              <w:ind w:left="0"/>
              <w:jc w:val="center"/>
              <w:rPr>
                <w:rFonts w:cs="Arial"/>
                <w:b/>
              </w:rPr>
            </w:pPr>
            <w:r w:rsidRPr="00DB38E2">
              <w:rPr>
                <w:rFonts w:cs="Arial"/>
                <w:b/>
              </w:rPr>
              <w:t>with vulnerable customers</w:t>
            </w:r>
          </w:p>
          <w:p w:rsidR="006F76A4" w:rsidRPr="00DB38E2" w:rsidRDefault="00DB38E2" w:rsidP="00DB38E2">
            <w:pPr>
              <w:ind w:left="0"/>
              <w:rPr>
                <w:rFonts w:cs="Arial"/>
              </w:rPr>
            </w:pPr>
            <w:r w:rsidRPr="00DB38E2">
              <w:rPr>
                <w:rFonts w:cs="Arial"/>
              </w:rPr>
              <w:t xml:space="preserve">Our customer Support Officer met with a Welfare Officer working at Chichester District Council to pass on information about our schemes and tariffs.  She was very engaged as she deals with people moving into their first home after living in sheltered accommodation due to various reasons, such as neglect, drugs, homelessness and alcoholism. </w:t>
            </w:r>
          </w:p>
          <w:p w:rsidR="00DB38E2" w:rsidRPr="006F76A4" w:rsidRDefault="00DB38E2" w:rsidP="00DB38E2">
            <w:pPr>
              <w:ind w:left="0"/>
              <w:rPr>
                <w:rFonts w:cs="Arial"/>
                <w:sz w:val="20"/>
                <w:szCs w:val="20"/>
              </w:rPr>
            </w:pPr>
            <w:r w:rsidRPr="00DB38E2">
              <w:rPr>
                <w:rFonts w:cs="Arial"/>
              </w:rPr>
              <w:t>She emailed our Support Officer after the meeting about a mutual customer who she was helping.  This customer did not open her email and debts were spiralling out of control.  We obtained the customers authority so that we could speak to her and advised of the amount owed.  We put the account under the internal ‘vulnerable’ status so no credit control would run and we are awaiting an income and expenditure form so we can set up a mutually acceptable payment arrangement.  Without the relationship that we created with Chichester District Council, this customer would not have engaged with us and her debts would keep rising.</w:t>
            </w:r>
          </w:p>
        </w:tc>
      </w:tr>
    </w:tbl>
    <w:p w:rsidR="009216AE" w:rsidRDefault="009216AE" w:rsidP="009216AE">
      <w:pPr>
        <w:spacing w:after="0"/>
        <w:rPr>
          <w:rFonts w:cs="Arial"/>
          <w:b/>
        </w:rPr>
      </w:pPr>
    </w:p>
    <w:p w:rsidR="000844DD" w:rsidRDefault="000844DD">
      <w:pPr>
        <w:tabs>
          <w:tab w:val="clear" w:pos="851"/>
        </w:tabs>
        <w:spacing w:after="0"/>
        <w:ind w:left="0"/>
        <w:jc w:val="left"/>
        <w:rPr>
          <w:rFonts w:cs="Arial"/>
          <w:b/>
        </w:rPr>
      </w:pPr>
      <w:r>
        <w:rPr>
          <w:rFonts w:cs="Arial"/>
          <w:b/>
        </w:rPr>
        <w:br w:type="page"/>
      </w:r>
    </w:p>
    <w:p w:rsidR="001230A4" w:rsidRDefault="001230A4" w:rsidP="001230A4">
      <w:pPr>
        <w:rPr>
          <w:rFonts w:cs="Arial"/>
          <w:b/>
        </w:rPr>
      </w:pPr>
      <w:r w:rsidRPr="002F0B18">
        <w:rPr>
          <w:rFonts w:cs="Arial"/>
          <w:b/>
        </w:rPr>
        <w:t>How targeted, efficient and effective are our approaches to address vulnerability?</w:t>
      </w:r>
    </w:p>
    <w:p w:rsidR="001230A4" w:rsidRDefault="001230A4" w:rsidP="001230A4">
      <w:pPr>
        <w:rPr>
          <w:rFonts w:cs="Arial"/>
        </w:rPr>
      </w:pPr>
      <w:r w:rsidRPr="00781557">
        <w:rPr>
          <w:rFonts w:cs="Arial"/>
        </w:rPr>
        <w:t>In order to work towards our goal of being</w:t>
      </w:r>
      <w:r>
        <w:rPr>
          <w:rFonts w:cs="Arial"/>
        </w:rPr>
        <w:t xml:space="preserve"> able to actively respond to each customer’s specific needs, characteristics and situation</w:t>
      </w:r>
      <w:r w:rsidRPr="00781557">
        <w:rPr>
          <w:rFonts w:cs="Arial"/>
        </w:rPr>
        <w:t>,</w:t>
      </w:r>
      <w:r>
        <w:rPr>
          <w:rFonts w:cs="Arial"/>
        </w:rPr>
        <w:t xml:space="preserve"> we have appointed a dedicated person to lead our</w:t>
      </w:r>
      <w:r w:rsidRPr="00781557">
        <w:rPr>
          <w:rFonts w:cs="Arial"/>
        </w:rPr>
        <w:t xml:space="preserve"> work with customers, support agencies and other stakeholders. We are developing our people, processes and policies to be the best we can be.  Our manag</w:t>
      </w:r>
      <w:r>
        <w:rPr>
          <w:rFonts w:cs="Arial"/>
        </w:rPr>
        <w:t>ement of vulnerability has evolved and will continue to evol</w:t>
      </w:r>
      <w:r w:rsidRPr="00781557">
        <w:rPr>
          <w:rFonts w:cs="Arial"/>
        </w:rPr>
        <w:t>ve, but we see this as a journey not a destination, believing there will always be room for improvement.</w:t>
      </w:r>
    </w:p>
    <w:p w:rsidR="001230A4" w:rsidRDefault="001230A4" w:rsidP="001230A4">
      <w:pPr>
        <w:rPr>
          <w:rFonts w:cs="Arial"/>
        </w:rPr>
      </w:pPr>
      <w:r>
        <w:rPr>
          <w:rFonts w:cs="Arial"/>
        </w:rPr>
        <w:t xml:space="preserve">With strong support and backing from our Board, our dedicated </w:t>
      </w:r>
      <w:r w:rsidR="000C1E50">
        <w:rPr>
          <w:rFonts w:cs="Arial"/>
        </w:rPr>
        <w:t xml:space="preserve">Customer </w:t>
      </w:r>
      <w:r>
        <w:rPr>
          <w:rFonts w:cs="Arial"/>
        </w:rPr>
        <w:t>Support Officer is responsible for driving this agenda forward and provides an effective, focused and efficient means of delivery.  We think that this is the best approach for an organisation of our size.</w:t>
      </w:r>
    </w:p>
    <w:p w:rsidR="001230A4" w:rsidRDefault="001230A4" w:rsidP="001230A4">
      <w:pPr>
        <w:rPr>
          <w:rFonts w:cs="Arial"/>
        </w:rPr>
      </w:pPr>
      <w:r>
        <w:rPr>
          <w:rFonts w:cs="Arial"/>
        </w:rPr>
        <w:t>Our growing network of outside organisations is focusing us on the most efficient steps that we need to take to best help those at times of vulnerability.</w:t>
      </w:r>
    </w:p>
    <w:p w:rsidR="001230A4" w:rsidRDefault="001230A4" w:rsidP="001230A4">
      <w:pPr>
        <w:rPr>
          <w:rFonts w:cs="Arial"/>
        </w:rPr>
      </w:pPr>
      <w:r>
        <w:rPr>
          <w:rFonts w:cs="Arial"/>
        </w:rPr>
        <w:t>Last year we ran our first annual survey of support agencies</w:t>
      </w:r>
      <w:r w:rsidR="00177760">
        <w:rPr>
          <w:rFonts w:cs="Arial"/>
        </w:rPr>
        <w:t xml:space="preserve"> (Appendix 2.10)</w:t>
      </w:r>
      <w:r>
        <w:rPr>
          <w:rFonts w:cs="Arial"/>
        </w:rPr>
        <w:t xml:space="preserve"> which we </w:t>
      </w:r>
      <w:r w:rsidR="00790505">
        <w:rPr>
          <w:rFonts w:cs="Arial"/>
        </w:rPr>
        <w:t xml:space="preserve">will use </w:t>
      </w:r>
      <w:r>
        <w:rPr>
          <w:rFonts w:cs="Arial"/>
        </w:rPr>
        <w:t xml:space="preserve">to drive continuous improvement and help to build an </w:t>
      </w:r>
      <w:r w:rsidR="008041B4">
        <w:rPr>
          <w:rFonts w:cs="Arial"/>
        </w:rPr>
        <w:t>ever-growing</w:t>
      </w:r>
      <w:r>
        <w:rPr>
          <w:rFonts w:cs="Arial"/>
        </w:rPr>
        <w:t xml:space="preserve"> support network for our customers.  It was through this process we have co-created our bespoke vulnerability </w:t>
      </w:r>
      <w:r w:rsidR="00F46992">
        <w:rPr>
          <w:rFonts w:cs="Arial"/>
        </w:rPr>
        <w:t>P</w:t>
      </w:r>
      <w:r>
        <w:rPr>
          <w:rFonts w:cs="Arial"/>
        </w:rPr>
        <w:t xml:space="preserve">erformance </w:t>
      </w:r>
      <w:r w:rsidR="00F46992">
        <w:rPr>
          <w:rFonts w:cs="Arial"/>
        </w:rPr>
        <w:t>C</w:t>
      </w:r>
      <w:r>
        <w:rPr>
          <w:rFonts w:cs="Arial"/>
        </w:rPr>
        <w:t xml:space="preserve">ommitment, targeted an ambitious 85% satisfaction rating from local agencies </w:t>
      </w:r>
      <w:r w:rsidR="00790505">
        <w:rPr>
          <w:rFonts w:cs="Arial"/>
        </w:rPr>
        <w:t xml:space="preserve">in </w:t>
      </w:r>
      <w:r>
        <w:rPr>
          <w:rFonts w:cs="Arial"/>
        </w:rPr>
        <w:t>the way that we manage vulnerability.</w:t>
      </w:r>
    </w:p>
    <w:p w:rsidR="00177760" w:rsidRDefault="001230A4" w:rsidP="008B3495">
      <w:pPr>
        <w:rPr>
          <w:rFonts w:cs="Arial"/>
        </w:rPr>
      </w:pPr>
      <w:r>
        <w:rPr>
          <w:rFonts w:cs="Arial"/>
        </w:rPr>
        <w:t xml:space="preserve">Our first survey has allowed us to build a number of relationships and feedback has helped us to improve our website to make it easier for those </w:t>
      </w:r>
      <w:r w:rsidR="00F46992">
        <w:rPr>
          <w:rFonts w:cs="Arial"/>
        </w:rPr>
        <w:t xml:space="preserve">who </w:t>
      </w:r>
      <w:r>
        <w:rPr>
          <w:rFonts w:cs="Arial"/>
        </w:rPr>
        <w:t>are vulnerable to navigate and quickly locate the information that they are most likely to find.</w:t>
      </w:r>
    </w:p>
    <w:p w:rsidR="00F269D9" w:rsidRPr="00453F64" w:rsidRDefault="00F269D9" w:rsidP="008B3495">
      <w:pPr>
        <w:rPr>
          <w:rFonts w:cs="Arial"/>
        </w:rPr>
      </w:pPr>
      <w:r w:rsidRPr="00453F64">
        <w:rPr>
          <w:rFonts w:cs="Arial"/>
          <w:color w:val="2E74B5" w:themeColor="accent1" w:themeShade="BF"/>
        </w:rPr>
        <w:t xml:space="preserve">Appendices relevant to this </w:t>
      </w:r>
      <w:r w:rsidR="00453F64" w:rsidRPr="00453F64">
        <w:rPr>
          <w:rFonts w:cs="Arial"/>
          <w:color w:val="2E74B5" w:themeColor="accent1" w:themeShade="BF"/>
        </w:rPr>
        <w:t>chapter</w:t>
      </w:r>
    </w:p>
    <w:tbl>
      <w:tblPr>
        <w:tblStyle w:val="TableGrid22"/>
        <w:tblW w:w="0" w:type="auto"/>
        <w:jc w:val="center"/>
        <w:tblLook w:val="04A0" w:firstRow="1" w:lastRow="0" w:firstColumn="1" w:lastColumn="0" w:noHBand="0" w:noVBand="1"/>
      </w:tblPr>
      <w:tblGrid>
        <w:gridCol w:w="1838"/>
        <w:gridCol w:w="4173"/>
        <w:gridCol w:w="1781"/>
      </w:tblGrid>
      <w:tr w:rsidR="00177760" w:rsidRPr="001E0DCD" w:rsidTr="005A73F6">
        <w:trPr>
          <w:jc w:val="center"/>
        </w:trPr>
        <w:tc>
          <w:tcPr>
            <w:tcW w:w="1838" w:type="dxa"/>
            <w:shd w:val="clear" w:color="auto" w:fill="2E74B5" w:themeFill="accent1" w:themeFillShade="BF"/>
          </w:tcPr>
          <w:p w:rsidR="00177760" w:rsidRPr="001E0DCD" w:rsidRDefault="00177760" w:rsidP="005A73F6">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177760" w:rsidRPr="001E0DCD" w:rsidRDefault="00177760" w:rsidP="005A73F6">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177760" w:rsidRPr="001E0DCD" w:rsidRDefault="00177760" w:rsidP="005A73F6">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177760" w:rsidRPr="001E0DCD" w:rsidTr="005A73F6">
        <w:trPr>
          <w:jc w:val="center"/>
        </w:trPr>
        <w:tc>
          <w:tcPr>
            <w:tcW w:w="1838" w:type="dxa"/>
          </w:tcPr>
          <w:p w:rsidR="00177760" w:rsidRPr="001E0DCD" w:rsidRDefault="00177760" w:rsidP="005A73F6">
            <w:pPr>
              <w:tabs>
                <w:tab w:val="clear" w:pos="851"/>
              </w:tabs>
              <w:spacing w:after="0"/>
              <w:ind w:left="0"/>
              <w:jc w:val="left"/>
              <w:rPr>
                <w:rFonts w:cs="Arial"/>
                <w:sz w:val="16"/>
                <w:szCs w:val="16"/>
              </w:rPr>
            </w:pPr>
            <w:r>
              <w:rPr>
                <w:rFonts w:cs="Arial"/>
                <w:sz w:val="16"/>
                <w:szCs w:val="16"/>
              </w:rPr>
              <w:t>2.10</w:t>
            </w:r>
          </w:p>
        </w:tc>
        <w:tc>
          <w:tcPr>
            <w:tcW w:w="4173" w:type="dxa"/>
          </w:tcPr>
          <w:p w:rsidR="00177760" w:rsidRPr="001E0DCD" w:rsidRDefault="00177760" w:rsidP="005A73F6">
            <w:pPr>
              <w:tabs>
                <w:tab w:val="clear" w:pos="851"/>
              </w:tabs>
              <w:spacing w:after="0"/>
              <w:ind w:left="0"/>
              <w:jc w:val="left"/>
              <w:rPr>
                <w:rFonts w:cs="Arial"/>
                <w:sz w:val="16"/>
                <w:szCs w:val="16"/>
              </w:rPr>
            </w:pPr>
            <w:r>
              <w:rPr>
                <w:rFonts w:cs="Arial"/>
                <w:sz w:val="16"/>
                <w:szCs w:val="16"/>
              </w:rPr>
              <w:t>Vulnerability Report</w:t>
            </w:r>
          </w:p>
        </w:tc>
        <w:tc>
          <w:tcPr>
            <w:tcW w:w="1781" w:type="dxa"/>
          </w:tcPr>
          <w:p w:rsidR="00177760" w:rsidRPr="001E0DCD" w:rsidRDefault="00177760" w:rsidP="005A73F6">
            <w:pPr>
              <w:tabs>
                <w:tab w:val="clear" w:pos="851"/>
              </w:tabs>
              <w:spacing w:after="0"/>
              <w:ind w:left="0"/>
              <w:jc w:val="left"/>
              <w:rPr>
                <w:rFonts w:cs="Arial"/>
                <w:sz w:val="16"/>
                <w:szCs w:val="16"/>
              </w:rPr>
            </w:pPr>
            <w:r>
              <w:rPr>
                <w:rFonts w:cs="Arial"/>
                <w:sz w:val="16"/>
                <w:szCs w:val="16"/>
              </w:rPr>
              <w:t>October 2017</w:t>
            </w:r>
          </w:p>
        </w:tc>
      </w:tr>
    </w:tbl>
    <w:p w:rsidR="0034678D" w:rsidRDefault="001230A4" w:rsidP="008B3495">
      <w:pPr>
        <w:rPr>
          <w:rFonts w:cs="Arial"/>
        </w:rPr>
      </w:pPr>
      <w:r>
        <w:rPr>
          <w:rFonts w:cs="Arial"/>
        </w:rPr>
        <w:t xml:space="preserve"> </w:t>
      </w:r>
      <w:r w:rsidR="0034678D">
        <w:rPr>
          <w:rFonts w:cs="Arial"/>
        </w:rPr>
        <w:br w:type="page"/>
      </w:r>
    </w:p>
    <w:p w:rsidR="0034678D" w:rsidRDefault="0034678D" w:rsidP="0005234B">
      <w:pPr>
        <w:pStyle w:val="Heading1"/>
      </w:pPr>
      <w:bookmarkStart w:id="140" w:name="_Toc522200009"/>
      <w:bookmarkStart w:id="141" w:name="_Toc522200106"/>
      <w:bookmarkStart w:id="142" w:name="_Toc523651287"/>
      <w:r>
        <w:t>Resilience in the round</w:t>
      </w:r>
      <w:bookmarkEnd w:id="140"/>
      <w:bookmarkEnd w:id="141"/>
      <w:bookmarkEnd w:id="142"/>
    </w:p>
    <w:p w:rsidR="00EA7148" w:rsidRPr="00EA7148" w:rsidRDefault="00EA7148" w:rsidP="00EA7148">
      <w:pPr>
        <w:tabs>
          <w:tab w:val="clear" w:pos="851"/>
        </w:tabs>
        <w:ind w:left="1418" w:hanging="567"/>
        <w:rPr>
          <w:rFonts w:cs="Arial"/>
        </w:rPr>
      </w:pPr>
      <w:bookmarkStart w:id="143" w:name="_Hlk521160047"/>
      <w:bookmarkStart w:id="144" w:name="_Toc500500777"/>
      <w:bookmarkEnd w:id="143"/>
      <w:r w:rsidRPr="00EA7148">
        <w:rPr>
          <w:rFonts w:cs="Arial"/>
        </w:rPr>
        <w:t>At the end of 2025 and as a result of this business plan:</w:t>
      </w:r>
    </w:p>
    <w:p w:rsidR="00EA7148" w:rsidRPr="00EA7148" w:rsidRDefault="00EA7148" w:rsidP="00EA7148">
      <w:pPr>
        <w:pStyle w:val="Bullets"/>
        <w:ind w:left="1418" w:hanging="567"/>
      </w:pPr>
      <w:r w:rsidRPr="00EA7148">
        <w:t>No customers will be at risk of a service failure as a result of a loss of a treatment works</w:t>
      </w:r>
    </w:p>
    <w:p w:rsidR="00EA7148" w:rsidRPr="00EA7148" w:rsidRDefault="00EA7148" w:rsidP="00EA7148">
      <w:pPr>
        <w:pStyle w:val="Bullets"/>
        <w:ind w:left="1418" w:hanging="567"/>
      </w:pPr>
      <w:r w:rsidRPr="00EA7148">
        <w:t>Water Supplies will be resilient to a 1 in 200-year drought.</w:t>
      </w:r>
    </w:p>
    <w:p w:rsidR="00EA7148" w:rsidRPr="00EA7148" w:rsidRDefault="00EA7148" w:rsidP="00EA7148">
      <w:pPr>
        <w:pStyle w:val="Bullets"/>
        <w:ind w:left="1418" w:hanging="567"/>
      </w:pPr>
      <w:r w:rsidRPr="00EA7148">
        <w:t>The new Havant Thicket Winter Storage Reservoir will be sufficiently advanced to allow further bulk supplies in 2029</w:t>
      </w:r>
    </w:p>
    <w:p w:rsidR="00EA7148" w:rsidRPr="00EA7148" w:rsidRDefault="00EA7148" w:rsidP="00EA7148">
      <w:pPr>
        <w:pStyle w:val="Bullets"/>
        <w:ind w:left="1418" w:hanging="567"/>
      </w:pPr>
      <w:r w:rsidRPr="00EA7148">
        <w:t>Catchment Management activities will reduce the risk of future nitrate failures</w:t>
      </w:r>
    </w:p>
    <w:p w:rsidR="00EA7148" w:rsidRPr="00EA7148" w:rsidRDefault="00EA7148" w:rsidP="00EA7148">
      <w:pPr>
        <w:pStyle w:val="Bullets"/>
        <w:ind w:left="1418" w:hanging="567"/>
      </w:pPr>
      <w:r w:rsidRPr="00EA7148">
        <w:t xml:space="preserve">Our operational sites will continue to be resilient to 1 in 1000 - year floods </w:t>
      </w:r>
    </w:p>
    <w:p w:rsidR="00EA7148" w:rsidRPr="00EA7148" w:rsidRDefault="00EA7148" w:rsidP="00E86E63">
      <w:pPr>
        <w:spacing w:after="0"/>
      </w:pPr>
    </w:p>
    <w:p w:rsidR="000E3F18" w:rsidRPr="00EA7148" w:rsidRDefault="000E3F18" w:rsidP="000E3F18">
      <w:r w:rsidRPr="00EA7148">
        <w:t xml:space="preserve">In this Chapter we demonstrate that we are already a resilient business as evidenced by our performance on key </w:t>
      </w:r>
      <w:r w:rsidR="00240A2B">
        <w:t>ODIs</w:t>
      </w:r>
      <w:r w:rsidRPr="00EA7148">
        <w:t xml:space="preserve"> and our Risk and Resilience Register (in </w:t>
      </w:r>
      <w:r w:rsidR="00F46992">
        <w:t>A</w:t>
      </w:r>
      <w:r w:rsidRPr="00EA7148">
        <w:t>ppendix 6.2), the measures we have in place to achieve that position and explain the measures being proposed in the Business Pan to enhance that resilience.</w:t>
      </w:r>
    </w:p>
    <w:p w:rsidR="000E3F18" w:rsidRDefault="000E3F18" w:rsidP="00C2402B">
      <w:pPr>
        <w:pStyle w:val="Heading2"/>
      </w:pPr>
      <w:bookmarkStart w:id="145" w:name="_Toc523651288"/>
      <w:r>
        <w:t>Background</w:t>
      </w:r>
      <w:bookmarkEnd w:id="144"/>
      <w:bookmarkEnd w:id="145"/>
    </w:p>
    <w:p w:rsidR="000E3F18" w:rsidRDefault="000E3F18" w:rsidP="00C2402B">
      <w:r>
        <w:t xml:space="preserve">Portsmouth Water has a long history of acting to ensure its customers receive a reliable and wholesome supply of water both in the short and long term. This approach has concentrated on our ability to resist operational hazards to provide a highly reliable operational supply function with sufficient redundancy and flexibility to ensure continuous supplies to </w:t>
      </w:r>
      <w:r w:rsidRPr="00595BE7">
        <w:rPr>
          <w:u w:val="single"/>
        </w:rPr>
        <w:t>all</w:t>
      </w:r>
      <w:r>
        <w:t xml:space="preserve"> of our customers.  If and when things do go wrong, we have a detailed emergency plan to allow business continuity and full recovery including for extreme events. </w:t>
      </w:r>
    </w:p>
    <w:p w:rsidR="000E3F18" w:rsidRDefault="000E3F18" w:rsidP="00C2402B">
      <w:r>
        <w:t>The fundamental cornerstone of the resilience customers currently enjoy has been a strong water resource position and actions taken by the Company over many years which include:</w:t>
      </w:r>
      <w:r w:rsidR="00BA1427">
        <w:t xml:space="preserve">  See Appendix 6.1.</w:t>
      </w:r>
    </w:p>
    <w:p w:rsidR="000E3F18" w:rsidRDefault="000E3F18" w:rsidP="00C2402B">
      <w:pPr>
        <w:pStyle w:val="Bullets"/>
      </w:pPr>
      <w:r>
        <w:t xml:space="preserve">Development of a naturally strong water </w:t>
      </w:r>
      <w:r w:rsidR="002E7077">
        <w:t>catchment, which</w:t>
      </w:r>
      <w:r>
        <w:t xml:space="preserve"> recharges quickly in response to rainfall. Our historical forward thinking is demonstrated by the purchase in the 1960’s of two pieces of land as future potential reservoir </w:t>
      </w:r>
      <w:r w:rsidR="002E7077">
        <w:t>sites, which</w:t>
      </w:r>
      <w:r>
        <w:t xml:space="preserve"> have continued to be protected in all subsequent local development plans.  </w:t>
      </w:r>
    </w:p>
    <w:p w:rsidR="000E3F18" w:rsidRDefault="000E3F18" w:rsidP="00C2402B">
      <w:pPr>
        <w:pStyle w:val="Bullets"/>
      </w:pPr>
      <w:r>
        <w:t xml:space="preserve">Building service </w:t>
      </w:r>
      <w:r w:rsidR="002E7077">
        <w:t>reservoirs, which allow 2-3 days treated water storage ensuring supply,</w:t>
      </w:r>
      <w:r>
        <w:t xml:space="preserve"> can continue during periods where a short- term operational shock occurs (i.e. loss of a water treatment works).</w:t>
      </w:r>
    </w:p>
    <w:p w:rsidR="000E3F18" w:rsidRDefault="000E3F18" w:rsidP="00C2402B">
      <w:pPr>
        <w:pStyle w:val="Bullets"/>
      </w:pPr>
      <w:r>
        <w:t xml:space="preserve">Development of our network of trunk and distribution mains to allow rezoning that ensures all customer supplies can be quickly restored when interruptions to water supply or the network occur.  In 1976 the Company imposed a hosepipe ban for the only time in its history. This was necessary due to a shortage of water in the eastern part of our area and an inability to transfer water from other sources through our trunk and distribution mains.  Following this event, we undertook a programme of network improvements to reinforce the trunk mains network to ensure that water could be transferred across and around its entire area to the extent that the whole of our area is now classed as one water resource zone. </w:t>
      </w:r>
    </w:p>
    <w:p w:rsidR="00C2402B" w:rsidRDefault="00C2402B" w:rsidP="00C2402B">
      <w:pPr>
        <w:pStyle w:val="Bullets"/>
        <w:numPr>
          <w:ilvl w:val="0"/>
          <w:numId w:val="0"/>
        </w:numPr>
        <w:ind w:left="1494"/>
      </w:pPr>
    </w:p>
    <w:p w:rsidR="000E3F18" w:rsidRDefault="000E3F18" w:rsidP="00C2402B">
      <w:r>
        <w:t>These examples give life to the principle that we follow which is that “supplies to customers should be maintained in the event of a failure while investing in and maintaining assets to prevent failure”.</w:t>
      </w:r>
    </w:p>
    <w:p w:rsidR="000E3F18" w:rsidRDefault="000E3F18" w:rsidP="00C2402B">
      <w:r>
        <w:t>This long</w:t>
      </w:r>
      <w:r w:rsidR="00D838AE">
        <w:t xml:space="preserve"> standing </w:t>
      </w:r>
      <w:r>
        <w:t xml:space="preserve">commitment to the supply of water to customers in the long-term is proven by a resilience study that confirmed “on an average day, no customer is at risk from the loss of supply from the failure of one treatment works as water can be transferred effectively around the area of supply”.  The study report is included in </w:t>
      </w:r>
      <w:r w:rsidR="00D838AE">
        <w:t>supporting technical papers (</w:t>
      </w:r>
      <w:r w:rsidRPr="00C026F7">
        <w:t xml:space="preserve">Appendix </w:t>
      </w:r>
      <w:r w:rsidR="009A613C" w:rsidRPr="00C026F7">
        <w:t>9</w:t>
      </w:r>
      <w:r w:rsidR="00BB762E" w:rsidRPr="00C026F7">
        <w:t>.5.7 PPA 1102</w:t>
      </w:r>
      <w:r w:rsidR="003A32CA" w:rsidRPr="00C026F7">
        <w:t xml:space="preserve">, Appendix 9.8.4.1 Servalec </w:t>
      </w:r>
      <w:r w:rsidR="00BB762E" w:rsidRPr="00C026F7">
        <w:t>Reports</w:t>
      </w:r>
      <w:r w:rsidR="003A32CA" w:rsidRPr="00C026F7">
        <w:t xml:space="preserve"> and</w:t>
      </w:r>
      <w:r w:rsidR="00BB762E" w:rsidRPr="00C026F7">
        <w:t xml:space="preserve"> Appendix 9.9.2.2 TQS S795-10</w:t>
      </w:r>
      <w:r w:rsidR="00D838AE">
        <w:t>)</w:t>
      </w:r>
      <w:r w:rsidRPr="00C026F7">
        <w:t>.</w:t>
      </w:r>
    </w:p>
    <w:p w:rsidR="000E3F18" w:rsidRDefault="000E3F18" w:rsidP="00C2402B">
      <w:r>
        <w:t>Further evidence of  our commitment to its principle can be found by observation of our performance during AMP6 on key indicators</w:t>
      </w:r>
      <w:r w:rsidR="00D838AE">
        <w:t>,</w:t>
      </w:r>
      <w:r>
        <w:t xml:space="preserve"> some of which form the common </w:t>
      </w:r>
      <w:r w:rsidR="00240A2B">
        <w:t>ODIs</w:t>
      </w:r>
      <w:r>
        <w:t xml:space="preserve"> and </w:t>
      </w:r>
      <w:r w:rsidR="00D838AE">
        <w:t>PCs</w:t>
      </w:r>
      <w:r>
        <w:t xml:space="preserve"> prescribed by Ofwat for AMP7</w:t>
      </w:r>
      <w:r w:rsidR="00D838AE">
        <w:t>,</w:t>
      </w:r>
      <w:r>
        <w:t xml:space="preserve"> and are </w:t>
      </w:r>
      <w:r w:rsidR="00D838AE">
        <w:t xml:space="preserve">strong </w:t>
      </w:r>
      <w:r>
        <w:t>indicators of asset health and resilience.</w:t>
      </w:r>
    </w:p>
    <w:p w:rsidR="000E3F18" w:rsidRDefault="000E3F18" w:rsidP="00C2402B">
      <w:r>
        <w:t xml:space="preserve">With respect the current AMP6 period, we are either at the frontier or an upper quartile performer in the following key </w:t>
      </w:r>
      <w:r w:rsidR="00D838AE">
        <w:t>PCs</w:t>
      </w:r>
      <w:r>
        <w:t>; number of burst mains, avoidance of temporary use bans, interruptions to supply, and SIM.</w:t>
      </w:r>
    </w:p>
    <w:p w:rsidR="000E3F18" w:rsidRPr="00C2402B" w:rsidRDefault="000E3F18" w:rsidP="00C2402B">
      <w:pPr>
        <w:rPr>
          <w:b/>
        </w:rPr>
      </w:pPr>
      <w:r w:rsidRPr="00C2402B">
        <w:rPr>
          <w:b/>
        </w:rPr>
        <w:t>Infrastructure Resilience</w:t>
      </w:r>
    </w:p>
    <w:p w:rsidR="000E3F18" w:rsidRDefault="000E3F18" w:rsidP="00C2402B">
      <w:r>
        <w:t>More recently in 2018, the water sector has been challenged by “the Beast from the East” and the hottest June and July on record.  During each of these we have maintained supplies to customers with no restrictions or reduced level of service. In its report Ofwat said that we performed well during “the Beast from the East” and we believe this is because of actions taken over many years.</w:t>
      </w:r>
    </w:p>
    <w:p w:rsidR="000E3F18" w:rsidRPr="004C7013" w:rsidRDefault="000E3F18" w:rsidP="00C2402B">
      <w:pPr>
        <w:rPr>
          <w:rFonts w:cstheme="minorHAnsi"/>
          <w:szCs w:val="22"/>
        </w:rPr>
      </w:pPr>
      <w:r w:rsidRPr="004C7013">
        <w:rPr>
          <w:rFonts w:cstheme="minorHAnsi"/>
          <w:szCs w:val="22"/>
        </w:rPr>
        <w:t>Since 19</w:t>
      </w:r>
      <w:r>
        <w:rPr>
          <w:rFonts w:cstheme="minorHAnsi"/>
          <w:szCs w:val="22"/>
        </w:rPr>
        <w:t>90</w:t>
      </w:r>
      <w:r w:rsidRPr="004C7013">
        <w:rPr>
          <w:rFonts w:cstheme="minorHAnsi"/>
          <w:szCs w:val="22"/>
        </w:rPr>
        <w:t xml:space="preserve"> </w:t>
      </w:r>
      <w:r>
        <w:rPr>
          <w:rFonts w:cstheme="minorHAnsi"/>
          <w:szCs w:val="22"/>
        </w:rPr>
        <w:t>we</w:t>
      </w:r>
      <w:r w:rsidRPr="004C7013">
        <w:rPr>
          <w:rFonts w:cstheme="minorHAnsi"/>
          <w:szCs w:val="22"/>
        </w:rPr>
        <w:t xml:space="preserve"> </w:t>
      </w:r>
      <w:r>
        <w:rPr>
          <w:rFonts w:cstheme="minorHAnsi"/>
          <w:szCs w:val="22"/>
        </w:rPr>
        <w:t>have</w:t>
      </w:r>
      <w:r w:rsidRPr="004C7013">
        <w:rPr>
          <w:rFonts w:cstheme="minorHAnsi"/>
          <w:szCs w:val="22"/>
        </w:rPr>
        <w:t xml:space="preserve"> driven the annual burst rate down from nearly 1,000 per year to</w:t>
      </w:r>
      <w:r>
        <w:rPr>
          <w:rFonts w:cstheme="minorHAnsi"/>
          <w:szCs w:val="22"/>
        </w:rPr>
        <w:t xml:space="preserve"> just over</w:t>
      </w:r>
      <w:r w:rsidRPr="004C7013">
        <w:rPr>
          <w:rFonts w:cstheme="minorHAnsi"/>
          <w:szCs w:val="22"/>
        </w:rPr>
        <w:t xml:space="preserve"> 200 by renewing approximately 1% of </w:t>
      </w:r>
      <w:r>
        <w:rPr>
          <w:rFonts w:cstheme="minorHAnsi"/>
          <w:szCs w:val="22"/>
        </w:rPr>
        <w:t>the</w:t>
      </w:r>
      <w:r w:rsidRPr="004C7013">
        <w:rPr>
          <w:rFonts w:cstheme="minorHAnsi"/>
          <w:szCs w:val="22"/>
        </w:rPr>
        <w:t xml:space="preserve"> network per year.  Empirical evidence and 15 years of network deterioration modelling</w:t>
      </w:r>
      <w:r w:rsidR="00D838AE">
        <w:rPr>
          <w:rFonts w:cstheme="minorHAnsi"/>
          <w:szCs w:val="22"/>
        </w:rPr>
        <w:t>,</w:t>
      </w:r>
      <w:r w:rsidRPr="004C7013">
        <w:rPr>
          <w:rFonts w:cstheme="minorHAnsi"/>
          <w:szCs w:val="22"/>
        </w:rPr>
        <w:t xml:space="preserve"> undertaken by </w:t>
      </w:r>
      <w:r w:rsidR="00521760">
        <w:rPr>
          <w:rFonts w:cstheme="minorHAnsi"/>
          <w:szCs w:val="22"/>
        </w:rPr>
        <w:t>WRc</w:t>
      </w:r>
      <w:r w:rsidRPr="004C7013">
        <w:rPr>
          <w:rFonts w:cstheme="minorHAnsi"/>
          <w:szCs w:val="22"/>
        </w:rPr>
        <w:t xml:space="preserve"> and calibrated with actual performance</w:t>
      </w:r>
      <w:r w:rsidR="00D838AE">
        <w:rPr>
          <w:rFonts w:cstheme="minorHAnsi"/>
          <w:szCs w:val="22"/>
        </w:rPr>
        <w:t>,</w:t>
      </w:r>
      <w:r w:rsidRPr="004C7013">
        <w:rPr>
          <w:rFonts w:cstheme="minorHAnsi"/>
          <w:szCs w:val="22"/>
        </w:rPr>
        <w:t xml:space="preserve"> shows a </w:t>
      </w:r>
      <w:r>
        <w:rPr>
          <w:rFonts w:cstheme="minorHAnsi"/>
          <w:szCs w:val="22"/>
        </w:rPr>
        <w:t>c</w:t>
      </w:r>
      <w:r w:rsidRPr="004C7013">
        <w:rPr>
          <w:rFonts w:cstheme="minorHAnsi"/>
          <w:szCs w:val="22"/>
        </w:rPr>
        <w:t xml:space="preserve">ompany specific burst characteristic relating to post 1945 3” </w:t>
      </w:r>
      <w:r>
        <w:rPr>
          <w:rFonts w:cstheme="minorHAnsi"/>
          <w:szCs w:val="22"/>
        </w:rPr>
        <w:t>and</w:t>
      </w:r>
      <w:r w:rsidRPr="004C7013">
        <w:rPr>
          <w:rFonts w:cstheme="minorHAnsi"/>
          <w:szCs w:val="22"/>
        </w:rPr>
        <w:t xml:space="preserve"> 4” cast iron mains laid in clay.  With temperatures of </w:t>
      </w:r>
      <w:r w:rsidR="00D838AE">
        <w:rPr>
          <w:rFonts w:cstheme="minorHAnsi"/>
          <w:szCs w:val="22"/>
        </w:rPr>
        <w:t>- </w:t>
      </w:r>
      <w:r w:rsidRPr="004C7013">
        <w:rPr>
          <w:rFonts w:cstheme="minorHAnsi"/>
          <w:szCs w:val="22"/>
        </w:rPr>
        <w:t>4°c for four days</w:t>
      </w:r>
      <w:r>
        <w:rPr>
          <w:rFonts w:cstheme="minorHAnsi"/>
          <w:szCs w:val="22"/>
        </w:rPr>
        <w:t>,</w:t>
      </w:r>
      <w:r w:rsidRPr="004C7013">
        <w:rPr>
          <w:rFonts w:cstheme="minorHAnsi"/>
          <w:szCs w:val="22"/>
        </w:rPr>
        <w:t xml:space="preserve"> bursts start to occur due to the behaviour of the wet clay.  A rapid thaw of between one and two days will see an outbreak of bursts.  Temperatures lower than -4°c do not appear to influence the burst rate. </w:t>
      </w:r>
    </w:p>
    <w:p w:rsidR="000E3F18" w:rsidRPr="00EF0F2C" w:rsidRDefault="000E3F18" w:rsidP="00C2402B">
      <w:pPr>
        <w:rPr>
          <w:rFonts w:cstheme="minorHAnsi"/>
          <w:szCs w:val="22"/>
        </w:rPr>
      </w:pPr>
      <w:r w:rsidRPr="004C7013">
        <w:rPr>
          <w:rFonts w:cstheme="minorHAnsi"/>
          <w:szCs w:val="22"/>
        </w:rPr>
        <w:t xml:space="preserve">Whilst absolute temperatures in </w:t>
      </w:r>
      <w:r>
        <w:rPr>
          <w:rFonts w:cstheme="minorHAnsi"/>
          <w:szCs w:val="22"/>
        </w:rPr>
        <w:t xml:space="preserve">our </w:t>
      </w:r>
      <w:r w:rsidRPr="004C7013">
        <w:rPr>
          <w:rFonts w:cstheme="minorHAnsi"/>
          <w:szCs w:val="22"/>
        </w:rPr>
        <w:t xml:space="preserve">region were not as low as the </w:t>
      </w:r>
      <w:r w:rsidR="00F46992">
        <w:rPr>
          <w:rFonts w:cstheme="minorHAnsi"/>
          <w:szCs w:val="22"/>
        </w:rPr>
        <w:t>n</w:t>
      </w:r>
      <w:r w:rsidRPr="004C7013">
        <w:rPr>
          <w:rFonts w:cstheme="minorHAnsi"/>
          <w:szCs w:val="22"/>
        </w:rPr>
        <w:t xml:space="preserve">orthern </w:t>
      </w:r>
      <w:r w:rsidR="00F46992">
        <w:rPr>
          <w:rFonts w:cstheme="minorHAnsi"/>
          <w:szCs w:val="22"/>
        </w:rPr>
        <w:t>c</w:t>
      </w:r>
      <w:r w:rsidRPr="004C7013">
        <w:rPr>
          <w:rFonts w:cstheme="minorHAnsi"/>
          <w:szCs w:val="22"/>
        </w:rPr>
        <w:t xml:space="preserve">ounties during the </w:t>
      </w:r>
      <w:r>
        <w:rPr>
          <w:rFonts w:cstheme="minorHAnsi"/>
          <w:szCs w:val="22"/>
        </w:rPr>
        <w:t xml:space="preserve">2018 </w:t>
      </w:r>
      <w:r w:rsidRPr="004C7013">
        <w:rPr>
          <w:rFonts w:cstheme="minorHAnsi"/>
          <w:szCs w:val="22"/>
        </w:rPr>
        <w:t xml:space="preserve">“Beast from the East”, the thaw rate was less than 12 hours, significantly greater than experienced elsewhere. </w:t>
      </w:r>
      <w:r>
        <w:rPr>
          <w:rFonts w:cstheme="minorHAnsi"/>
          <w:szCs w:val="22"/>
        </w:rPr>
        <w:t xml:space="preserve"> </w:t>
      </w:r>
      <w:r w:rsidRPr="004C7013">
        <w:rPr>
          <w:rFonts w:cstheme="minorHAnsi"/>
          <w:szCs w:val="22"/>
        </w:rPr>
        <w:t xml:space="preserve">The consequence of temperatures of -4°c with a rapid thaw in the past saw high </w:t>
      </w:r>
      <w:r>
        <w:rPr>
          <w:rFonts w:cstheme="minorHAnsi"/>
          <w:szCs w:val="22"/>
        </w:rPr>
        <w:t xml:space="preserve">burst </w:t>
      </w:r>
      <w:r w:rsidRPr="004C7013">
        <w:rPr>
          <w:rFonts w:cstheme="minorHAnsi"/>
          <w:szCs w:val="22"/>
        </w:rPr>
        <w:t>rate</w:t>
      </w:r>
      <w:r>
        <w:rPr>
          <w:rFonts w:cstheme="minorHAnsi"/>
          <w:szCs w:val="22"/>
        </w:rPr>
        <w:t>s</w:t>
      </w:r>
      <w:r w:rsidRPr="004C7013">
        <w:rPr>
          <w:rFonts w:cstheme="minorHAnsi"/>
          <w:szCs w:val="22"/>
        </w:rPr>
        <w:t xml:space="preserve"> of </w:t>
      </w:r>
      <w:r>
        <w:rPr>
          <w:rFonts w:cstheme="minorHAnsi"/>
          <w:szCs w:val="22"/>
        </w:rPr>
        <w:t>approximately 20 per day</w:t>
      </w:r>
      <w:r w:rsidRPr="004C7013">
        <w:rPr>
          <w:rFonts w:cstheme="minorHAnsi"/>
          <w:szCs w:val="22"/>
        </w:rPr>
        <w:t>.  Our long</w:t>
      </w:r>
      <w:r>
        <w:rPr>
          <w:rFonts w:cstheme="minorHAnsi"/>
          <w:szCs w:val="22"/>
        </w:rPr>
        <w:t>-</w:t>
      </w:r>
      <w:r w:rsidRPr="004C7013">
        <w:rPr>
          <w:rFonts w:cstheme="minorHAnsi"/>
          <w:szCs w:val="22"/>
        </w:rPr>
        <w:t xml:space="preserve">term investment in the network has improved resilience and </w:t>
      </w:r>
      <w:r>
        <w:rPr>
          <w:rFonts w:cstheme="minorHAnsi"/>
          <w:szCs w:val="22"/>
        </w:rPr>
        <w:t xml:space="preserve">this was clearly </w:t>
      </w:r>
      <w:r w:rsidRPr="004C7013">
        <w:rPr>
          <w:rFonts w:cstheme="minorHAnsi"/>
          <w:szCs w:val="22"/>
        </w:rPr>
        <w:t xml:space="preserve">demonstrated </w:t>
      </w:r>
      <w:r>
        <w:rPr>
          <w:rFonts w:cstheme="minorHAnsi"/>
          <w:szCs w:val="22"/>
        </w:rPr>
        <w:t>during the “Beast of the East”.  When the average number of burst distribution mains rose from approximately 1 per day to a very low peak of 5, affecting a minimal number of customers.</w:t>
      </w:r>
    </w:p>
    <w:p w:rsidR="000E3F18" w:rsidRPr="00C2402B" w:rsidRDefault="000E3F18" w:rsidP="00C2402B">
      <w:pPr>
        <w:rPr>
          <w:rFonts w:cstheme="minorHAnsi"/>
          <w:b/>
        </w:rPr>
      </w:pPr>
      <w:r w:rsidRPr="00C2402B">
        <w:rPr>
          <w:rFonts w:cstheme="minorHAnsi"/>
          <w:b/>
        </w:rPr>
        <w:t>Drought, Bulk Supplies &amp; Demand Resilience</w:t>
      </w:r>
    </w:p>
    <w:p w:rsidR="000E3F18" w:rsidRPr="00EF0F2C" w:rsidRDefault="000E3F18" w:rsidP="00C2402B">
      <w:pPr>
        <w:rPr>
          <w:rFonts w:cstheme="minorHAnsi"/>
        </w:rPr>
      </w:pPr>
      <w:r w:rsidRPr="00EF0F2C">
        <w:rPr>
          <w:rFonts w:cstheme="minorHAnsi"/>
        </w:rPr>
        <w:t>Following the drought of 1976, the Company invested heavily in new water resources, treatment works capacity, increased service reservoir storage and trunk mains transfer capacity, meeting the notable droughts of 1989, 1995, 2005/6 without restricting supplies to customers.</w:t>
      </w:r>
    </w:p>
    <w:p w:rsidR="000E3F18" w:rsidRPr="00EF0F2C" w:rsidRDefault="000E3F18" w:rsidP="00C2402B">
      <w:pPr>
        <w:rPr>
          <w:rFonts w:cstheme="minorHAnsi"/>
        </w:rPr>
      </w:pPr>
      <w:r w:rsidRPr="00EF0F2C">
        <w:rPr>
          <w:rFonts w:cstheme="minorHAnsi"/>
        </w:rPr>
        <w:t>The drought</w:t>
      </w:r>
      <w:r>
        <w:rPr>
          <w:rFonts w:cstheme="minorHAnsi"/>
        </w:rPr>
        <w:t>s</w:t>
      </w:r>
      <w:r w:rsidRPr="00EF0F2C">
        <w:rPr>
          <w:rFonts w:cstheme="minorHAnsi"/>
        </w:rPr>
        <w:t xml:space="preserve"> of 1989</w:t>
      </w:r>
      <w:r w:rsidR="00CE023A">
        <w:rPr>
          <w:rFonts w:cstheme="minorHAnsi"/>
        </w:rPr>
        <w:t xml:space="preserve"> and 19</w:t>
      </w:r>
      <w:r w:rsidRPr="00EF0F2C">
        <w:rPr>
          <w:rFonts w:cstheme="minorHAnsi"/>
        </w:rPr>
        <w:t xml:space="preserve">95 caused significant problems in parts of Sussex and Kent.  Consequently, an initiative by all </w:t>
      </w:r>
      <w:r>
        <w:rPr>
          <w:rFonts w:cstheme="minorHAnsi"/>
        </w:rPr>
        <w:t>water</w:t>
      </w:r>
      <w:r w:rsidRPr="00EF0F2C">
        <w:rPr>
          <w:rFonts w:cstheme="minorHAnsi"/>
        </w:rPr>
        <w:t xml:space="preserve"> companies</w:t>
      </w:r>
      <w:r>
        <w:rPr>
          <w:rFonts w:cstheme="minorHAnsi"/>
        </w:rPr>
        <w:t xml:space="preserve"> in the south east of England</w:t>
      </w:r>
      <w:r w:rsidRPr="00EF0F2C">
        <w:rPr>
          <w:rFonts w:cstheme="minorHAnsi"/>
        </w:rPr>
        <w:t xml:space="preserve"> and the Regulator led to the formation of the “Water Resources in the South East” (WRSE) in 1997.  It resulted in Portsmouth Water, through its exceptional raw water resilience, providing the West Sussex bulk supply to Southern Water in 2005, supporting them through the drought of 2005/06.</w:t>
      </w:r>
    </w:p>
    <w:p w:rsidR="000E3F18" w:rsidRPr="00EF0F2C" w:rsidRDefault="000E3F18" w:rsidP="00C2402B">
      <w:pPr>
        <w:rPr>
          <w:rFonts w:cstheme="minorHAnsi"/>
        </w:rPr>
      </w:pPr>
      <w:r>
        <w:rPr>
          <w:rFonts w:cstheme="minorHAnsi"/>
        </w:rPr>
        <w:t>T</w:t>
      </w:r>
      <w:r w:rsidRPr="00EF0F2C">
        <w:rPr>
          <w:rFonts w:cstheme="minorHAnsi"/>
        </w:rPr>
        <w:t xml:space="preserve">he continued hydrological raw water resilience and infrastructure capability </w:t>
      </w:r>
      <w:r>
        <w:rPr>
          <w:rFonts w:cstheme="minorHAnsi"/>
        </w:rPr>
        <w:t xml:space="preserve">was again demonstrated during the drought of 2012 </w:t>
      </w:r>
      <w:r w:rsidRPr="00EF0F2C">
        <w:rPr>
          <w:rFonts w:cstheme="minorHAnsi"/>
        </w:rPr>
        <w:t xml:space="preserve">when rainfall was </w:t>
      </w:r>
      <w:r>
        <w:rPr>
          <w:rFonts w:cstheme="minorHAnsi"/>
        </w:rPr>
        <w:t xml:space="preserve">at a </w:t>
      </w:r>
      <w:r w:rsidRPr="00EF0F2C">
        <w:rPr>
          <w:rFonts w:cstheme="minorHAnsi"/>
        </w:rPr>
        <w:t xml:space="preserve">historically </w:t>
      </w:r>
      <w:r>
        <w:rPr>
          <w:rFonts w:cstheme="minorHAnsi"/>
        </w:rPr>
        <w:t xml:space="preserve">and </w:t>
      </w:r>
      <w:r w:rsidRPr="00EF0F2C">
        <w:rPr>
          <w:rFonts w:cstheme="minorHAnsi"/>
        </w:rPr>
        <w:t>significantly low</w:t>
      </w:r>
      <w:r>
        <w:rPr>
          <w:rFonts w:cstheme="minorHAnsi"/>
        </w:rPr>
        <w:t xml:space="preserve"> level</w:t>
      </w:r>
      <w:r w:rsidRPr="00EF0F2C">
        <w:rPr>
          <w:rFonts w:cstheme="minorHAnsi"/>
        </w:rPr>
        <w:t xml:space="preserve">.  </w:t>
      </w:r>
      <w:r>
        <w:rPr>
          <w:rFonts w:cstheme="minorHAnsi"/>
        </w:rPr>
        <w:t>This caused many water companies to impose</w:t>
      </w:r>
      <w:r w:rsidRPr="00EF0F2C">
        <w:rPr>
          <w:rFonts w:cstheme="minorHAnsi"/>
        </w:rPr>
        <w:t xml:space="preserve"> Temporary Use Bans (TUBs) </w:t>
      </w:r>
      <w:r>
        <w:rPr>
          <w:rFonts w:cstheme="minorHAnsi"/>
        </w:rPr>
        <w:t>i</w:t>
      </w:r>
      <w:r w:rsidRPr="00EF0F2C">
        <w:rPr>
          <w:rFonts w:cstheme="minorHAnsi"/>
        </w:rPr>
        <w:t xml:space="preserve">n April 2012. </w:t>
      </w:r>
      <w:r>
        <w:rPr>
          <w:rFonts w:cstheme="minorHAnsi"/>
        </w:rPr>
        <w:t xml:space="preserve">We were one of a few exceptions to this.  A single wet month, during December, was sufficient to recover ground water levels in our water resource area </w:t>
      </w:r>
      <w:r w:rsidR="005F57A0">
        <w:rPr>
          <w:rFonts w:cstheme="minorHAnsi"/>
        </w:rPr>
        <w:t xml:space="preserve">to avoid the need to impose </w:t>
      </w:r>
      <w:r>
        <w:rPr>
          <w:rFonts w:cstheme="minorHAnsi"/>
        </w:rPr>
        <w:t>temporar</w:t>
      </w:r>
      <w:r w:rsidR="00F46992">
        <w:rPr>
          <w:rFonts w:cstheme="minorHAnsi"/>
        </w:rPr>
        <w:t>y use bans (TUB’s) in our area.</w:t>
      </w:r>
    </w:p>
    <w:p w:rsidR="000E3F18" w:rsidRPr="00EF0F2C" w:rsidRDefault="000E3F18" w:rsidP="00C2402B">
      <w:pPr>
        <w:rPr>
          <w:rFonts w:cstheme="minorHAnsi"/>
        </w:rPr>
      </w:pPr>
      <w:r w:rsidRPr="00EF0F2C">
        <w:rPr>
          <w:rFonts w:cstheme="minorHAnsi"/>
        </w:rPr>
        <w:t>In 2017</w:t>
      </w:r>
      <w:r>
        <w:rPr>
          <w:rFonts w:cstheme="minorHAnsi"/>
        </w:rPr>
        <w:t xml:space="preserve"> we </w:t>
      </w:r>
      <w:r w:rsidRPr="00EF0F2C">
        <w:rPr>
          <w:rFonts w:cstheme="minorHAnsi"/>
        </w:rPr>
        <w:t xml:space="preserve">commenced discussions with Southern Water to provide </w:t>
      </w:r>
      <w:r>
        <w:rPr>
          <w:rFonts w:cstheme="minorHAnsi"/>
        </w:rPr>
        <w:t xml:space="preserve">the first stage of </w:t>
      </w:r>
      <w:r w:rsidRPr="00EF0F2C">
        <w:rPr>
          <w:rFonts w:cstheme="minorHAnsi"/>
        </w:rPr>
        <w:t xml:space="preserve">a </w:t>
      </w:r>
      <w:r w:rsidR="005F57A0">
        <w:rPr>
          <w:rFonts w:cstheme="minorHAnsi"/>
        </w:rPr>
        <w:t>W</w:t>
      </w:r>
      <w:r w:rsidRPr="00EF0F2C">
        <w:rPr>
          <w:rFonts w:cstheme="minorHAnsi"/>
        </w:rPr>
        <w:t>est Hampshire bulk supply with commissioning taking place in the autumn of 2018.</w:t>
      </w:r>
      <w:r w:rsidRPr="00EF434A">
        <w:rPr>
          <w:rFonts w:cstheme="minorHAnsi"/>
        </w:rPr>
        <w:t xml:space="preserve"> </w:t>
      </w:r>
      <w:r>
        <w:rPr>
          <w:rFonts w:cstheme="minorHAnsi"/>
        </w:rPr>
        <w:t xml:space="preserve">This was only possible because of our </w:t>
      </w:r>
      <w:r w:rsidRPr="00EF0F2C">
        <w:rPr>
          <w:rFonts w:cstheme="minorHAnsi"/>
        </w:rPr>
        <w:t>exceptional raw water resilience</w:t>
      </w:r>
      <w:r>
        <w:rPr>
          <w:rFonts w:cstheme="minorHAnsi"/>
        </w:rPr>
        <w:t xml:space="preserve"> and long- term investment.</w:t>
      </w:r>
    </w:p>
    <w:p w:rsidR="000E3F18" w:rsidRPr="00EF0F2C" w:rsidRDefault="000E3F18" w:rsidP="00C2402B">
      <w:pPr>
        <w:rPr>
          <w:rFonts w:cstheme="minorHAnsi"/>
        </w:rPr>
      </w:pPr>
      <w:r w:rsidRPr="00EF0F2C">
        <w:rPr>
          <w:rFonts w:cstheme="minorHAnsi"/>
        </w:rPr>
        <w:t>More recently</w:t>
      </w:r>
      <w:r>
        <w:rPr>
          <w:rFonts w:cstheme="minorHAnsi"/>
        </w:rPr>
        <w:t xml:space="preserve"> in 2018</w:t>
      </w:r>
      <w:r w:rsidRPr="00EF0F2C">
        <w:rPr>
          <w:rFonts w:cstheme="minorHAnsi"/>
        </w:rPr>
        <w:t xml:space="preserve">, the hot weather created high peak production demands and </w:t>
      </w:r>
      <w:r>
        <w:rPr>
          <w:rFonts w:cstheme="minorHAnsi"/>
        </w:rPr>
        <w:t xml:space="preserve">a requirement for maximum </w:t>
      </w:r>
      <w:r w:rsidRPr="00EF0F2C">
        <w:rPr>
          <w:rFonts w:cstheme="minorHAnsi"/>
        </w:rPr>
        <w:t>distribution capacity</w:t>
      </w:r>
      <w:r>
        <w:rPr>
          <w:rFonts w:cstheme="minorHAnsi"/>
        </w:rPr>
        <w:t>.</w:t>
      </w:r>
      <w:r w:rsidRPr="00EF0F2C">
        <w:rPr>
          <w:rFonts w:cstheme="minorHAnsi"/>
        </w:rPr>
        <w:t xml:space="preserve">  Whilst ground water levels were higher than the long</w:t>
      </w:r>
      <w:r>
        <w:rPr>
          <w:rFonts w:cstheme="minorHAnsi"/>
        </w:rPr>
        <w:t>-</w:t>
      </w:r>
      <w:r w:rsidRPr="00EF0F2C">
        <w:rPr>
          <w:rFonts w:cstheme="minorHAnsi"/>
        </w:rPr>
        <w:t xml:space="preserve">term average, the excessive temperature created unprecedented demand for water.  </w:t>
      </w:r>
      <w:r>
        <w:rPr>
          <w:rFonts w:cstheme="minorHAnsi"/>
        </w:rPr>
        <w:t>Our</w:t>
      </w:r>
      <w:r w:rsidRPr="00EF0F2C">
        <w:rPr>
          <w:rFonts w:cstheme="minorHAnsi"/>
        </w:rPr>
        <w:t xml:space="preserve"> long</w:t>
      </w:r>
      <w:r>
        <w:rPr>
          <w:rFonts w:cstheme="minorHAnsi"/>
        </w:rPr>
        <w:t>-</w:t>
      </w:r>
      <w:r w:rsidRPr="00EF0F2C">
        <w:rPr>
          <w:rFonts w:cstheme="minorHAnsi"/>
        </w:rPr>
        <w:t xml:space="preserve">term raw water resilience and continued infrastructure investment </w:t>
      </w:r>
      <w:r w:rsidR="005F57A0">
        <w:rPr>
          <w:rFonts w:cstheme="minorHAnsi"/>
        </w:rPr>
        <w:t>(</w:t>
      </w:r>
      <w:r w:rsidRPr="00EF0F2C">
        <w:rPr>
          <w:rFonts w:cstheme="minorHAnsi"/>
        </w:rPr>
        <w:t>in abstraction, treatment and distribution</w:t>
      </w:r>
      <w:r w:rsidR="005F57A0">
        <w:rPr>
          <w:rFonts w:cstheme="minorHAnsi"/>
        </w:rPr>
        <w:t>)</w:t>
      </w:r>
      <w:r w:rsidRPr="00EF0F2C">
        <w:rPr>
          <w:rFonts w:cstheme="minorHAnsi"/>
        </w:rPr>
        <w:t xml:space="preserve"> meant no</w:t>
      </w:r>
      <w:r>
        <w:rPr>
          <w:rFonts w:cstheme="minorHAnsi"/>
        </w:rPr>
        <w:t xml:space="preserve">ne of our </w:t>
      </w:r>
      <w:r w:rsidRPr="00EF0F2C">
        <w:rPr>
          <w:rFonts w:cstheme="minorHAnsi"/>
        </w:rPr>
        <w:t>customers experienced low pressure or restricted supplies, as experienced elsewhere in the country</w:t>
      </w:r>
      <w:r w:rsidRPr="000225B9">
        <w:rPr>
          <w:rFonts w:cstheme="minorHAnsi"/>
        </w:rPr>
        <w:t xml:space="preserve"> </w:t>
      </w:r>
      <w:r>
        <w:rPr>
          <w:rFonts w:cstheme="minorHAnsi"/>
        </w:rPr>
        <w:t xml:space="preserve">during </w:t>
      </w:r>
      <w:r w:rsidRPr="00EF0F2C">
        <w:rPr>
          <w:rFonts w:cstheme="minorHAnsi"/>
        </w:rPr>
        <w:t>the summer.</w:t>
      </w:r>
    </w:p>
    <w:p w:rsidR="000E3F18" w:rsidRPr="00EF0F2C" w:rsidRDefault="000E3F18" w:rsidP="00C2402B">
      <w:pPr>
        <w:rPr>
          <w:rFonts w:cstheme="minorHAnsi"/>
        </w:rPr>
      </w:pPr>
      <w:r>
        <w:rPr>
          <w:rFonts w:cstheme="minorHAnsi"/>
        </w:rPr>
        <w:t>Our e</w:t>
      </w:r>
      <w:r w:rsidRPr="00EF0F2C">
        <w:rPr>
          <w:rFonts w:cstheme="minorHAnsi"/>
        </w:rPr>
        <w:t xml:space="preserve">xceptional raw water resilience has </w:t>
      </w:r>
      <w:r>
        <w:rPr>
          <w:rFonts w:cstheme="minorHAnsi"/>
        </w:rPr>
        <w:t xml:space="preserve">enabled Portsmouth Water to prepare proposals for a further additional bulk supply to support the short and long-term resilience of neighbouring water company, Southern Water in the </w:t>
      </w:r>
      <w:r w:rsidR="00CE023A">
        <w:rPr>
          <w:rFonts w:cstheme="minorHAnsi"/>
        </w:rPr>
        <w:t>W</w:t>
      </w:r>
      <w:r>
        <w:rPr>
          <w:rFonts w:cstheme="minorHAnsi"/>
        </w:rPr>
        <w:t>est Hampshire area.  This proposal is integral to the regional water resource resilience solutions developed by the WRSE group.  This will be facilitated by the construction</w:t>
      </w:r>
      <w:r w:rsidRPr="00EF0F2C">
        <w:rPr>
          <w:rFonts w:cstheme="minorHAnsi"/>
        </w:rPr>
        <w:t xml:space="preserve"> of the Havant Thicket Winter Storage Reservoir</w:t>
      </w:r>
      <w:r>
        <w:rPr>
          <w:rFonts w:cstheme="minorHAnsi"/>
        </w:rPr>
        <w:t xml:space="preserve"> as described later in this Business Plan.</w:t>
      </w:r>
    </w:p>
    <w:p w:rsidR="000E3F18" w:rsidRPr="00C2402B" w:rsidRDefault="000E3F18" w:rsidP="00C2402B">
      <w:pPr>
        <w:rPr>
          <w:rFonts w:cstheme="minorHAnsi"/>
          <w:b/>
        </w:rPr>
      </w:pPr>
      <w:r w:rsidRPr="00C2402B">
        <w:rPr>
          <w:rFonts w:cstheme="minorHAnsi"/>
          <w:b/>
        </w:rPr>
        <w:t>Flood Resilience</w:t>
      </w:r>
    </w:p>
    <w:p w:rsidR="000E3F18" w:rsidRPr="00A478FB" w:rsidRDefault="000E3F18" w:rsidP="00C2402B">
      <w:pPr>
        <w:rPr>
          <w:rFonts w:cstheme="minorHAnsi"/>
        </w:rPr>
      </w:pPr>
      <w:r>
        <w:rPr>
          <w:rFonts w:cstheme="minorHAnsi"/>
        </w:rPr>
        <w:t>In 2005, we commenced a programme of increasing resilience against flooding which successfully protected assets in the floods of 2012 and 2013.  Further work has been undertaken following the Somerset Levels flooding, when we revised our capacity to withstand “extreme” flooding conditions and enhanced our Emergency Plan accordingly.  We are now confident that supplies can be maintained in such extreme flooding conditions of 1 in 1000</w:t>
      </w:r>
      <w:r w:rsidR="005F57A0">
        <w:rPr>
          <w:rFonts w:cstheme="minorHAnsi"/>
        </w:rPr>
        <w:t xml:space="preserve"> </w:t>
      </w:r>
      <w:r>
        <w:rPr>
          <w:rFonts w:cstheme="minorHAnsi"/>
        </w:rPr>
        <w:t xml:space="preserve">years. </w:t>
      </w:r>
    </w:p>
    <w:p w:rsidR="000E3F18" w:rsidRDefault="000E3F18" w:rsidP="00C2402B">
      <w:r>
        <w:t xml:space="preserve">The three </w:t>
      </w:r>
      <w:r w:rsidR="00FD6634">
        <w:t xml:space="preserve">examples </w:t>
      </w:r>
      <w:r>
        <w:t xml:space="preserve">referred to above are fundamental to resilience in the round because whilst ostensibly operational they provide a high degree of corporate and financial resilience. Financial because it requires low operating costs and it reduces the risks of significant financial events including compensation. For corporate, the reliability of supplies helps build trust among our customers, that we are thinking for the long term. The three elements all contribute to resilience on a </w:t>
      </w:r>
      <w:r w:rsidR="002E7077">
        <w:t>day-to-day</w:t>
      </w:r>
      <w:r>
        <w:t xml:space="preserve"> basis and long-term </w:t>
      </w:r>
      <w:r w:rsidR="00F71D07">
        <w:t>supplies, which</w:t>
      </w:r>
      <w:r>
        <w:t xml:space="preserve"> has allowed bulk supplies to neighbouring companies.</w:t>
      </w:r>
    </w:p>
    <w:p w:rsidR="000E3F18" w:rsidRDefault="000E3F18" w:rsidP="00C2402B">
      <w:r>
        <w:t xml:space="preserve">Moving beyond the current AMP6 </w:t>
      </w:r>
      <w:r w:rsidR="00DB4548">
        <w:t>period,</w:t>
      </w:r>
      <w:r>
        <w:t xml:space="preserve"> we intend to maintain and further improve its resilience ensuring that customers receive the service they expect.</w:t>
      </w:r>
    </w:p>
    <w:p w:rsidR="000E3F18" w:rsidRDefault="000E3F18" w:rsidP="00C2402B">
      <w:pPr>
        <w:pStyle w:val="Heading2"/>
      </w:pPr>
      <w:bookmarkStart w:id="146" w:name="_Toc523651289"/>
      <w:r>
        <w:t>Our Approach to Resilience and alignment with Ofwat’s Resilience Principles</w:t>
      </w:r>
      <w:bookmarkEnd w:id="146"/>
    </w:p>
    <w:p w:rsidR="000E3F18" w:rsidRPr="00DB4548" w:rsidRDefault="000E3F18" w:rsidP="00C2402B">
      <w:r w:rsidRPr="00DB4548">
        <w:t xml:space="preserve">In this section we address how we have assessed resilience in the round using Ofwat’s principles to explain our approach. </w:t>
      </w:r>
    </w:p>
    <w:p w:rsidR="000E3F18" w:rsidRPr="00581CD9" w:rsidRDefault="000E3F18" w:rsidP="000E3F18">
      <w:pPr>
        <w:rPr>
          <w:b/>
        </w:rPr>
      </w:pPr>
      <w:r w:rsidRPr="00581CD9">
        <w:rPr>
          <w:b/>
        </w:rPr>
        <w:t xml:space="preserve">Principle 1: Considering resilience in the round for the long term </w:t>
      </w:r>
    </w:p>
    <w:p w:rsidR="000E3F18" w:rsidRDefault="000E3F18" w:rsidP="000E3F18">
      <w:r>
        <w:t xml:space="preserve">The Board has sought to embed a risk management culture into the business, with transparent processes in place to identify potential failing trends and variability across the entire business and an effective and transparent system of reporting at management and Board level. This is explained in </w:t>
      </w:r>
      <w:r w:rsidRPr="00AB0D07">
        <w:t xml:space="preserve">Section </w:t>
      </w:r>
      <w:r w:rsidR="00AB0D07">
        <w:t>6</w:t>
      </w:r>
      <w:r w:rsidR="000B525A">
        <w:t>.3</w:t>
      </w:r>
      <w:r>
        <w:t xml:space="preserve"> below. In the detailed Risk and Resilience register, a living document used within the Company, for each risk identified, we consider a wide range of risks including, to the customer, to the environment, investors, employees, and reputation. (Note the abridged version included in </w:t>
      </w:r>
      <w:r w:rsidRPr="00DB4548">
        <w:t>Appendix 6.2</w:t>
      </w:r>
      <w:r>
        <w:t xml:space="preserve"> is focussed on the customer, the environment and financial risk).</w:t>
      </w:r>
    </w:p>
    <w:p w:rsidR="000E3F18" w:rsidRDefault="000E3F18" w:rsidP="000E3F18">
      <w:r>
        <w:t xml:space="preserve">The financial viability tests are made after reviewing the most significant operational and financially damaging risks. </w:t>
      </w:r>
    </w:p>
    <w:p w:rsidR="000E3F18" w:rsidRDefault="000E3F18" w:rsidP="000E3F18">
      <w:r>
        <w:t xml:space="preserve">The assessment of risk for the </w:t>
      </w:r>
      <w:r w:rsidR="00F46992">
        <w:t>B</w:t>
      </w:r>
      <w:r>
        <w:t xml:space="preserve">usiness </w:t>
      </w:r>
      <w:r w:rsidR="00F46992">
        <w:t>P</w:t>
      </w:r>
      <w:r>
        <w:t>lan used evidence from a variety of sources to establish our current level of resilience and where risks are outstanding. These included:</w:t>
      </w:r>
    </w:p>
    <w:p w:rsidR="000E3F18" w:rsidRDefault="000E3F18" w:rsidP="00C2402B">
      <w:pPr>
        <w:pStyle w:val="Bullets"/>
      </w:pPr>
      <w:r>
        <w:t>Specific studies using third parties, initiated by the Board as part of the AMP 6 programme</w:t>
      </w:r>
    </w:p>
    <w:p w:rsidR="000E3F18" w:rsidRDefault="000E3F18" w:rsidP="00C2402B">
      <w:pPr>
        <w:pStyle w:val="Bullets"/>
      </w:pPr>
      <w:r>
        <w:t>The current risk and resilience register</w:t>
      </w:r>
      <w:r w:rsidR="002E7077">
        <w:t xml:space="preserve"> which considered external factors</w:t>
      </w:r>
    </w:p>
    <w:p w:rsidR="000E3F18" w:rsidRDefault="000E3F18" w:rsidP="00C2402B">
      <w:pPr>
        <w:pStyle w:val="Bullets"/>
      </w:pPr>
      <w:r>
        <w:t>A review of water quality data</w:t>
      </w:r>
    </w:p>
    <w:p w:rsidR="000E3F18" w:rsidRDefault="000E3F18" w:rsidP="00C2402B">
      <w:pPr>
        <w:pStyle w:val="Bullets"/>
      </w:pPr>
      <w:r>
        <w:t>Discussions with the EA that drove the W</w:t>
      </w:r>
      <w:r w:rsidR="000B525A">
        <w:t>ater Industry National Env</w:t>
      </w:r>
      <w:r w:rsidR="001E670E">
        <w:t>i</w:t>
      </w:r>
      <w:r w:rsidR="000B525A">
        <w:t>ronment Programme (WINEP).  (Details Appendix 3.7).</w:t>
      </w:r>
    </w:p>
    <w:p w:rsidR="000E3F18" w:rsidRDefault="000E3F18" w:rsidP="00C2402B">
      <w:pPr>
        <w:pStyle w:val="Bullets"/>
      </w:pPr>
      <w:r>
        <w:t>The development of the Water Resource Management Plan</w:t>
      </w:r>
    </w:p>
    <w:p w:rsidR="000E3F18" w:rsidRDefault="000E3F18" w:rsidP="00C2402B">
      <w:pPr>
        <w:pStyle w:val="Bullets"/>
      </w:pPr>
      <w:r>
        <w:t>Sessions with senior managers to draw out risks and</w:t>
      </w:r>
      <w:r w:rsidR="00F46992">
        <w:t xml:space="preserve"> understand</w:t>
      </w:r>
      <w:r>
        <w:t xml:space="preserve"> how resilient we were.</w:t>
      </w:r>
    </w:p>
    <w:p w:rsidR="00C2402B" w:rsidRDefault="00C2402B" w:rsidP="00C2402B">
      <w:pPr>
        <w:pStyle w:val="Bullets"/>
        <w:numPr>
          <w:ilvl w:val="0"/>
          <w:numId w:val="0"/>
        </w:numPr>
        <w:ind w:left="1494"/>
      </w:pPr>
    </w:p>
    <w:p w:rsidR="000E3F18" w:rsidRDefault="000E3F18" w:rsidP="00C2402B">
      <w:r>
        <w:t xml:space="preserve">Our resilience approach considers risks in the short, medium and the long term.  An example of </w:t>
      </w:r>
      <w:r w:rsidR="002E7077">
        <w:t>short-term</w:t>
      </w:r>
      <w:r>
        <w:t xml:space="preserve"> risk is how we prevent disruption from an asset failure and how we recover.  An example of long-term resilience is our approach to water resources and catchment management.  These are all covered in this </w:t>
      </w:r>
      <w:r w:rsidR="00F46992">
        <w:t>c</w:t>
      </w:r>
      <w:r>
        <w:t xml:space="preserve">hapter. </w:t>
      </w:r>
    </w:p>
    <w:p w:rsidR="000E3F18" w:rsidRDefault="000E3F18" w:rsidP="000E3F18">
      <w:r w:rsidRPr="00581CD9">
        <w:rPr>
          <w:b/>
        </w:rPr>
        <w:t>Principle 2: A naturally resilient water sector</w:t>
      </w:r>
      <w:r>
        <w:t xml:space="preserve"> </w:t>
      </w:r>
    </w:p>
    <w:p w:rsidR="000E3F18" w:rsidRDefault="000E3F18" w:rsidP="00C2402B">
      <w:r>
        <w:t xml:space="preserve">Protecting the water and wider environment and improving </w:t>
      </w:r>
      <w:r w:rsidR="00F46992">
        <w:t>b</w:t>
      </w:r>
      <w:r>
        <w:t xml:space="preserve">iodiversity are important elements of our Business Plan and we have worked closely with the Environment Agency (EA) and Natural England to develop </w:t>
      </w:r>
      <w:r w:rsidR="00240A2B">
        <w:t>ODIs</w:t>
      </w:r>
      <w:r>
        <w:t xml:space="preserve"> relating to those subjects. The environment is a key element of our Risk and resilien</w:t>
      </w:r>
      <w:r w:rsidR="000C1E50">
        <w:t>ce</w:t>
      </w:r>
      <w:r>
        <w:t xml:space="preserve"> management, as shown in </w:t>
      </w:r>
      <w:r w:rsidRPr="00DB4548">
        <w:t>Appendix 6.2</w:t>
      </w:r>
      <w:r>
        <w:t xml:space="preserve">. </w:t>
      </w:r>
    </w:p>
    <w:p w:rsidR="000E3F18" w:rsidRDefault="000E3F18" w:rsidP="00C2402B">
      <w:r>
        <w:t>We have also engaged extensively with the agencies to ensure that our activities are undertaken in a manner that is considerate to the short and long</w:t>
      </w:r>
      <w:r w:rsidR="00DB4548">
        <w:t>-</w:t>
      </w:r>
      <w:r>
        <w:t>term preservation of the surrounding environment.  Specifically, the Company has:</w:t>
      </w:r>
    </w:p>
    <w:p w:rsidR="000E3F18" w:rsidRDefault="000E3F18" w:rsidP="00C2402B">
      <w:pPr>
        <w:pStyle w:val="Bullets"/>
      </w:pPr>
      <w:r w:rsidRPr="00F83646">
        <w:rPr>
          <w:b/>
        </w:rPr>
        <w:t>Damaging Abstractions</w:t>
      </w:r>
      <w:r>
        <w:t xml:space="preserve"> – over the last 20 years</w:t>
      </w:r>
      <w:r w:rsidR="00DB4548">
        <w:t>,</w:t>
      </w:r>
      <w:r>
        <w:t xml:space="preserve"> almost all of our abstractions have been assessed for the impact on the local environment and consequently we accepted either reduced licences or minimum flow conditions on certain rivers including the River Itchen source and at the springs in Havant and Bedhampton.  These are reflected in the Company’s WRMP. A list of all our </w:t>
      </w:r>
      <w:r w:rsidR="004A1A6F">
        <w:t xml:space="preserve">variation to our licences is </w:t>
      </w:r>
      <w:r>
        <w:t xml:space="preserve">included in </w:t>
      </w:r>
      <w:r w:rsidRPr="00DB4548">
        <w:t>Appendix 6.6.</w:t>
      </w:r>
    </w:p>
    <w:p w:rsidR="000E3F18" w:rsidRDefault="000E3F18" w:rsidP="00C2402B">
      <w:pPr>
        <w:pStyle w:val="Bullets"/>
      </w:pPr>
      <w:r w:rsidRPr="00F83646">
        <w:rPr>
          <w:b/>
        </w:rPr>
        <w:t>AMP6 NEP Schemes</w:t>
      </w:r>
      <w:r>
        <w:t xml:space="preserve"> – we have completed all our NEP schemes including the study on Eels for AMP6 and these have been signed off by the Environment Agency.</w:t>
      </w:r>
    </w:p>
    <w:p w:rsidR="000E3F18" w:rsidRDefault="000E3F18" w:rsidP="00C2402B">
      <w:pPr>
        <w:pStyle w:val="Bullets"/>
      </w:pPr>
      <w:r>
        <w:rPr>
          <w:b/>
        </w:rPr>
        <w:t xml:space="preserve">Biodiversity </w:t>
      </w:r>
      <w:r>
        <w:t>– as part of the AMP6 programme we have undertaken significant work at sites which we own working with Natural England.</w:t>
      </w:r>
    </w:p>
    <w:p w:rsidR="000E3F18" w:rsidRDefault="000E3F18" w:rsidP="00C2402B">
      <w:pPr>
        <w:pStyle w:val="Bullets"/>
      </w:pPr>
      <w:r>
        <w:rPr>
          <w:b/>
        </w:rPr>
        <w:t xml:space="preserve">Catchment Management </w:t>
      </w:r>
      <w:r>
        <w:t xml:space="preserve">– we have carried out a programme to reduce the long -term impact of nitrates working with Downs and Harbours. Our AMP 7 Programme will go further and include wider benefits, for example we will potentially create new woodland which will help slow down the path of nitrates but will also create other positive benefits for the environment. We have also introduced an innovative PR campaign to reduce oil spillage by the introduction of subsidised oil tank integrity checks to make our catchment more resilient to these events which can be disruptive. </w:t>
      </w:r>
    </w:p>
    <w:p w:rsidR="000E3F18" w:rsidRDefault="000E3F18" w:rsidP="00C2402B">
      <w:pPr>
        <w:pStyle w:val="Bullets"/>
      </w:pPr>
      <w:r>
        <w:rPr>
          <w:b/>
        </w:rPr>
        <w:t xml:space="preserve">Eel Regulations – </w:t>
      </w:r>
      <w:r>
        <w:t>a study has been undertaken to determine whether the abstraction at the River Itchen source was a risk to the entrapment of eels.  This was undertaken in accordance with EA guidelines and this established that a risk exists, and future protection will be needed. A £2.</w:t>
      </w:r>
      <w:r w:rsidR="00CE023A">
        <w:t>3</w:t>
      </w:r>
      <w:r>
        <w:t>m scheme is included in th</w:t>
      </w:r>
      <w:r w:rsidR="00F46992">
        <w:t>is</w:t>
      </w:r>
      <w:r>
        <w:t xml:space="preserve"> plan to build screens at the intake.</w:t>
      </w:r>
    </w:p>
    <w:p w:rsidR="00C2402B" w:rsidRDefault="00C2402B" w:rsidP="00C2402B">
      <w:pPr>
        <w:pStyle w:val="Bullets"/>
        <w:numPr>
          <w:ilvl w:val="0"/>
          <w:numId w:val="0"/>
        </w:numPr>
        <w:ind w:left="1494"/>
      </w:pPr>
    </w:p>
    <w:p w:rsidR="000E3F18" w:rsidRDefault="000E3F18" w:rsidP="00C2402B">
      <w:r>
        <w:t>We believe that the evidence presented demonstrates its credentials in environmental stewardship that ensures resilience in the long term.  Based upon the work during AMP6 we have also agreed the WINEP with the EA for a number of projects to be undertaken in AMP7 and these are included in this Business Plan. This includes a further study on the impacts of abstraction at the river Itchen, which could have implications for the availability of bulk supplies.</w:t>
      </w:r>
    </w:p>
    <w:p w:rsidR="000E3F18" w:rsidRDefault="000E3F18" w:rsidP="00C2402B">
      <w:r>
        <w:t>Our Catchment Management and Biodiversity programmes are discussed in Chapter 3.</w:t>
      </w:r>
      <w:r w:rsidR="00DB4548">
        <w:t>10.</w:t>
      </w:r>
    </w:p>
    <w:p w:rsidR="000E3F18" w:rsidRDefault="000E3F18" w:rsidP="00C2402B">
      <w:r>
        <w:t xml:space="preserve">We have considered our resilience to the statutory duties as outlined in the WISER document and ensured we are complying. </w:t>
      </w:r>
      <w:r w:rsidR="00DB4548">
        <w:t xml:space="preserve"> </w:t>
      </w:r>
      <w:r>
        <w:t xml:space="preserve">Our full response to that document is included in </w:t>
      </w:r>
      <w:r w:rsidRPr="00560D99">
        <w:t xml:space="preserve">Appendix </w:t>
      </w:r>
      <w:r w:rsidR="00560D99" w:rsidRPr="00560D99">
        <w:t>3.8.</w:t>
      </w:r>
    </w:p>
    <w:p w:rsidR="000E3F18" w:rsidRDefault="000E3F18" w:rsidP="00C2402B">
      <w:r>
        <w:t xml:space="preserve">The impact of our water abstraction on the environment is an important aspect of our water resource planning and this is covered in </w:t>
      </w:r>
      <w:r w:rsidRPr="00DB4548">
        <w:t xml:space="preserve">Section </w:t>
      </w:r>
      <w:r w:rsidR="00DB4548" w:rsidRPr="00DB4548">
        <w:t>6.</w:t>
      </w:r>
      <w:r w:rsidRPr="00DB4548">
        <w:t>5</w:t>
      </w:r>
      <w:r>
        <w:t xml:space="preserve"> below.</w:t>
      </w:r>
    </w:p>
    <w:p w:rsidR="000E3F18" w:rsidRDefault="000E3F18" w:rsidP="00C2402B">
      <w:r>
        <w:t>In addition to these activities the Company participates in twice yearly meeting with the EA to monitor developments and agree future direction where possible.</w:t>
      </w:r>
    </w:p>
    <w:p w:rsidR="000E3F18" w:rsidRDefault="000E3F18" w:rsidP="00C2402B">
      <w:r>
        <w:t xml:space="preserve">We are proud of </w:t>
      </w:r>
      <w:r w:rsidR="00F46992">
        <w:t xml:space="preserve">our </w:t>
      </w:r>
      <w:r>
        <w:t>record of having not been the subject of any environmental prosecutions in the last 10 years.</w:t>
      </w:r>
    </w:p>
    <w:p w:rsidR="000E3F18" w:rsidRDefault="000E3F18" w:rsidP="00C2402B">
      <w:pPr>
        <w:rPr>
          <w:b/>
        </w:rPr>
      </w:pPr>
      <w:r w:rsidRPr="00581CD9">
        <w:rPr>
          <w:b/>
        </w:rPr>
        <w:t xml:space="preserve">Principle 3: Customer engagement </w:t>
      </w:r>
    </w:p>
    <w:p w:rsidR="000E3F18" w:rsidRDefault="000E3F18" w:rsidP="00C2402B">
      <w:r>
        <w:t xml:space="preserve">Details on customer engagement in relation to resilience are included in Appendix </w:t>
      </w:r>
      <w:r w:rsidRPr="00DB4548">
        <w:t>6.</w:t>
      </w:r>
      <w:r w:rsidR="00DB4548" w:rsidRPr="00DB4548">
        <w:t>7</w:t>
      </w:r>
      <w:r w:rsidR="001868AC">
        <w:t>.  T</w:t>
      </w:r>
      <w:r>
        <w:t>he highlights and how we address the matters raised are as follows:</w:t>
      </w:r>
    </w:p>
    <w:tbl>
      <w:tblPr>
        <w:tblStyle w:val="TableGrid67"/>
        <w:tblW w:w="9016" w:type="dxa"/>
        <w:tblInd w:w="616" w:type="dxa"/>
        <w:tblLook w:val="04A0" w:firstRow="1" w:lastRow="0" w:firstColumn="1" w:lastColumn="0" w:noHBand="0" w:noVBand="1"/>
      </w:tblPr>
      <w:tblGrid>
        <w:gridCol w:w="4508"/>
        <w:gridCol w:w="4508"/>
      </w:tblGrid>
      <w:tr w:rsidR="00C2402B" w:rsidRPr="00AB0D07" w:rsidTr="00AB0D07">
        <w:tc>
          <w:tcPr>
            <w:tcW w:w="4508" w:type="dxa"/>
          </w:tcPr>
          <w:p w:rsidR="00C2402B" w:rsidRPr="00AB0D07" w:rsidRDefault="00C2402B" w:rsidP="00C2402B">
            <w:pPr>
              <w:tabs>
                <w:tab w:val="clear" w:pos="851"/>
              </w:tabs>
              <w:spacing w:after="0"/>
              <w:ind w:left="0"/>
              <w:jc w:val="left"/>
              <w:rPr>
                <w:rFonts w:cs="Arial"/>
                <w:b/>
                <w:sz w:val="16"/>
                <w:szCs w:val="16"/>
              </w:rPr>
            </w:pPr>
            <w:r w:rsidRPr="00AB0D07">
              <w:rPr>
                <w:rFonts w:cs="Arial"/>
                <w:b/>
                <w:sz w:val="16"/>
                <w:szCs w:val="16"/>
              </w:rPr>
              <w:t>Matters Raised</w:t>
            </w:r>
          </w:p>
        </w:tc>
        <w:tc>
          <w:tcPr>
            <w:tcW w:w="4508" w:type="dxa"/>
          </w:tcPr>
          <w:p w:rsidR="00C2402B" w:rsidRPr="00AB0D07" w:rsidRDefault="00C2402B" w:rsidP="00C2402B">
            <w:pPr>
              <w:tabs>
                <w:tab w:val="clear" w:pos="851"/>
              </w:tabs>
              <w:spacing w:after="0"/>
              <w:ind w:left="0"/>
              <w:jc w:val="left"/>
              <w:rPr>
                <w:rFonts w:cs="Arial"/>
                <w:b/>
                <w:sz w:val="16"/>
                <w:szCs w:val="16"/>
              </w:rPr>
            </w:pPr>
            <w:r w:rsidRPr="00AB0D07">
              <w:rPr>
                <w:rFonts w:cs="Arial"/>
                <w:b/>
                <w:sz w:val="16"/>
                <w:szCs w:val="16"/>
              </w:rPr>
              <w:t>What we have done</w:t>
            </w:r>
          </w:p>
        </w:tc>
      </w:tr>
      <w:tr w:rsidR="00C2402B" w:rsidRPr="00AB0D07" w:rsidTr="00AB0D07">
        <w:tc>
          <w:tcPr>
            <w:tcW w:w="4508" w:type="dxa"/>
          </w:tcPr>
          <w:p w:rsidR="00C2402B" w:rsidRPr="00AB0D07" w:rsidRDefault="0096642E" w:rsidP="0096642E">
            <w:pPr>
              <w:tabs>
                <w:tab w:val="clear" w:pos="851"/>
              </w:tabs>
              <w:spacing w:after="0"/>
              <w:ind w:left="0"/>
              <w:rPr>
                <w:rFonts w:cs="Arial"/>
                <w:sz w:val="16"/>
                <w:szCs w:val="16"/>
              </w:rPr>
            </w:pPr>
            <w:r>
              <w:rPr>
                <w:rFonts w:cs="Arial"/>
                <w:sz w:val="16"/>
                <w:szCs w:val="16"/>
              </w:rPr>
              <w:t>S</w:t>
            </w:r>
            <w:r w:rsidR="00C2402B" w:rsidRPr="00AB0D07">
              <w:rPr>
                <w:rFonts w:cs="Arial"/>
                <w:sz w:val="16"/>
                <w:szCs w:val="16"/>
              </w:rPr>
              <w:t xml:space="preserve">afe and secure water supplies are our customer’s top priority. </w:t>
            </w:r>
            <w:r>
              <w:rPr>
                <w:rFonts w:cs="Arial"/>
                <w:sz w:val="16"/>
                <w:szCs w:val="16"/>
              </w:rPr>
              <w:t xml:space="preserve"> C</w:t>
            </w:r>
            <w:r w:rsidRPr="00AB0D07">
              <w:rPr>
                <w:rFonts w:cs="Arial"/>
                <w:sz w:val="16"/>
                <w:szCs w:val="16"/>
              </w:rPr>
              <w:t xml:space="preserve">ustomers expect the Company to be resilient to most events such as power cuts, severe weather, cyber-crime and other foreseeable issues. But they recognised that the Company cannot, and should not, try to be resilient to everything e.g. terrorism, (albeit we do have obligations under the SEMD regulations). </w:t>
            </w:r>
          </w:p>
        </w:tc>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We propose some resilience schemes as detailed below</w:t>
            </w:r>
            <w:r w:rsidR="0096642E">
              <w:rPr>
                <w:rFonts w:cs="Arial"/>
                <w:sz w:val="16"/>
                <w:szCs w:val="16"/>
              </w:rPr>
              <w:t xml:space="preserve"> and will be resilient to a 1 in 200 year drought</w:t>
            </w:r>
            <w:r w:rsidRPr="00AB0D07">
              <w:rPr>
                <w:rFonts w:cs="Arial"/>
                <w:sz w:val="16"/>
                <w:szCs w:val="16"/>
              </w:rPr>
              <w:t>.</w:t>
            </w:r>
            <w:r w:rsidR="0096642E">
              <w:rPr>
                <w:rFonts w:cs="Arial"/>
                <w:sz w:val="16"/>
                <w:szCs w:val="16"/>
              </w:rPr>
              <w:t xml:space="preserve">  </w:t>
            </w:r>
            <w:r w:rsidR="0096642E" w:rsidRPr="00AB0D07">
              <w:rPr>
                <w:rFonts w:cs="Arial"/>
                <w:sz w:val="16"/>
                <w:szCs w:val="16"/>
              </w:rPr>
              <w:t>Our Risk and Resilience register demonstrates our resilience to these events See Appendix 6.2.</w:t>
            </w:r>
          </w:p>
        </w:tc>
      </w:tr>
      <w:tr w:rsidR="00C2402B" w:rsidRPr="00AB0D07" w:rsidTr="00AB0D07">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 xml:space="preserve">Customer are generally happy with our current levels of </w:t>
            </w:r>
            <w:r w:rsidR="002E7077" w:rsidRPr="00AB0D07">
              <w:rPr>
                <w:rFonts w:cs="Arial"/>
                <w:sz w:val="16"/>
                <w:szCs w:val="16"/>
              </w:rPr>
              <w:t>service, which</w:t>
            </w:r>
            <w:r w:rsidRPr="00AB0D07">
              <w:rPr>
                <w:rFonts w:cs="Arial"/>
                <w:sz w:val="16"/>
                <w:szCs w:val="16"/>
              </w:rPr>
              <w:t xml:space="preserve"> as noted above in terms of resilient supplies are among the best in the Industry.</w:t>
            </w:r>
          </w:p>
          <w:p w:rsidR="00C2402B" w:rsidRPr="00AB0D07" w:rsidRDefault="00C2402B" w:rsidP="00C2402B">
            <w:pPr>
              <w:tabs>
                <w:tab w:val="clear" w:pos="851"/>
              </w:tabs>
              <w:spacing w:after="0"/>
              <w:ind w:left="0"/>
              <w:jc w:val="left"/>
              <w:rPr>
                <w:rFonts w:cs="Arial"/>
                <w:sz w:val="16"/>
                <w:szCs w:val="16"/>
              </w:rPr>
            </w:pPr>
          </w:p>
        </w:tc>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Used to set performance commitments</w:t>
            </w:r>
          </w:p>
        </w:tc>
      </w:tr>
      <w:tr w:rsidR="00C2402B" w:rsidRPr="00AB0D07" w:rsidTr="00AB0D07">
        <w:tc>
          <w:tcPr>
            <w:tcW w:w="4508" w:type="dxa"/>
          </w:tcPr>
          <w:p w:rsidR="00C2402B" w:rsidRPr="00AB0D07" w:rsidRDefault="0096642E" w:rsidP="00C2402B">
            <w:pPr>
              <w:tabs>
                <w:tab w:val="clear" w:pos="851"/>
              </w:tabs>
              <w:spacing w:after="0"/>
              <w:ind w:left="0"/>
              <w:jc w:val="left"/>
              <w:rPr>
                <w:rFonts w:cs="Arial"/>
                <w:sz w:val="16"/>
                <w:szCs w:val="16"/>
              </w:rPr>
            </w:pPr>
            <w:r>
              <w:rPr>
                <w:rFonts w:cs="Arial"/>
                <w:sz w:val="16"/>
                <w:szCs w:val="16"/>
              </w:rPr>
              <w:t>S</w:t>
            </w:r>
            <w:r w:rsidR="00C2402B" w:rsidRPr="00AB0D07">
              <w:rPr>
                <w:rFonts w:cs="Arial"/>
                <w:sz w:val="16"/>
                <w:szCs w:val="16"/>
              </w:rPr>
              <w:t>ome stakeholders expect us to work with local authorities and developers to ensure that any new housing is water efficient</w:t>
            </w:r>
          </w:p>
          <w:p w:rsidR="00C2402B" w:rsidRPr="00AB0D07" w:rsidRDefault="00C2402B" w:rsidP="00C2402B">
            <w:pPr>
              <w:tabs>
                <w:tab w:val="clear" w:pos="851"/>
              </w:tabs>
              <w:spacing w:after="0"/>
              <w:ind w:left="0"/>
              <w:jc w:val="left"/>
              <w:rPr>
                <w:rFonts w:cs="Arial"/>
                <w:sz w:val="16"/>
                <w:szCs w:val="16"/>
              </w:rPr>
            </w:pPr>
          </w:p>
        </w:tc>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We agree and is part of our long- term aspiration and we are in the process of agreeing an MOU with Albion Water</w:t>
            </w:r>
          </w:p>
        </w:tc>
      </w:tr>
      <w:tr w:rsidR="00C2402B" w:rsidRPr="00AB0D07" w:rsidTr="00AB0D07">
        <w:tc>
          <w:tcPr>
            <w:tcW w:w="4508" w:type="dxa"/>
          </w:tcPr>
          <w:p w:rsidR="00C2402B" w:rsidRPr="00AB0D07" w:rsidRDefault="0096642E" w:rsidP="00C2402B">
            <w:pPr>
              <w:tabs>
                <w:tab w:val="clear" w:pos="851"/>
              </w:tabs>
              <w:spacing w:after="0"/>
              <w:ind w:left="0"/>
              <w:jc w:val="left"/>
              <w:rPr>
                <w:rFonts w:cs="Arial"/>
                <w:sz w:val="16"/>
                <w:szCs w:val="16"/>
              </w:rPr>
            </w:pPr>
            <w:r>
              <w:rPr>
                <w:rFonts w:cs="Arial"/>
                <w:sz w:val="16"/>
                <w:szCs w:val="16"/>
              </w:rPr>
              <w:t>T</w:t>
            </w:r>
            <w:r w:rsidR="00C2402B" w:rsidRPr="00AB0D07">
              <w:rPr>
                <w:rFonts w:cs="Arial"/>
                <w:sz w:val="16"/>
                <w:szCs w:val="16"/>
              </w:rPr>
              <w:t>he installation of stand posts or rota cuts in extreme drought is not supported by customers particularly older customers</w:t>
            </w:r>
          </w:p>
          <w:p w:rsidR="00C2402B" w:rsidRPr="00AB0D07" w:rsidRDefault="00C2402B" w:rsidP="00C2402B">
            <w:pPr>
              <w:tabs>
                <w:tab w:val="clear" w:pos="851"/>
              </w:tabs>
              <w:spacing w:after="0"/>
              <w:ind w:left="0"/>
              <w:jc w:val="left"/>
              <w:rPr>
                <w:rFonts w:cs="Arial"/>
                <w:sz w:val="16"/>
                <w:szCs w:val="16"/>
              </w:rPr>
            </w:pPr>
          </w:p>
        </w:tc>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Our plans show we are resilient to a 1 in 200- year drought, without the need for stand posts or rota cuts</w:t>
            </w:r>
          </w:p>
        </w:tc>
      </w:tr>
      <w:tr w:rsidR="00C2402B" w:rsidRPr="00AB0D07" w:rsidTr="00AB0D07">
        <w:tc>
          <w:tcPr>
            <w:tcW w:w="4508" w:type="dxa"/>
          </w:tcPr>
          <w:p w:rsidR="00C2402B" w:rsidRPr="00AB0D07" w:rsidRDefault="0096642E" w:rsidP="00C2402B">
            <w:pPr>
              <w:tabs>
                <w:tab w:val="clear" w:pos="851"/>
              </w:tabs>
              <w:spacing w:after="0"/>
              <w:ind w:left="0"/>
              <w:jc w:val="left"/>
              <w:rPr>
                <w:rFonts w:cs="Arial"/>
                <w:sz w:val="16"/>
                <w:szCs w:val="16"/>
              </w:rPr>
            </w:pPr>
            <w:r>
              <w:rPr>
                <w:rFonts w:cs="Arial"/>
                <w:sz w:val="16"/>
                <w:szCs w:val="16"/>
              </w:rPr>
              <w:t>C</w:t>
            </w:r>
            <w:r w:rsidR="00C2402B" w:rsidRPr="00AB0D07">
              <w:rPr>
                <w:rFonts w:cs="Arial"/>
                <w:sz w:val="16"/>
                <w:szCs w:val="16"/>
              </w:rPr>
              <w:t xml:space="preserve">ustomers understand the need to introduce Temporary Usage Bans (TUBs) in times when water is scarce, however, expect the Company to be able to demonstrate that it has driven down its leakage rate significantly and that such restrictions are a last resort.  </w:t>
            </w:r>
          </w:p>
        </w:tc>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We have not had a ban since 1976, but have plans for a variety of droughts.</w:t>
            </w:r>
          </w:p>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We are planning a leakage reduction of 15% by 2025 and further reductions after that.</w:t>
            </w:r>
          </w:p>
        </w:tc>
      </w:tr>
      <w:tr w:rsidR="00C2402B" w:rsidRPr="00AB0D07" w:rsidTr="00AB0D07">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Customer are supportive of the bulk supply to Southern Water, providing it does not increase the risk of failure to existing customers.</w:t>
            </w:r>
          </w:p>
        </w:tc>
        <w:tc>
          <w:tcPr>
            <w:tcW w:w="4508" w:type="dxa"/>
          </w:tcPr>
          <w:p w:rsidR="00C2402B" w:rsidRPr="00AB0D07" w:rsidRDefault="00C2402B" w:rsidP="001868AC">
            <w:pPr>
              <w:tabs>
                <w:tab w:val="clear" w:pos="851"/>
              </w:tabs>
              <w:spacing w:after="0"/>
              <w:ind w:left="0"/>
              <w:jc w:val="left"/>
              <w:rPr>
                <w:rFonts w:cs="Arial"/>
                <w:sz w:val="16"/>
                <w:szCs w:val="16"/>
              </w:rPr>
            </w:pPr>
            <w:r w:rsidRPr="00AB0D07">
              <w:rPr>
                <w:rFonts w:cs="Arial"/>
                <w:sz w:val="16"/>
                <w:szCs w:val="16"/>
              </w:rPr>
              <w:t xml:space="preserve">As part of the development of the Bulk </w:t>
            </w:r>
            <w:r w:rsidR="002E7077">
              <w:rPr>
                <w:rFonts w:cs="Arial"/>
                <w:sz w:val="16"/>
                <w:szCs w:val="16"/>
              </w:rPr>
              <w:t>S</w:t>
            </w:r>
            <w:r w:rsidRPr="00AB0D07">
              <w:rPr>
                <w:rFonts w:cs="Arial"/>
                <w:sz w:val="16"/>
                <w:szCs w:val="16"/>
              </w:rPr>
              <w:t>upply we will undertake a resilience study (already underway)</w:t>
            </w:r>
            <w:r w:rsidR="001868AC">
              <w:rPr>
                <w:rFonts w:cs="Arial"/>
                <w:sz w:val="16"/>
                <w:szCs w:val="16"/>
              </w:rPr>
              <w:t>.</w:t>
            </w:r>
          </w:p>
        </w:tc>
      </w:tr>
      <w:tr w:rsidR="00C2402B" w:rsidRPr="00AB0D07" w:rsidTr="00AB0D07">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Customer are supportive of the bulk supply to Southern Water and the building of the new reservoir providing existing customers do not pay for it</w:t>
            </w:r>
          </w:p>
        </w:tc>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A part of our business plan we have ensured that there is no impact on our existing customer bills as a result of the reservoir construction</w:t>
            </w:r>
          </w:p>
        </w:tc>
      </w:tr>
      <w:tr w:rsidR="00C2402B" w:rsidRPr="00AB0D07" w:rsidTr="00AB0D07">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The proposal to reduce leakage by 15% is seen as ambitious by approximately 60% of the focus groups with the remainder stating the target should be greater, and that they would be willing to pay more.</w:t>
            </w:r>
          </w:p>
        </w:tc>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We are reducing leakage by 15% by 2025 and further reductions after that.</w:t>
            </w:r>
          </w:p>
        </w:tc>
      </w:tr>
      <w:tr w:rsidR="00C2402B" w:rsidRPr="00AB0D07" w:rsidTr="00AB0D07">
        <w:tc>
          <w:tcPr>
            <w:tcW w:w="4508" w:type="dxa"/>
          </w:tcPr>
          <w:p w:rsidR="00C2402B" w:rsidRPr="00AB0D07" w:rsidRDefault="0096642E" w:rsidP="00C2402B">
            <w:pPr>
              <w:tabs>
                <w:tab w:val="clear" w:pos="851"/>
              </w:tabs>
              <w:spacing w:after="0"/>
              <w:ind w:left="0"/>
              <w:jc w:val="left"/>
              <w:rPr>
                <w:rFonts w:cs="Arial"/>
                <w:sz w:val="16"/>
                <w:szCs w:val="16"/>
              </w:rPr>
            </w:pPr>
            <w:r>
              <w:rPr>
                <w:rFonts w:cs="Arial"/>
                <w:sz w:val="16"/>
                <w:szCs w:val="16"/>
              </w:rPr>
              <w:t>C</w:t>
            </w:r>
            <w:r w:rsidR="00C2402B" w:rsidRPr="00AB0D07">
              <w:rPr>
                <w:rFonts w:cs="Arial"/>
                <w:sz w:val="16"/>
                <w:szCs w:val="16"/>
              </w:rPr>
              <w:t>ustomers are supportive that the Company enhances the environment and support our plans</w:t>
            </w:r>
          </w:p>
        </w:tc>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See principle 2 above</w:t>
            </w:r>
          </w:p>
        </w:tc>
      </w:tr>
      <w:tr w:rsidR="00C2402B" w:rsidRPr="00AB0D07" w:rsidTr="00AB0D07">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Customers are supportive of our plans to enhance network resilience.</w:t>
            </w:r>
          </w:p>
        </w:tc>
        <w:tc>
          <w:tcPr>
            <w:tcW w:w="4508" w:type="dxa"/>
          </w:tcPr>
          <w:p w:rsidR="00C2402B" w:rsidRPr="00AB0D07" w:rsidRDefault="00C2402B" w:rsidP="00C2402B">
            <w:pPr>
              <w:tabs>
                <w:tab w:val="clear" w:pos="851"/>
              </w:tabs>
              <w:spacing w:after="0"/>
              <w:ind w:left="0"/>
              <w:jc w:val="left"/>
              <w:rPr>
                <w:rFonts w:cs="Arial"/>
                <w:sz w:val="16"/>
                <w:szCs w:val="16"/>
              </w:rPr>
            </w:pPr>
            <w:r w:rsidRPr="00AB0D07">
              <w:rPr>
                <w:rFonts w:cs="Arial"/>
                <w:sz w:val="16"/>
                <w:szCs w:val="16"/>
              </w:rPr>
              <w:t>This supports our plans as outlined below.</w:t>
            </w:r>
          </w:p>
        </w:tc>
      </w:tr>
    </w:tbl>
    <w:p w:rsidR="000E3F18" w:rsidRDefault="000E3F18" w:rsidP="001F7FB4">
      <w:pPr>
        <w:spacing w:after="0"/>
      </w:pPr>
    </w:p>
    <w:p w:rsidR="0096642E" w:rsidRPr="0096642E" w:rsidRDefault="0096642E" w:rsidP="000E3F18">
      <w:r>
        <w:t xml:space="preserve">From the research, it is clear that our customers want a highly resilient service and have therefore a low appetite for risk in delivery of their water supplies.  It would not be prudent therefore to assume that a short-term change in water efficiency behaviour would offset the need for the resilience schemes in our Plan.  Customers have, however, a desire to learn more about water efficiency and we will address this in </w:t>
      </w:r>
      <w:r w:rsidR="00A05BD7">
        <w:t xml:space="preserve">parallel </w:t>
      </w:r>
      <w:r>
        <w:t>as can be seen in Chapter 3.7.</w:t>
      </w:r>
    </w:p>
    <w:p w:rsidR="000E3F18" w:rsidRDefault="000E3F18" w:rsidP="000E3F18">
      <w:r w:rsidRPr="00581CD9">
        <w:rPr>
          <w:b/>
        </w:rPr>
        <w:t>Principle 4: Broad consideration of intervention options</w:t>
      </w:r>
      <w:r>
        <w:t xml:space="preserve"> </w:t>
      </w:r>
    </w:p>
    <w:p w:rsidR="000E3F18" w:rsidRDefault="000E3F18" w:rsidP="000E3F18">
      <w:pPr>
        <w:rPr>
          <w:highlight w:val="yellow"/>
        </w:rPr>
      </w:pPr>
      <w:r>
        <w:t xml:space="preserve">In demonstrating that we have robustly assessed our </w:t>
      </w:r>
      <w:r w:rsidR="002E7077">
        <w:t>resilience,</w:t>
      </w:r>
      <w:r>
        <w:t xml:space="preserve"> we have used the </w:t>
      </w:r>
      <w:r w:rsidR="001868AC">
        <w:t>4Rs</w:t>
      </w:r>
      <w:r>
        <w:t xml:space="preserve">, Resistance, Reliability Redundancy and Response and </w:t>
      </w:r>
      <w:r w:rsidR="00F46992">
        <w:t>R</w:t>
      </w:r>
      <w:r>
        <w:t>ecovery.</w:t>
      </w:r>
      <w:r w:rsidR="001868AC">
        <w:t xml:space="preserve"> </w:t>
      </w:r>
      <w:r>
        <w:t xml:space="preserve"> Appendix 6.2 using the </w:t>
      </w:r>
      <w:r w:rsidR="001868AC">
        <w:t>4Rs</w:t>
      </w:r>
      <w:r>
        <w:t xml:space="preserve"> show</w:t>
      </w:r>
      <w:r w:rsidR="001868AC">
        <w:t>s</w:t>
      </w:r>
      <w:r>
        <w:t xml:space="preserve"> our ability to prevent events that will impact customers and our ability to cope with and recover from any disruption that does occur</w:t>
      </w:r>
      <w:r w:rsidRPr="00DB4548">
        <w:t xml:space="preserve">. This is summarised in Section </w:t>
      </w:r>
      <w:r w:rsidR="00DB4548" w:rsidRPr="00DB4548">
        <w:t>6.4</w:t>
      </w:r>
      <w:r w:rsidRPr="00DB4548">
        <w:t xml:space="preserve"> below.</w:t>
      </w:r>
    </w:p>
    <w:p w:rsidR="000E3F18" w:rsidRDefault="000E3F18" w:rsidP="000E3F18">
      <w:pPr>
        <w:rPr>
          <w:highlight w:val="yellow"/>
        </w:rPr>
      </w:pPr>
      <w:r>
        <w:t xml:space="preserve">In conducting our assessment of resilience for PR19 we identified where we thought there were outstanding risks that would not be acceptable to customers and interventions were required.  This is dealt with below in </w:t>
      </w:r>
      <w:r w:rsidRPr="00DB4548">
        <w:t xml:space="preserve">Section </w:t>
      </w:r>
      <w:r w:rsidR="00DB4548" w:rsidRPr="00DB4548">
        <w:t>6.</w:t>
      </w:r>
      <w:r w:rsidRPr="00DB4548">
        <w:t>5.</w:t>
      </w:r>
    </w:p>
    <w:p w:rsidR="000E3F18" w:rsidRDefault="000E3F18" w:rsidP="000E3F18">
      <w:r>
        <w:t>One of the major elements of our plan is the increase in bulk supplies to Southern Water, which have arisen through collaborative work through Water Resources in the South East.  In order to provide those supplies we are proposing to build a new winter storage reservoir, which will come into service in 2029. We are doing this collaboration with Southern Water. This project will provide water to replace Southern</w:t>
      </w:r>
      <w:r w:rsidR="000C1E50">
        <w:t xml:space="preserve"> Water</w:t>
      </w:r>
      <w:r>
        <w:t xml:space="preserve">’s loss of abstraction due to environmental sustainability issues. Details of this project are </w:t>
      </w:r>
      <w:r w:rsidRPr="00DB4548">
        <w:t>provided in Chapter 8.1.</w:t>
      </w:r>
    </w:p>
    <w:p w:rsidR="000E3F18" w:rsidRDefault="000E3F18" w:rsidP="000E3F18">
      <w:r w:rsidRPr="00581CD9">
        <w:rPr>
          <w:b/>
        </w:rPr>
        <w:t>Principle 5: Delivering best value solutions for customers</w:t>
      </w:r>
      <w:r>
        <w:t xml:space="preserve"> </w:t>
      </w:r>
    </w:p>
    <w:p w:rsidR="000E3F18" w:rsidRDefault="000E3F18" w:rsidP="000E3F18">
      <w:r>
        <w:t xml:space="preserve">Where the Board have decided that interventions to improve resilience are required we have conducted robust appraisals of the options. The most significant of these is the proposal to improve network </w:t>
      </w:r>
      <w:r w:rsidR="002E7077">
        <w:t>resilience, which</w:t>
      </w:r>
      <w:r>
        <w:t xml:space="preserve"> is explained below in </w:t>
      </w:r>
      <w:r w:rsidR="00521760">
        <w:t>S</w:t>
      </w:r>
      <w:r w:rsidRPr="00DB4548">
        <w:t xml:space="preserve">ection </w:t>
      </w:r>
      <w:r w:rsidR="00DB4548" w:rsidRPr="00DB4548">
        <w:t>6.</w:t>
      </w:r>
      <w:r w:rsidRPr="00DB4548">
        <w:t>5 and Chapter 3.</w:t>
      </w:r>
      <w:r w:rsidR="00DB4548">
        <w:t>6</w:t>
      </w:r>
      <w:r>
        <w:t xml:space="preserve">. and proposals to meet the long term demands for Water Resources and the options appraisals are undertaken as part of the WRMP. The interventions to improve deteriorating water quality have also been subject to an options appraisal and this is explained </w:t>
      </w:r>
      <w:r w:rsidRPr="00DB4548">
        <w:t>in Chapter 3.</w:t>
      </w:r>
      <w:r w:rsidR="00DB4548">
        <w:t>6.</w:t>
      </w:r>
    </w:p>
    <w:p w:rsidR="000E3F18" w:rsidRDefault="000E3F18" w:rsidP="000E3F18">
      <w:r w:rsidRPr="00581CD9">
        <w:rPr>
          <w:b/>
        </w:rPr>
        <w:t>Principle 6: Outcomes and customer-focused approach</w:t>
      </w:r>
      <w:r>
        <w:t xml:space="preserve"> </w:t>
      </w:r>
    </w:p>
    <w:p w:rsidR="000E3F18" w:rsidRDefault="000E3F18" w:rsidP="000E3F18">
      <w:r>
        <w:t xml:space="preserve">The Company has included </w:t>
      </w:r>
      <w:r w:rsidR="00CE023A">
        <w:t>O</w:t>
      </w:r>
      <w:r>
        <w:t xml:space="preserve">utcomes that reflect </w:t>
      </w:r>
      <w:r w:rsidR="00521760">
        <w:t xml:space="preserve">our </w:t>
      </w:r>
      <w:r>
        <w:t xml:space="preserve">customer priorities for resilience.  Three of the </w:t>
      </w:r>
      <w:r w:rsidR="00CE023A">
        <w:t>O</w:t>
      </w:r>
      <w:r>
        <w:t>utcomes “Safe secure and reliable supply of water”, “Long term resilience of supplies to our customers to support the South East Region”, and “</w:t>
      </w:r>
      <w:r w:rsidR="000E0035">
        <w:t>A</w:t>
      </w:r>
      <w:r>
        <w:t xml:space="preserve">n improved </w:t>
      </w:r>
      <w:r w:rsidR="000E0035">
        <w:t>environment, supporting biodiversity</w:t>
      </w:r>
      <w:r>
        <w:t xml:space="preserve">” are all resilience based. These </w:t>
      </w:r>
      <w:r w:rsidR="00CE023A">
        <w:t>O</w:t>
      </w:r>
      <w:r>
        <w:t xml:space="preserve">utcomes are explained in Chapter 3. </w:t>
      </w:r>
      <w:r w:rsidR="00281962">
        <w:t xml:space="preserve"> </w:t>
      </w:r>
      <w:r>
        <w:t xml:space="preserve">We believe the </w:t>
      </w:r>
      <w:r w:rsidR="00CE023A">
        <w:t>O</w:t>
      </w:r>
      <w:r>
        <w:t>utcomes developed are fully supported by the customer views highlighted under Principle 3 above.</w:t>
      </w:r>
    </w:p>
    <w:p w:rsidR="000E3F18" w:rsidRDefault="000E3F18" w:rsidP="000E3F18">
      <w:pPr>
        <w:rPr>
          <w:b/>
        </w:rPr>
      </w:pPr>
      <w:r w:rsidRPr="00581CD9">
        <w:rPr>
          <w:b/>
        </w:rPr>
        <w:t xml:space="preserve">Principle 7: Board assurance and sign-off </w:t>
      </w:r>
    </w:p>
    <w:p w:rsidR="000E3F18" w:rsidRDefault="000E3F18" w:rsidP="00C2402B">
      <w:r w:rsidRPr="000954C8">
        <w:t xml:space="preserve">The </w:t>
      </w:r>
      <w:r>
        <w:t xml:space="preserve">Board of Directors provides assurance that </w:t>
      </w:r>
      <w:r w:rsidR="000E0035">
        <w:t xml:space="preserve">this </w:t>
      </w:r>
      <w:r>
        <w:t>Business Plan has been informed by:</w:t>
      </w:r>
    </w:p>
    <w:p w:rsidR="000E3F18" w:rsidRDefault="000E3F18" w:rsidP="00C2402B">
      <w:pPr>
        <w:pStyle w:val="Bullets"/>
      </w:pPr>
      <w:r>
        <w:t xml:space="preserve">A robust and systematic assessment of the resilience of the </w:t>
      </w:r>
      <w:r w:rsidR="00281962">
        <w:t>C</w:t>
      </w:r>
      <w:r>
        <w:t>ompany’s systems and services</w:t>
      </w:r>
    </w:p>
    <w:p w:rsidR="000E3F18" w:rsidRDefault="000E3F18" w:rsidP="00C2402B">
      <w:pPr>
        <w:pStyle w:val="Bullets"/>
      </w:pPr>
      <w:r>
        <w:t>Customer views on Managing Resilience</w:t>
      </w:r>
    </w:p>
    <w:p w:rsidR="000E3F18" w:rsidRDefault="000E3F18" w:rsidP="00C2402B">
      <w:pPr>
        <w:pStyle w:val="Bullets"/>
      </w:pPr>
      <w:r>
        <w:t>Comprehensive and objective assessment of interventions to manage resilience in customers</w:t>
      </w:r>
      <w:r w:rsidR="00281962">
        <w:t>’</w:t>
      </w:r>
      <w:r>
        <w:t xml:space="preserve"> </w:t>
      </w:r>
      <w:r w:rsidR="002E7077">
        <w:t>long-term</w:t>
      </w:r>
      <w:r w:rsidR="00281962">
        <w:t xml:space="preserve"> interests</w:t>
      </w:r>
    </w:p>
    <w:p w:rsidR="00C2402B" w:rsidRPr="000954C8" w:rsidRDefault="00C2402B" w:rsidP="00C2402B">
      <w:pPr>
        <w:tabs>
          <w:tab w:val="clear" w:pos="851"/>
        </w:tabs>
        <w:spacing w:after="0"/>
        <w:ind w:left="786"/>
      </w:pPr>
    </w:p>
    <w:p w:rsidR="000E3F18" w:rsidRDefault="000E3F18" w:rsidP="00C2402B">
      <w:r>
        <w:t xml:space="preserve">The Board Assurance Statement </w:t>
      </w:r>
      <w:r w:rsidR="000E0035">
        <w:t>accompanies this plan.</w:t>
      </w:r>
    </w:p>
    <w:p w:rsidR="000E3F18" w:rsidRDefault="000E3F18" w:rsidP="00C2402B">
      <w:pPr>
        <w:pStyle w:val="Heading2"/>
      </w:pPr>
      <w:bookmarkStart w:id="147" w:name="_Toc523651290"/>
      <w:r>
        <w:t>Governance and Corporate Resilience</w:t>
      </w:r>
      <w:bookmarkEnd w:id="147"/>
    </w:p>
    <w:p w:rsidR="000E3F18" w:rsidRDefault="000E3F18" w:rsidP="00867E9B">
      <w:r>
        <w:t xml:space="preserve">Portsmouth Water is committed to our vision of “doing the right thing for customers, the environment and the region in which we operate” and this has been demonstrated over several decades. </w:t>
      </w:r>
    </w:p>
    <w:p w:rsidR="000E3F18" w:rsidRDefault="000E3F18" w:rsidP="00867E9B">
      <w:r>
        <w:t xml:space="preserve">We operate on the edge of the South East England </w:t>
      </w:r>
      <w:r w:rsidR="002E7077">
        <w:t>region, which</w:t>
      </w:r>
      <w:r>
        <w:t xml:space="preserve"> is facing long term challenges in relation to water resources</w:t>
      </w:r>
      <w:r w:rsidR="001868AC">
        <w:t xml:space="preserve"> - </w:t>
      </w:r>
      <w:r>
        <w:t>including climate change, population growth and more extreme weather events.  To achieve our vision, Portsmouth Water has to be customer driven, have resilient water resources and assets, and a robust financial structure.</w:t>
      </w:r>
    </w:p>
    <w:p w:rsidR="000E3F18" w:rsidRDefault="000E3F18" w:rsidP="00867E9B">
      <w:r>
        <w:t xml:space="preserve">To maintain this vision and operational resilience requires us to have the right corporate leadership and culture.  This is very much driven by the Board of Directors who </w:t>
      </w:r>
      <w:r w:rsidR="001868AC">
        <w:t xml:space="preserve">are </w:t>
      </w:r>
      <w:r>
        <w:t>responsible for assuring good governance and corporate resilience.  As might be expected, there are “Matters reserved for the Board” and these include responsibility for activities and decisions that are necessary to ensure the resilience of the Company in the round.</w:t>
      </w:r>
    </w:p>
    <w:p w:rsidR="000E3F18" w:rsidRDefault="000E3F18" w:rsidP="00867E9B">
      <w:r>
        <w:t>There are many factors that the Company considers which contribute to ensuring strong corporate resilience as shown in the illustration below:</w:t>
      </w:r>
    </w:p>
    <w:p w:rsidR="000E3F18" w:rsidRDefault="000E3F18" w:rsidP="000E3F18">
      <w:pPr>
        <w:ind w:left="426"/>
        <w:jc w:val="center"/>
      </w:pPr>
      <w:r>
        <w:rPr>
          <w:rFonts w:ascii="Calibri" w:hAnsi="Calibri"/>
          <w:noProof/>
        </w:rPr>
        <w:drawing>
          <wp:inline distT="0" distB="0" distL="0" distR="0" wp14:anchorId="6D3AEB83" wp14:editId="0869EB85">
            <wp:extent cx="4229100" cy="4108906"/>
            <wp:effectExtent l="0" t="0" r="0" b="6350"/>
            <wp:docPr id="30" name="Picture 30" descr="Resilience_no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lience_noti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35537" cy="4115160"/>
                    </a:xfrm>
                    <a:prstGeom prst="rect">
                      <a:avLst/>
                    </a:prstGeom>
                    <a:noFill/>
                    <a:ln>
                      <a:noFill/>
                    </a:ln>
                  </pic:spPr>
                </pic:pic>
              </a:graphicData>
            </a:graphic>
          </wp:inline>
        </w:drawing>
      </w:r>
    </w:p>
    <w:p w:rsidR="000E3F18" w:rsidRDefault="000E3F18" w:rsidP="00867E9B">
      <w:r>
        <w:t>While all of these factors are considered and proactively managed</w:t>
      </w:r>
      <w:r w:rsidR="002E7077">
        <w:t>,</w:t>
      </w:r>
      <w:r>
        <w:t xml:space="preserve"> the Company, led by the Board of Directors, </w:t>
      </w:r>
      <w:r w:rsidR="001868AC">
        <w:t xml:space="preserve">has </w:t>
      </w:r>
      <w:r>
        <w:t>embed</w:t>
      </w:r>
      <w:r w:rsidR="001868AC">
        <w:t>ded</w:t>
      </w:r>
      <w:r>
        <w:t xml:space="preserve"> active risk management into the business</w:t>
      </w:r>
      <w:r w:rsidR="001868AC">
        <w:t xml:space="preserve">.  This </w:t>
      </w:r>
      <w:r>
        <w:t>provide</w:t>
      </w:r>
      <w:r w:rsidR="001868AC">
        <w:t>s</w:t>
      </w:r>
      <w:r>
        <w:t xml:space="preserve"> the focal point for ensuring a level of resilience that is supported by customers as highlighted above and builds their trust in the company. Full details of how these factors contribute to a resilient business </w:t>
      </w:r>
      <w:r w:rsidR="000E0035">
        <w:t xml:space="preserve">can be found in </w:t>
      </w:r>
      <w:r>
        <w:t>Appendix 6.5</w:t>
      </w:r>
      <w:r w:rsidR="0096642E">
        <w:t>.</w:t>
      </w:r>
    </w:p>
    <w:p w:rsidR="000E3F18" w:rsidRDefault="000E3F18" w:rsidP="00867E9B">
      <w:r>
        <w:t xml:space="preserve">In recognition of the importance that active </w:t>
      </w:r>
      <w:r w:rsidR="001868AC">
        <w:t>r</w:t>
      </w:r>
      <w:r>
        <w:t xml:space="preserve">isk </w:t>
      </w:r>
      <w:r w:rsidR="001868AC">
        <w:t>m</w:t>
      </w:r>
      <w:r>
        <w:t>anagement has, the Board of Directors undertake an annual assessment of risk to ensure that current and future risks are being managed to an acceptable level and that adequate controls are in place to manage risk. On a quarterly basis, the Board review all risks previously identified as requiring action and</w:t>
      </w:r>
      <w:r w:rsidR="000E0035">
        <w:t xml:space="preserve"> any</w:t>
      </w:r>
      <w:r>
        <w:t xml:space="preserve"> changes to the risk register. At every meeting of the </w:t>
      </w:r>
      <w:r w:rsidR="002E7077">
        <w:t>Board,</w:t>
      </w:r>
      <w:r>
        <w:t xml:space="preserve"> our operational, corporate and financial performance is reviewed and considered.  This focus includes those measures and </w:t>
      </w:r>
      <w:r w:rsidR="002E7077">
        <w:t>activities, which</w:t>
      </w:r>
      <w:r>
        <w:t xml:space="preserve"> are indicators of our resilience.</w:t>
      </w:r>
    </w:p>
    <w:p w:rsidR="000E3F18" w:rsidRDefault="000E3F18" w:rsidP="00867E9B">
      <w:r>
        <w:t xml:space="preserve">At the operational level, </w:t>
      </w:r>
      <w:r w:rsidR="002E7077">
        <w:t>company</w:t>
      </w:r>
      <w:r w:rsidR="001868AC">
        <w:t>-</w:t>
      </w:r>
      <w:r w:rsidR="002E7077">
        <w:t>wide</w:t>
      </w:r>
      <w:r>
        <w:t xml:space="preserve"> performance</w:t>
      </w:r>
      <w:r w:rsidR="001868AC">
        <w:t>,</w:t>
      </w:r>
      <w:r>
        <w:t xml:space="preserve"> including failures and incidents</w:t>
      </w:r>
      <w:r w:rsidR="001868AC">
        <w:t>,</w:t>
      </w:r>
      <w:r>
        <w:t xml:space="preserve"> are considered weekly by the Executive Management Team and Senior Managers.  Specifically</w:t>
      </w:r>
      <w:r w:rsidR="00DB4548">
        <w:t>,</w:t>
      </w:r>
      <w:r>
        <w:t xml:space="preserve"> the Risk and Resilience Register is reviewed quarterly by the Executive Management Team and monthly/weekly by Senior Managers depending upon the criticality of the risk.</w:t>
      </w:r>
      <w:r w:rsidR="0096642E">
        <w:t xml:space="preserve">  The size of our business means that all Executive Directors and Senior Managers are at the same location.  This means that information </w:t>
      </w:r>
      <w:r w:rsidR="002E7077">
        <w:t xml:space="preserve">is disseminated and </w:t>
      </w:r>
      <w:r w:rsidR="0096642E">
        <w:t xml:space="preserve">communicated </w:t>
      </w:r>
      <w:r w:rsidR="00A05BD7">
        <w:t>quickly</w:t>
      </w:r>
      <w:r w:rsidR="0096642E">
        <w:t xml:space="preserve">.  This also helps the </w:t>
      </w:r>
      <w:r w:rsidR="001564E0">
        <w:t>implementation of the Emergency Plan as everyone is in the same place</w:t>
      </w:r>
      <w:r w:rsidR="00A05BD7">
        <w:t xml:space="preserve"> and has the same messages</w:t>
      </w:r>
      <w:r w:rsidR="001564E0">
        <w:t>.</w:t>
      </w:r>
    </w:p>
    <w:p w:rsidR="000E3F18" w:rsidRDefault="000E3F18" w:rsidP="00867E9B">
      <w:r>
        <w:t xml:space="preserve">The Risk and Register covers all company activity and it has a </w:t>
      </w:r>
      <w:r w:rsidR="002E7077">
        <w:t xml:space="preserve">subset, </w:t>
      </w:r>
      <w:r>
        <w:t>specifically for those risks that are considered to have the potential to impact the Company’s resilience, both short and long term.  Each risk in the register is scored for likelihood (1-6) and impact (1-4), which is after the mitigation and controls in place. Each risk is then allocated a Resilience Score based upon the product of the likelihood and impact (maximum 24).  For all risks with a Resilience Score &gt;4, mitigations will be considered with an objective to reduce all Risk Scores to 4 or less.   The Risk Register including the Resilience Score both current and post PR19 mitigation are included in Appendix 6.2.</w:t>
      </w:r>
    </w:p>
    <w:p w:rsidR="000E3F18" w:rsidRDefault="000E3F18" w:rsidP="00867E9B">
      <w:pPr>
        <w:pStyle w:val="Heading2"/>
      </w:pPr>
      <w:bookmarkStart w:id="148" w:name="_Toc523651291"/>
      <w:r>
        <w:t xml:space="preserve">Work Activity Undertaken to Support </w:t>
      </w:r>
      <w:r w:rsidR="000E0035">
        <w:t xml:space="preserve">our </w:t>
      </w:r>
      <w:r>
        <w:t xml:space="preserve">Business Plan </w:t>
      </w:r>
      <w:r w:rsidR="000E0035">
        <w:t xml:space="preserve">for </w:t>
      </w:r>
      <w:r>
        <w:t>2020-2025</w:t>
      </w:r>
      <w:bookmarkEnd w:id="148"/>
    </w:p>
    <w:p w:rsidR="000E3F18" w:rsidRDefault="000E3F18" w:rsidP="00867E9B">
      <w:r>
        <w:t xml:space="preserve">Our approach to Resilience Planning and indeed all risk management is one which is encompassed by the </w:t>
      </w:r>
      <w:r w:rsidR="001868AC">
        <w:t>4Rs</w:t>
      </w:r>
      <w:r>
        <w:t xml:space="preserve"> Cabinet Office approach which considers:</w:t>
      </w:r>
    </w:p>
    <w:p w:rsidR="000E3F18" w:rsidRDefault="000E3F18" w:rsidP="00867E9B">
      <w:pPr>
        <w:pStyle w:val="Bullets"/>
      </w:pPr>
      <w:r>
        <w:t>Resistance,</w:t>
      </w:r>
    </w:p>
    <w:p w:rsidR="000E3F18" w:rsidRDefault="000E3F18" w:rsidP="00867E9B">
      <w:pPr>
        <w:pStyle w:val="Bullets"/>
      </w:pPr>
      <w:r>
        <w:t>Reliability,</w:t>
      </w:r>
    </w:p>
    <w:p w:rsidR="000E3F18" w:rsidRDefault="000E3F18" w:rsidP="00867E9B">
      <w:pPr>
        <w:pStyle w:val="Bullets"/>
      </w:pPr>
      <w:r>
        <w:t>Redundancy, and</w:t>
      </w:r>
    </w:p>
    <w:p w:rsidR="000E3F18" w:rsidRDefault="000E3F18" w:rsidP="00867E9B">
      <w:pPr>
        <w:pStyle w:val="Bullets"/>
      </w:pPr>
      <w:r>
        <w:t xml:space="preserve">Response and Recovery </w:t>
      </w:r>
    </w:p>
    <w:p w:rsidR="00867E9B" w:rsidRDefault="00867E9B" w:rsidP="00867E9B">
      <w:pPr>
        <w:pStyle w:val="Bullets"/>
        <w:numPr>
          <w:ilvl w:val="0"/>
          <w:numId w:val="0"/>
        </w:numPr>
        <w:ind w:left="1494"/>
      </w:pPr>
    </w:p>
    <w:p w:rsidR="000E3F18" w:rsidRDefault="000E3F18" w:rsidP="00867E9B">
      <w:r>
        <w:t xml:space="preserve">The illustration shows how the </w:t>
      </w:r>
      <w:r w:rsidR="001868AC">
        <w:t>4Rs</w:t>
      </w:r>
      <w:r>
        <w:t xml:space="preserve"> are considered and applied in the context of our Risk Management and Planning.</w:t>
      </w:r>
    </w:p>
    <w:p w:rsidR="000E3F18" w:rsidRDefault="002E7077" w:rsidP="000E3F18">
      <w:pPr>
        <w:ind w:left="426"/>
        <w:jc w:val="center"/>
      </w:pPr>
      <w:r>
        <w:rPr>
          <w:noProof/>
        </w:rPr>
        <w:drawing>
          <wp:inline distT="0" distB="0" distL="0" distR="0">
            <wp:extent cx="3284525" cy="29014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lience_planning 3108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90664" cy="2906901"/>
                    </a:xfrm>
                    <a:prstGeom prst="rect">
                      <a:avLst/>
                    </a:prstGeom>
                  </pic:spPr>
                </pic:pic>
              </a:graphicData>
            </a:graphic>
          </wp:inline>
        </w:drawing>
      </w:r>
    </w:p>
    <w:p w:rsidR="000E3F18" w:rsidRDefault="000E3F18" w:rsidP="00867E9B">
      <w:r>
        <w:t xml:space="preserve">Each risk or requirement is initially considered and scored to reflect the current mitigation in place and findings of any studies conducted during AMP 6.  This provides the current Resilience Score which is considered to be an indication of resilience against such risks occurring.  This is used to identify those risks to resilience where further mitigation is required to achieve an acceptable level of risk. The options for mitigation are then </w:t>
      </w:r>
      <w:r w:rsidR="001868AC">
        <w:t xml:space="preserve">reviewed, </w:t>
      </w:r>
      <w:r>
        <w:t xml:space="preserve">including any modelling or testing that is necessary.  The most cost beneficial option that reduces the Risk Score to an acceptable level is then selected as the mitigation required.  The mitigation is then incorporated into the respective delivery plan.  This </w:t>
      </w:r>
      <w:r w:rsidR="002E7077">
        <w:t>iterative and ongoing process</w:t>
      </w:r>
      <w:r>
        <w:t xml:space="preserve"> is the basis of the company’s approach to achieving resilience in both the short and long term.  It is also the bedrock of the Company’s Business Plan to ensure resilience in the round and in the long term.</w:t>
      </w:r>
    </w:p>
    <w:p w:rsidR="000E3F18" w:rsidRDefault="000E3F18" w:rsidP="00867E9B">
      <w:r>
        <w:t xml:space="preserve">The </w:t>
      </w:r>
      <w:r w:rsidR="001868AC">
        <w:t>4Rs</w:t>
      </w:r>
      <w:r>
        <w:t xml:space="preserve"> assessment was applied to our primary obligations and associated risks. This considered :</w:t>
      </w:r>
    </w:p>
    <w:p w:rsidR="000E3F18" w:rsidRDefault="000E3F18" w:rsidP="00867E9B">
      <w:pPr>
        <w:pStyle w:val="Bullets"/>
      </w:pPr>
      <w:r>
        <w:t>Adequacy of water resources in the long term</w:t>
      </w:r>
    </w:p>
    <w:p w:rsidR="000E3F18" w:rsidRDefault="000E3F18" w:rsidP="00867E9B">
      <w:pPr>
        <w:pStyle w:val="Bullets"/>
      </w:pPr>
      <w:r>
        <w:t>Maintaining water supplies</w:t>
      </w:r>
      <w:r w:rsidR="001868AC">
        <w:t>,</w:t>
      </w:r>
      <w:r>
        <w:t xml:space="preserve"> even with the loss of a major treatment works</w:t>
      </w:r>
    </w:p>
    <w:p w:rsidR="000E3F18" w:rsidRDefault="000E3F18" w:rsidP="00867E9B">
      <w:pPr>
        <w:pStyle w:val="Bullets"/>
      </w:pPr>
      <w:r>
        <w:t>Water Quality</w:t>
      </w:r>
    </w:p>
    <w:p w:rsidR="000E3F18" w:rsidRDefault="000E3F18" w:rsidP="00867E9B">
      <w:pPr>
        <w:pStyle w:val="Bullets"/>
      </w:pPr>
      <w:r>
        <w:t>Mains Networks</w:t>
      </w:r>
    </w:p>
    <w:p w:rsidR="000E3F18" w:rsidRDefault="000E3F18" w:rsidP="00867E9B">
      <w:pPr>
        <w:pStyle w:val="Bullets"/>
      </w:pPr>
      <w:r>
        <w:t xml:space="preserve">Telemetry System </w:t>
      </w:r>
    </w:p>
    <w:p w:rsidR="000E3F18" w:rsidRDefault="000E3F18" w:rsidP="00867E9B">
      <w:pPr>
        <w:pStyle w:val="Bullets"/>
      </w:pPr>
      <w:r>
        <w:t>Maintaining a good service to customers including adequacy of Commercial IT Systems</w:t>
      </w:r>
    </w:p>
    <w:p w:rsidR="000E3F18" w:rsidRDefault="000E3F18" w:rsidP="00867E9B">
      <w:pPr>
        <w:pStyle w:val="Bullets"/>
      </w:pPr>
      <w:r>
        <w:t xml:space="preserve">Environmental Protection </w:t>
      </w:r>
    </w:p>
    <w:p w:rsidR="000E3F18" w:rsidRDefault="000E3F18" w:rsidP="00867E9B">
      <w:pPr>
        <w:pStyle w:val="Bullets"/>
      </w:pPr>
      <w:r>
        <w:t>Employee Skills</w:t>
      </w:r>
    </w:p>
    <w:p w:rsidR="000E3F18" w:rsidRDefault="000E3F18" w:rsidP="00867E9B">
      <w:pPr>
        <w:pStyle w:val="Bullets"/>
      </w:pPr>
      <w:r>
        <w:t>Financial Resilience</w:t>
      </w:r>
    </w:p>
    <w:p w:rsidR="00867E9B" w:rsidRDefault="00867E9B" w:rsidP="00867E9B">
      <w:pPr>
        <w:pStyle w:val="Bullets"/>
        <w:numPr>
          <w:ilvl w:val="0"/>
          <w:numId w:val="0"/>
        </w:numPr>
        <w:ind w:left="1494"/>
      </w:pPr>
    </w:p>
    <w:p w:rsidR="000E3F18" w:rsidRDefault="000E3F18" w:rsidP="00867E9B">
      <w:r>
        <w:t>The details of how we achieve resilience with the 4R components is shown for each risk in the Risk and Resilience register (Appendix 6.2).  As shown in Appendix 6.2 our strategy has been to prevent loss of service, through “redundancy”, “resistance” and “reliability”</w:t>
      </w:r>
      <w:r w:rsidR="001868AC">
        <w:t>.  W</w:t>
      </w:r>
      <w:r>
        <w:t xml:space="preserve">e </w:t>
      </w:r>
      <w:r w:rsidR="001868AC">
        <w:t xml:space="preserve">also </w:t>
      </w:r>
      <w:r>
        <w:t xml:space="preserve">have a detailed Emergency Plan and Business Continuity Plan in place for coping and recovering from  any incident that does occur. Our Business Continuity </w:t>
      </w:r>
      <w:r w:rsidR="00193EA2">
        <w:t>P</w:t>
      </w:r>
      <w:r>
        <w:t>lan which focusses on loss and recovery of systems, people, power, telecoms, supplier</w:t>
      </w:r>
      <w:r w:rsidR="00193EA2">
        <w:t>s</w:t>
      </w:r>
      <w:r w:rsidR="006832F0">
        <w:t xml:space="preserve"> </w:t>
      </w:r>
      <w:r>
        <w:t>and key corporate buildings</w:t>
      </w:r>
      <w:r w:rsidR="00193EA2">
        <w:t>.  T</w:t>
      </w:r>
      <w:r>
        <w:t xml:space="preserve">he Operational Emergency </w:t>
      </w:r>
      <w:r w:rsidR="00193EA2">
        <w:t>P</w:t>
      </w:r>
      <w:r>
        <w:t xml:space="preserve">lan is utilised under any incident. </w:t>
      </w:r>
    </w:p>
    <w:p w:rsidR="000E3F18" w:rsidRPr="00867E9B" w:rsidRDefault="000E3F18" w:rsidP="00867E9B">
      <w:pPr>
        <w:rPr>
          <w:b/>
        </w:rPr>
      </w:pPr>
      <w:r w:rsidRPr="00867E9B">
        <w:rPr>
          <w:b/>
        </w:rPr>
        <w:t>Response and Recovery</w:t>
      </w:r>
    </w:p>
    <w:p w:rsidR="000E3F18" w:rsidRDefault="000E3F18" w:rsidP="00867E9B">
      <w:pPr>
        <w:rPr>
          <w:rFonts w:cs="Arial"/>
        </w:rPr>
      </w:pPr>
      <w:r w:rsidRPr="00BA48EE">
        <w:t xml:space="preserve">Our </w:t>
      </w:r>
      <w:r>
        <w:t>Emergency and Business Continuity Plans follow the principles of ISO22301</w:t>
      </w:r>
      <w:r w:rsidR="00193EA2">
        <w:t xml:space="preserve"> </w:t>
      </w:r>
      <w:r>
        <w:t xml:space="preserve">conforming to Security and Emergency Measured Directive (SEMD) and follow good practise in terms of anticipating, coping and recovery from events. </w:t>
      </w:r>
      <w:r w:rsidRPr="00BA48EE">
        <w:rPr>
          <w:rFonts w:cstheme="minorHAnsi"/>
          <w:szCs w:val="22"/>
        </w:rPr>
        <w:t xml:space="preserve">We routinely practice, train, review and update these </w:t>
      </w:r>
      <w:r w:rsidR="00193EA2">
        <w:rPr>
          <w:rFonts w:cstheme="minorHAnsi"/>
          <w:szCs w:val="22"/>
        </w:rPr>
        <w:t>p</w:t>
      </w:r>
      <w:r w:rsidRPr="00BA48EE">
        <w:rPr>
          <w:rFonts w:cstheme="minorHAnsi"/>
          <w:szCs w:val="22"/>
        </w:rPr>
        <w:t>lans reflecting lessons learnt and changing risks.  The Plan is routinely audited and the Board assured of its appropriateness</w:t>
      </w:r>
      <w:r>
        <w:rPr>
          <w:rFonts w:cs="Arial"/>
        </w:rPr>
        <w:t>.</w:t>
      </w:r>
    </w:p>
    <w:p w:rsidR="001564E0" w:rsidRDefault="001564E0" w:rsidP="00867E9B">
      <w:pPr>
        <w:rPr>
          <w:rFonts w:cs="Arial"/>
        </w:rPr>
      </w:pPr>
      <w:r>
        <w:rPr>
          <w:rFonts w:cs="Arial"/>
        </w:rPr>
        <w:t>As part of our process, we have an arrangement with our prime contractor to provide additional staff and we have an understanding with SEWS to share experiences and staff.</w:t>
      </w:r>
    </w:p>
    <w:p w:rsidR="000E3F18" w:rsidRDefault="000E3F18" w:rsidP="00867E9B">
      <w:pPr>
        <w:rPr>
          <w:rFonts w:cstheme="minorHAnsi"/>
          <w:szCs w:val="22"/>
        </w:rPr>
      </w:pPr>
      <w:r w:rsidRPr="00BA48EE">
        <w:rPr>
          <w:rFonts w:cstheme="minorHAnsi"/>
          <w:szCs w:val="22"/>
        </w:rPr>
        <w:t xml:space="preserve">We endeavour to report all significant incidents and invoke our Emergency Plan </w:t>
      </w:r>
      <w:r w:rsidR="00193EA2">
        <w:rPr>
          <w:rFonts w:cstheme="minorHAnsi"/>
          <w:szCs w:val="22"/>
        </w:rPr>
        <w:t xml:space="preserve">even where not strictly </w:t>
      </w:r>
      <w:r w:rsidRPr="00BA48EE">
        <w:rPr>
          <w:rFonts w:cstheme="minorHAnsi"/>
          <w:szCs w:val="22"/>
        </w:rPr>
        <w:t>necessary.  This ensures we robustly report incidents to the DWI, learn from them and enhance our Emergency Plans.</w:t>
      </w:r>
    </w:p>
    <w:p w:rsidR="000E3F18" w:rsidRPr="00BA48EE" w:rsidRDefault="000E3F18" w:rsidP="00867E9B">
      <w:pPr>
        <w:rPr>
          <w:rFonts w:cstheme="minorHAnsi"/>
        </w:rPr>
      </w:pPr>
      <w:r w:rsidRPr="00BA48EE">
        <w:rPr>
          <w:rFonts w:cstheme="minorHAnsi"/>
          <w:szCs w:val="22"/>
        </w:rPr>
        <w:t>In the past 10 years we have notified the DWI of 38 incidents.  They categorised 14 as significant, 18 minor and 6 as not significant.</w:t>
      </w:r>
      <w:r>
        <w:rPr>
          <w:rFonts w:cstheme="minorHAnsi"/>
          <w:szCs w:val="22"/>
        </w:rPr>
        <w:t xml:space="preserve"> </w:t>
      </w:r>
      <w:r w:rsidRPr="00BA48EE">
        <w:rPr>
          <w:rFonts w:cstheme="minorHAnsi"/>
        </w:rPr>
        <w:t>Additionally, we review the DWI Annual Chief Inspector’s Report learning from other companies’ incidents, including individual event assessments such as the Cryptosporidium incident at Franklaw.</w:t>
      </w:r>
    </w:p>
    <w:p w:rsidR="000E3F18" w:rsidRDefault="000E3F18" w:rsidP="00867E9B">
      <w:pPr>
        <w:rPr>
          <w:rFonts w:cstheme="minorHAnsi"/>
          <w:szCs w:val="22"/>
        </w:rPr>
      </w:pPr>
      <w:r w:rsidRPr="00BA48EE">
        <w:rPr>
          <w:rFonts w:cstheme="minorHAnsi"/>
          <w:szCs w:val="22"/>
        </w:rPr>
        <w:t xml:space="preserve">Annually we submit to the Board our assessment of company specific and industry incidents setting out lessons </w:t>
      </w:r>
      <w:r w:rsidR="00193EA2">
        <w:rPr>
          <w:rFonts w:cstheme="minorHAnsi"/>
          <w:szCs w:val="22"/>
        </w:rPr>
        <w:t>learned</w:t>
      </w:r>
      <w:r w:rsidRPr="00BA48EE">
        <w:rPr>
          <w:rFonts w:cstheme="minorHAnsi"/>
          <w:szCs w:val="22"/>
        </w:rPr>
        <w:t>, revisions to procedures and Emergency and Business Continuity Plans and where necessary, capital interventions.</w:t>
      </w:r>
      <w:r w:rsidR="00560D99">
        <w:rPr>
          <w:rFonts w:cstheme="minorHAnsi"/>
          <w:szCs w:val="22"/>
        </w:rPr>
        <w:t xml:space="preserve">  In addition there is a requirement for the Chairman or in his absence</w:t>
      </w:r>
      <w:r w:rsidR="000B525A">
        <w:rPr>
          <w:rFonts w:cstheme="minorHAnsi"/>
          <w:szCs w:val="22"/>
        </w:rPr>
        <w:t xml:space="preserve"> another Non-Executive Director to be informed on any occasion the Emergency </w:t>
      </w:r>
      <w:r w:rsidR="00193EA2">
        <w:rPr>
          <w:rFonts w:cstheme="minorHAnsi"/>
          <w:szCs w:val="22"/>
        </w:rPr>
        <w:t>P</w:t>
      </w:r>
      <w:r w:rsidR="000B525A">
        <w:rPr>
          <w:rFonts w:cstheme="minorHAnsi"/>
          <w:szCs w:val="22"/>
        </w:rPr>
        <w:t>lan is invoked.</w:t>
      </w:r>
    </w:p>
    <w:p w:rsidR="000E3F18" w:rsidRPr="00BA48EE" w:rsidRDefault="000E3F18" w:rsidP="00867E9B">
      <w:pPr>
        <w:rPr>
          <w:rFonts w:cstheme="minorHAnsi"/>
          <w:szCs w:val="22"/>
        </w:rPr>
      </w:pPr>
      <w:r w:rsidRPr="00BA48EE">
        <w:rPr>
          <w:rFonts w:cstheme="minorHAnsi"/>
          <w:szCs w:val="22"/>
        </w:rPr>
        <w:t xml:space="preserve">More recent examples of Board challenges resulting from the review of the Franklaw Cryptosporidium incident have been our preparations to deliver </w:t>
      </w:r>
      <w:r w:rsidR="00DF22C9" w:rsidRPr="00BA48EE">
        <w:rPr>
          <w:rFonts w:cstheme="minorHAnsi"/>
          <w:szCs w:val="22"/>
        </w:rPr>
        <w:t>large-scale</w:t>
      </w:r>
      <w:r w:rsidRPr="00BA48EE">
        <w:rPr>
          <w:rFonts w:cstheme="minorHAnsi"/>
          <w:szCs w:val="22"/>
        </w:rPr>
        <w:t xml:space="preserve"> quantities of bottled water and boil notices.  Our contractual arrangements are to be enhanced this year </w:t>
      </w:r>
      <w:r w:rsidR="00DF22C9" w:rsidRPr="00BA48EE">
        <w:rPr>
          <w:rFonts w:cstheme="minorHAnsi"/>
          <w:szCs w:val="22"/>
        </w:rPr>
        <w:t>because</w:t>
      </w:r>
      <w:r w:rsidRPr="00BA48EE">
        <w:rPr>
          <w:rFonts w:cstheme="minorHAnsi"/>
          <w:szCs w:val="22"/>
        </w:rPr>
        <w:t xml:space="preserve"> of this review.</w:t>
      </w:r>
    </w:p>
    <w:p w:rsidR="000E3F18" w:rsidRPr="00867E9B" w:rsidRDefault="000E3F18" w:rsidP="00867E9B">
      <w:pPr>
        <w:rPr>
          <w:b/>
        </w:rPr>
      </w:pPr>
      <w:r w:rsidRPr="00867E9B">
        <w:rPr>
          <w:b/>
        </w:rPr>
        <w:t>Power and Cyber Security</w:t>
      </w:r>
    </w:p>
    <w:p w:rsidR="000E3F18" w:rsidRDefault="000E3F18" w:rsidP="00867E9B">
      <w:r>
        <w:t xml:space="preserve">As demonstrated in the Risk and Resilience Register, we are resilient to electricity supply failures with </w:t>
      </w:r>
      <w:r w:rsidR="00193EA2">
        <w:t>s</w:t>
      </w:r>
      <w:r>
        <w:t xml:space="preserve">tandby generation or alternative power supplies at all key works. Operational equipment at our works is not connected to our </w:t>
      </w:r>
      <w:r w:rsidR="00193EA2">
        <w:t xml:space="preserve">IT </w:t>
      </w:r>
      <w:r>
        <w:t xml:space="preserve">network and therefore there is </w:t>
      </w:r>
      <w:r w:rsidR="00193EA2">
        <w:t xml:space="preserve">limited </w:t>
      </w:r>
      <w:r>
        <w:t xml:space="preserve">threat from </w:t>
      </w:r>
      <w:r w:rsidR="00DF22C9">
        <w:t>cyber-attack</w:t>
      </w:r>
      <w:r>
        <w:t>.</w:t>
      </w:r>
    </w:p>
    <w:p w:rsidR="000E3F18" w:rsidRDefault="000E3F18" w:rsidP="00867E9B">
      <w:r>
        <w:t xml:space="preserve">In this digital age, cybercrime is a significant threat to businesses and individuals around the world. We have closely monitored the increasing threat for some years and have a clear IT and Operational Technology (OT) cyber security </w:t>
      </w:r>
      <w:r w:rsidR="00193EA2">
        <w:t>policy</w:t>
      </w:r>
      <w:r>
        <w:t xml:space="preserve">.  Throughout AMP6, not only have we invested in modern, resilient IT Infrastructure and targeted OT improvements, but also a wide portfolio of security products to help us prepare for, and eradicate rapidly evolving threats.  We have also invested in the maturity of our practices, processes and human behaviours.  Our approach has enabled us to move away from traditional wide but shallow protection, toward a more intimate, focused and ultimately more effective class of prevention, detection and response.  We continue to partner with a number of world class cyber security providers, but we are by no means complacent.  Moving into AMP7 we will continue to review the ever-evolving cyber threat and identify opportunities that will enable us to remain effective, secure and improve our resilience to cybercrime. </w:t>
      </w:r>
    </w:p>
    <w:p w:rsidR="000E3F18" w:rsidRDefault="000E3F18" w:rsidP="00867E9B">
      <w:r>
        <w:t>Operational equipment at our works is not connected to our</w:t>
      </w:r>
      <w:r w:rsidR="00193EA2">
        <w:t xml:space="preserve"> IT</w:t>
      </w:r>
      <w:r>
        <w:t xml:space="preserve"> network and therefore there is </w:t>
      </w:r>
      <w:r w:rsidR="00193EA2">
        <w:t xml:space="preserve">limited </w:t>
      </w:r>
      <w:r>
        <w:t xml:space="preserve">threat from cyber- attack. We do however recognise that in future we will seek to increase efficiency by </w:t>
      </w:r>
      <w:r w:rsidR="000E0035">
        <w:t xml:space="preserve">connecting </w:t>
      </w:r>
      <w:r>
        <w:t>our networks but will do so b</w:t>
      </w:r>
      <w:r w:rsidR="000E0035">
        <w:t>y</w:t>
      </w:r>
      <w:r>
        <w:t xml:space="preserve"> deliberate design.</w:t>
      </w:r>
    </w:p>
    <w:p w:rsidR="003B0E72" w:rsidRPr="0030574F" w:rsidRDefault="003B0E72" w:rsidP="00867E9B">
      <w:pPr>
        <w:rPr>
          <w:b/>
        </w:rPr>
      </w:pPr>
      <w:r w:rsidRPr="0030574F">
        <w:rPr>
          <w:b/>
        </w:rPr>
        <w:t>Suppliers</w:t>
      </w:r>
    </w:p>
    <w:p w:rsidR="003B0E72" w:rsidRDefault="003B0E72" w:rsidP="00867E9B">
      <w:r>
        <w:t>We regularly review suppliers and assess the risks to supply.  Currently</w:t>
      </w:r>
      <w:r w:rsidR="0030574F">
        <w:t xml:space="preserve"> for</w:t>
      </w:r>
      <w:r>
        <w:t xml:space="preserve"> certain chemicals </w:t>
      </w:r>
      <w:r w:rsidR="0030574F">
        <w:t>there are only two reliable suppliers and are therefore deemed to be our highest risk.  We work with industry bodies to mitigate this risk.</w:t>
      </w:r>
    </w:p>
    <w:p w:rsidR="00793044" w:rsidRPr="00BA48EE" w:rsidRDefault="00793044" w:rsidP="00867E9B">
      <w:r>
        <w:t>We have a good relationship with our renewals contractor, who we can call on in major incidents.</w:t>
      </w:r>
    </w:p>
    <w:p w:rsidR="000E3F18" w:rsidRDefault="000E3F18" w:rsidP="00867E9B">
      <w:pPr>
        <w:pStyle w:val="Heading2"/>
      </w:pPr>
      <w:bookmarkStart w:id="149" w:name="_Toc523651292"/>
      <w:r>
        <w:t>Specific Interventions  at PR19</w:t>
      </w:r>
      <w:bookmarkEnd w:id="149"/>
    </w:p>
    <w:p w:rsidR="000E3F18" w:rsidRDefault="000E3F18" w:rsidP="00867E9B">
      <w:r>
        <w:t>During AMP6 and in support of the Company’s Business Plan a number of studies and initiatives have been undertaken, including modelling and testing where required, to consider resilience and additional requirement both in the short and long term.  These can be found in other sections of this Business Plan and/or in the Appendices.  They include:</w:t>
      </w:r>
    </w:p>
    <w:p w:rsidR="000E3F18" w:rsidRDefault="000E3F18" w:rsidP="00867E9B">
      <w:r w:rsidRPr="00543C74">
        <w:rPr>
          <w:b/>
        </w:rPr>
        <w:t>Resilience Study</w:t>
      </w:r>
      <w:r>
        <w:t xml:space="preserve"> – this concentrated on potential high impact and single point failures given that one treatment works contributes 45% of supply to customers.  A major threat to the </w:t>
      </w:r>
      <w:r w:rsidR="00193EA2">
        <w:t>C</w:t>
      </w:r>
      <w:r>
        <w:t>ompany’s treatment works is from oil spills and so the purpose of the study was to explore the most effective solution to ensure resilience to this risk and the projects include expenditure to deal with this. The study undertaken by Servelec included extensive modelling and evaluation of the Company’s supply system and distribution systems to consider short and long -term resilience to outages. Over 440 scenarios were tested with failure scenarios ranging from single to 6-point failure.  The overall conclusion was that no properties were at risk on an average day</w:t>
      </w:r>
      <w:r w:rsidR="00193EA2">
        <w:t>.  H</w:t>
      </w:r>
      <w:r>
        <w:t>owever</w:t>
      </w:r>
      <w:r w:rsidR="00193EA2">
        <w:t>,</w:t>
      </w:r>
      <w:r>
        <w:t xml:space="preserve"> at peak demand some 100,000 customers would be at risk of low pressure for up to 3 hours.  A range of options were considered, and this Business Plan includes 4 projects that will address the risk and improve resilience at a cost of £2.4m.  The projects were tested in a customer focus group and received support, </w:t>
      </w:r>
      <w:r w:rsidR="00DF22C9">
        <w:t xml:space="preserve">which </w:t>
      </w:r>
      <w:r>
        <w:t xml:space="preserve">aligns with a broader customer survey where provision of a safe and reliable supply was considered </w:t>
      </w:r>
      <w:r w:rsidR="00DF22C9">
        <w:t>the</w:t>
      </w:r>
      <w:r>
        <w:t xml:space="preserve"> highest priority. Full details of this study and the schemes included in the Business Plan </w:t>
      </w:r>
      <w:r w:rsidR="00193EA2">
        <w:t>(</w:t>
      </w:r>
      <w:r>
        <w:t>see Chapter 3.5</w:t>
      </w:r>
      <w:r w:rsidR="00193EA2">
        <w:t>)</w:t>
      </w:r>
      <w:r w:rsidR="00DF22C9">
        <w:t>.</w:t>
      </w:r>
    </w:p>
    <w:p w:rsidR="000E3F18" w:rsidRDefault="000E3F18" w:rsidP="00867E9B">
      <w:r>
        <w:rPr>
          <w:b/>
        </w:rPr>
        <w:t xml:space="preserve">Water Resource Management Plan </w:t>
      </w:r>
      <w:r>
        <w:t>– this confirms that the Company has resilience to a 1 in 300</w:t>
      </w:r>
      <w:r w:rsidR="00A77DAE">
        <w:t>-</w:t>
      </w:r>
      <w:r>
        <w:t>year drought without bulk supplies and up to a 1 in 200 year drought whilst still providing a bulk supply of up to 60Ml/d which is 25% of peak demand from our own customers.  Details of our plans are included in Chapter 3.</w:t>
      </w:r>
      <w:r w:rsidR="00A77DAE">
        <w:t>7</w:t>
      </w:r>
      <w:r>
        <w:t>, “Long term resilience of supplies for our own customers and to support the South East Region.”</w:t>
      </w:r>
    </w:p>
    <w:p w:rsidR="000E3F18" w:rsidRPr="000652A4" w:rsidRDefault="000E3F18" w:rsidP="00867E9B">
      <w:r w:rsidRPr="0047019B">
        <w:t xml:space="preserve">In preparing </w:t>
      </w:r>
      <w:r>
        <w:t>the WRMP we have considered the impacts of population growth and climate change as well as threats to the environment.</w:t>
      </w:r>
    </w:p>
    <w:p w:rsidR="000E3F18" w:rsidRDefault="000E3F18" w:rsidP="00867E9B">
      <w:r>
        <w:t xml:space="preserve">The WRMP includes a leakage reduction of 15% and a reduction in PCC to 135 l/h/d in AMP7, with an aspiration for a reduction in leakage of 30% and in PCC to 100 l/h/d by 2050. The reductions in PCC will be achieved through higher levels of metering and water efficiency measures, which are detailed in Chapter 3.6.  Both of these measures will enable us to contribute to </w:t>
      </w:r>
      <w:r w:rsidR="00DF22C9">
        <w:t>long-term</w:t>
      </w:r>
      <w:r>
        <w:t xml:space="preserve"> resilience of water resources in the south east of England as identified by the WRSE group.</w:t>
      </w:r>
    </w:p>
    <w:p w:rsidR="000E3F18" w:rsidRDefault="000E3F18" w:rsidP="00867E9B">
      <w:r>
        <w:t>Following the work with WRSE, the Company has agreed to include an increased supply to Southern Water</w:t>
      </w:r>
      <w:r w:rsidR="00DF22C9">
        <w:t>, which</w:t>
      </w:r>
      <w:r>
        <w:t xml:space="preserve"> will help to ensure the resilience of the water resources across the </w:t>
      </w:r>
      <w:r w:rsidR="000E0035">
        <w:t>S</w:t>
      </w:r>
      <w:r>
        <w:t xml:space="preserve">outh </w:t>
      </w:r>
      <w:r w:rsidR="000E0035">
        <w:t>E</w:t>
      </w:r>
      <w:r>
        <w:t xml:space="preserve">ast of England.  In the short </w:t>
      </w:r>
      <w:r w:rsidR="00DF22C9">
        <w:t>term,</w:t>
      </w:r>
      <w:r>
        <w:t xml:space="preserve"> the leakage and PCC reductions will contribute towards this. In the longer </w:t>
      </w:r>
      <w:r w:rsidR="00DF22C9">
        <w:t>term,</w:t>
      </w:r>
      <w:r>
        <w:t xml:space="preserve"> this will require us to develop a new winter storage reservoir (Havant Thicket).  This scheme is included in this Business Plan and will be undertaken in close collaboration with Southern Water.</w:t>
      </w:r>
    </w:p>
    <w:p w:rsidR="000E3F18" w:rsidRDefault="000E3F18" w:rsidP="00867E9B">
      <w:r>
        <w:t>In preparing our WRMP, we have also considered</w:t>
      </w:r>
      <w:r w:rsidR="00193EA2">
        <w:t xml:space="preserve"> as a sensitivity</w:t>
      </w:r>
      <w:r>
        <w:t>, the potential for further sustainability reductions at the River Itchen, which may arise from a WINEP study</w:t>
      </w:r>
      <w:r w:rsidR="00560D99">
        <w:t xml:space="preserve">, being undertaken in AMP7.  The results of the sensitivity indicate that whilst we are still in balance, our resilience will be reduced and this </w:t>
      </w:r>
      <w:r>
        <w:t>could affect our ability to provide bulk supplies.</w:t>
      </w:r>
    </w:p>
    <w:p w:rsidR="000E3F18" w:rsidRDefault="000E3F18" w:rsidP="00867E9B">
      <w:r>
        <w:t>The results of the work on operational resilience and water resources cannot be considered in isolation. One ensures we have enough water to be able to provide the bulk supplies and the other ensures it can be delivered when required, i.e. at peak demand.</w:t>
      </w:r>
    </w:p>
    <w:p w:rsidR="000E3F18" w:rsidRPr="00867E9B" w:rsidRDefault="000E3F18" w:rsidP="00867E9B">
      <w:pPr>
        <w:rPr>
          <w:b/>
        </w:rPr>
      </w:pPr>
      <w:r w:rsidRPr="00867E9B">
        <w:rPr>
          <w:b/>
        </w:rPr>
        <w:t>Financial Resilience Assessments</w:t>
      </w:r>
    </w:p>
    <w:p w:rsidR="000E3F18" w:rsidRDefault="000E3F18" w:rsidP="00867E9B">
      <w:pPr>
        <w:rPr>
          <w:rFonts w:cs="Arial"/>
        </w:rPr>
      </w:pPr>
      <w:r>
        <w:rPr>
          <w:rFonts w:cs="Arial"/>
        </w:rPr>
        <w:t xml:space="preserve">Financial resilience reflects our ability to avoid, cope with and recover from the financial impacts of business disruption.  We have assessed financial resilience by undertaking financial modelling of a suite of </w:t>
      </w:r>
      <w:r w:rsidR="00DF22C9">
        <w:rPr>
          <w:rFonts w:cs="Arial"/>
        </w:rPr>
        <w:t>scenarios, considering the extent to which the Company can reasonably avoid mitigate,</w:t>
      </w:r>
      <w:r>
        <w:rPr>
          <w:rFonts w:cs="Arial"/>
        </w:rPr>
        <w:t xml:space="preserve"> and recover from such financial shocks.</w:t>
      </w:r>
    </w:p>
    <w:p w:rsidR="000E3F18" w:rsidRDefault="000E3F18" w:rsidP="00867E9B">
      <w:r>
        <w:t xml:space="preserve">These scenarios are based upon relevant severe, plausible and reasonable business scenarios.  In setting the scenarios the Board reviewed in detail the Corporate Risk Register to identify appropriate operational scenarios. </w:t>
      </w:r>
    </w:p>
    <w:p w:rsidR="000E3F18" w:rsidRDefault="000E3F18" w:rsidP="00867E9B">
      <w:pPr>
        <w:rPr>
          <w:rFonts w:cs="Arial"/>
        </w:rPr>
      </w:pPr>
      <w:r>
        <w:t xml:space="preserve">We have used a 5 year period of assessment to the end of the Business Plan period </w:t>
      </w:r>
      <w:r w:rsidR="000844DD">
        <w:t>2020</w:t>
      </w:r>
      <w:r>
        <w:t>–2025.</w:t>
      </w:r>
      <w:r w:rsidRPr="00EE487A">
        <w:rPr>
          <w:rFonts w:cs="Arial"/>
        </w:rPr>
        <w:t xml:space="preserve"> </w:t>
      </w:r>
    </w:p>
    <w:p w:rsidR="000E3F18" w:rsidRDefault="000E3F18" w:rsidP="00867E9B">
      <w:r>
        <w:t xml:space="preserve">We have assessed, in our modelling, the impact on a range of metrics including the impact upon cash flow, financial ratios and key covenants.  We have also considered and included within our modelling the ability of the business to mitigate such events including factors such as operational response &amp; recovery, </w:t>
      </w:r>
      <w:r w:rsidR="005115F9">
        <w:t>capital</w:t>
      </w:r>
      <w:r>
        <w:t xml:space="preserve"> injections, borrowing facilities, insurance recovery, flexibility of operational spend and timing of dividend payments. </w:t>
      </w:r>
    </w:p>
    <w:p w:rsidR="000E3F18" w:rsidRDefault="000E3F18" w:rsidP="00867E9B">
      <w:r>
        <w:t xml:space="preserve">Having completed and reviewed our assessment of financial resilience, and the reasonableness of mitigations included, the Board has concluded that the </w:t>
      </w:r>
      <w:r w:rsidR="00DA09B6">
        <w:t>C</w:t>
      </w:r>
      <w:r>
        <w:t>ompany remains financially resilient.</w:t>
      </w:r>
    </w:p>
    <w:p w:rsidR="000E3F18" w:rsidRDefault="000E3F18" w:rsidP="00867E9B">
      <w:r>
        <w:t xml:space="preserve">Full details of our resilience evaluation are in Chapter 11 “Risk and </w:t>
      </w:r>
      <w:r w:rsidR="00DA09B6">
        <w:t>R</w:t>
      </w:r>
      <w:r>
        <w:t xml:space="preserve">eturn </w:t>
      </w:r>
      <w:r w:rsidR="00DA09B6">
        <w:t>–</w:t>
      </w:r>
      <w:r>
        <w:t>Finaceability</w:t>
      </w:r>
      <w:r w:rsidR="00DA09B6">
        <w:t>”</w:t>
      </w:r>
      <w:r w:rsidR="009A3613">
        <w:t>.</w:t>
      </w:r>
    </w:p>
    <w:p w:rsidR="000E3F18" w:rsidRDefault="000E3F18" w:rsidP="00867E9B">
      <w:pPr>
        <w:pStyle w:val="Heading2"/>
      </w:pPr>
      <w:bookmarkStart w:id="150" w:name="_Toc523651293"/>
      <w:r>
        <w:t>Our People and Skills for the Future</w:t>
      </w:r>
      <w:bookmarkEnd w:id="150"/>
    </w:p>
    <w:p w:rsidR="000E3F18" w:rsidRDefault="000E3F18" w:rsidP="00867E9B">
      <w:r>
        <w:t>Our staff provide the experience and competencies that enable us to perform and achieve the recognised excellent customer service, at the lowest price in the industry whilst minimising our environmental impact.</w:t>
      </w:r>
      <w:r w:rsidR="003D6AD7">
        <w:t xml:space="preserve">  Our approach to people is detailed in Appendix 6.8.</w:t>
      </w:r>
      <w:r>
        <w:t xml:space="preserve">  We have two significant challenges for future years.</w:t>
      </w:r>
    </w:p>
    <w:p w:rsidR="000E3F18" w:rsidRDefault="000E3F18" w:rsidP="00867E9B">
      <w:pPr>
        <w:pStyle w:val="Bullets"/>
      </w:pPr>
      <w:r>
        <w:t>Aging workforce with high retirement activity over next 3-5 years</w:t>
      </w:r>
    </w:p>
    <w:p w:rsidR="000E3F18" w:rsidRDefault="000E3F18" w:rsidP="00867E9B">
      <w:pPr>
        <w:pStyle w:val="Bullets"/>
      </w:pPr>
      <w:r>
        <w:t>Shortage of skills in the South East of England in an area of inflationary salaries</w:t>
      </w:r>
    </w:p>
    <w:p w:rsidR="00867E9B" w:rsidRDefault="00867E9B" w:rsidP="00867E9B">
      <w:pPr>
        <w:pStyle w:val="Bullets"/>
        <w:numPr>
          <w:ilvl w:val="0"/>
          <w:numId w:val="0"/>
        </w:numPr>
        <w:ind w:left="1494"/>
      </w:pPr>
    </w:p>
    <w:p w:rsidR="000E3F18" w:rsidRDefault="000E3F18" w:rsidP="00867E9B">
      <w:r>
        <w:t xml:space="preserve">In order to address </w:t>
      </w:r>
      <w:r w:rsidR="000E0035">
        <w:t xml:space="preserve">these challenges </w:t>
      </w:r>
      <w:r>
        <w:t>we are:</w:t>
      </w:r>
    </w:p>
    <w:p w:rsidR="000E3F18" w:rsidRDefault="000E3F18" w:rsidP="00867E9B">
      <w:pPr>
        <w:pStyle w:val="Bullets"/>
      </w:pPr>
      <w:r>
        <w:t>Spending £1.2m in operational training of frontline staff</w:t>
      </w:r>
    </w:p>
    <w:p w:rsidR="000E3F18" w:rsidRDefault="000E0035" w:rsidP="00867E9B">
      <w:pPr>
        <w:pStyle w:val="Bullets"/>
      </w:pPr>
      <w:r>
        <w:t xml:space="preserve">Creating </w:t>
      </w:r>
      <w:r w:rsidR="000E3F18">
        <w:t>Modern Apprenticeships across the engineering and customer service elements of the business</w:t>
      </w:r>
    </w:p>
    <w:p w:rsidR="000E3F18" w:rsidRDefault="000E3F18" w:rsidP="00867E9B">
      <w:pPr>
        <w:pStyle w:val="Bullets"/>
      </w:pPr>
      <w:r>
        <w:t xml:space="preserve">Providing the opportunity </w:t>
      </w:r>
      <w:r w:rsidR="000E0035">
        <w:t xml:space="preserve">for </w:t>
      </w:r>
      <w:r>
        <w:t xml:space="preserve">staff to complete HNC, degree and </w:t>
      </w:r>
      <w:r w:rsidR="00A77DAE">
        <w:t>master’s</w:t>
      </w:r>
      <w:r>
        <w:t xml:space="preserve"> degrees to enable progress into senior technical and operational management roles</w:t>
      </w:r>
    </w:p>
    <w:p w:rsidR="000E3F18" w:rsidRDefault="000E3F18" w:rsidP="00867E9B">
      <w:pPr>
        <w:pStyle w:val="Bullets"/>
      </w:pPr>
      <w:r>
        <w:t>Personal Development Plans with mentoring, coaching and appropriate competency testing to place staff into developmental temporary roles with the intention of taking more senior management roles</w:t>
      </w:r>
    </w:p>
    <w:p w:rsidR="000E3F18" w:rsidRDefault="000E3F18" w:rsidP="00867E9B">
      <w:pPr>
        <w:pStyle w:val="Bullets"/>
      </w:pPr>
      <w:r>
        <w:t xml:space="preserve">Supervisor and Management training using recognised NVQ and management </w:t>
      </w:r>
      <w:r w:rsidR="000E0035">
        <w:t>d</w:t>
      </w:r>
      <w:r>
        <w:t>iplomas</w:t>
      </w:r>
    </w:p>
    <w:p w:rsidR="000E3F18" w:rsidRDefault="000E3F18" w:rsidP="00867E9B">
      <w:pPr>
        <w:pStyle w:val="Bullets"/>
      </w:pPr>
      <w:r>
        <w:t xml:space="preserve">Senior </w:t>
      </w:r>
      <w:r w:rsidR="000E0035">
        <w:t>m</w:t>
      </w:r>
      <w:r>
        <w:t>anagement training using the London Business School essential leadership programme</w:t>
      </w:r>
    </w:p>
    <w:p w:rsidR="000E3F18" w:rsidRDefault="000E3F18" w:rsidP="00867E9B">
      <w:pPr>
        <w:pStyle w:val="Bullets"/>
      </w:pPr>
      <w:r>
        <w:t>Opportunistic recruitment of directly employed staff for developmental opportunities</w:t>
      </w:r>
    </w:p>
    <w:p w:rsidR="000E3F18" w:rsidRDefault="000E3F18" w:rsidP="00867E9B">
      <w:pPr>
        <w:pStyle w:val="Bullets"/>
      </w:pPr>
      <w:r>
        <w:t>Use of consultants, contractors and increasing number of highly collaborative working arrangements designed to share the difficulties of obtaining sufficient numbers of competent staff to undertake a broad range of engineering and operational activities</w:t>
      </w:r>
    </w:p>
    <w:p w:rsidR="00793044" w:rsidRDefault="00793044" w:rsidP="00867E9B">
      <w:pPr>
        <w:pStyle w:val="Bullets"/>
      </w:pPr>
      <w:r>
        <w:t>We share skills and have job swaps with Industry partners</w:t>
      </w:r>
    </w:p>
    <w:p w:rsidR="000E0035" w:rsidRDefault="000E0035" w:rsidP="000E0035">
      <w:pPr>
        <w:pStyle w:val="Bullets"/>
        <w:numPr>
          <w:ilvl w:val="0"/>
          <w:numId w:val="0"/>
        </w:numPr>
        <w:ind w:left="1494"/>
      </w:pPr>
    </w:p>
    <w:p w:rsidR="000E3F18" w:rsidRDefault="000E3F18" w:rsidP="00867E9B">
      <w:pPr>
        <w:pStyle w:val="Heading2"/>
      </w:pPr>
      <w:bookmarkStart w:id="151" w:name="_Toc523651294"/>
      <w:r>
        <w:t>Conclusions and Inclusions in Business Plan 2020-2025</w:t>
      </w:r>
      <w:bookmarkEnd w:id="151"/>
    </w:p>
    <w:p w:rsidR="000E3F18" w:rsidRDefault="000E3F18" w:rsidP="00867E9B">
      <w:r>
        <w:t>The approach to risk management and resilience has highlighted the risks with a Risk Score &gt;4 which need to be mitigated to improve the resilience of the service which Portsmouth Water provides to its customers. These are shown in the summarised version of the risk register that follows:</w:t>
      </w:r>
    </w:p>
    <w:p w:rsidR="000E3F18" w:rsidRPr="00D42944" w:rsidRDefault="000E3F18" w:rsidP="00867E9B">
      <w:pPr>
        <w:rPr>
          <w:b/>
        </w:rPr>
      </w:pPr>
      <w:r>
        <w:rPr>
          <w:b/>
        </w:rPr>
        <w:t>Main Risk and Resilience Register (Extract of PR19 Interventions)</w:t>
      </w:r>
    </w:p>
    <w:p w:rsidR="000E3F18" w:rsidRDefault="000E3F18" w:rsidP="009A3613">
      <w:pPr>
        <w:ind w:left="426"/>
        <w:jc w:val="center"/>
      </w:pPr>
      <w:r w:rsidRPr="00D42944">
        <w:rPr>
          <w:noProof/>
        </w:rPr>
        <w:drawing>
          <wp:inline distT="0" distB="0" distL="0" distR="0" wp14:anchorId="11F6DA6B" wp14:editId="4625E2F5">
            <wp:extent cx="4819650" cy="6413963"/>
            <wp:effectExtent l="0" t="0" r="0" b="635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7445" cy="6424337"/>
                    </a:xfrm>
                    <a:prstGeom prst="rect">
                      <a:avLst/>
                    </a:prstGeom>
                    <a:noFill/>
                    <a:ln>
                      <a:noFill/>
                    </a:ln>
                  </pic:spPr>
                </pic:pic>
              </a:graphicData>
            </a:graphic>
          </wp:inline>
        </w:drawing>
      </w:r>
    </w:p>
    <w:p w:rsidR="000E3F18" w:rsidRDefault="000E3F18" w:rsidP="00867E9B">
      <w:r>
        <w:t xml:space="preserve">The mitigation activity is included in the PR19 Business Plan. As can be seen, this includes the four resilience projects identified through the Resilience Study undertaken with Servelec’s support and the Havant Thicket Winter Storage Reservoir necessary for the long -term resilience of water resources in the </w:t>
      </w:r>
      <w:r w:rsidR="000E0035">
        <w:t>S</w:t>
      </w:r>
      <w:r>
        <w:t xml:space="preserve">outh </w:t>
      </w:r>
      <w:r w:rsidR="000E0035">
        <w:t>E</w:t>
      </w:r>
      <w:r>
        <w:t>ast of England.  All of these have the support of Portsmouth Water customers.</w:t>
      </w:r>
      <w:r w:rsidR="008326C2">
        <w:t xml:space="preserve">  See Appendix 6.3 and 6.4.</w:t>
      </w:r>
    </w:p>
    <w:p w:rsidR="00F71D07" w:rsidRDefault="00F71D07">
      <w:pPr>
        <w:tabs>
          <w:tab w:val="clear" w:pos="851"/>
        </w:tabs>
        <w:spacing w:after="0"/>
        <w:ind w:left="0"/>
        <w:jc w:val="left"/>
      </w:pPr>
      <w:r>
        <w:br w:type="page"/>
      </w:r>
    </w:p>
    <w:p w:rsidR="000E3F18" w:rsidRDefault="000E3F18" w:rsidP="00867E9B">
      <w:r>
        <w:t>The impact on resilience of the mitigation included in this Business Plan is illustrated below.</w:t>
      </w:r>
    </w:p>
    <w:p w:rsidR="009A3613" w:rsidRDefault="008F7E7A" w:rsidP="008F7E7A">
      <w:pPr>
        <w:jc w:val="center"/>
      </w:pPr>
      <w:r>
        <w:rPr>
          <w:noProof/>
        </w:rPr>
        <w:drawing>
          <wp:inline distT="0" distB="0" distL="0" distR="0">
            <wp:extent cx="5048250" cy="3100289"/>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ider_diagram_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62465" cy="3109019"/>
                    </a:xfrm>
                    <a:prstGeom prst="rect">
                      <a:avLst/>
                    </a:prstGeom>
                  </pic:spPr>
                </pic:pic>
              </a:graphicData>
            </a:graphic>
          </wp:inline>
        </w:drawing>
      </w:r>
    </w:p>
    <w:p w:rsidR="000E3F18" w:rsidRDefault="000E3F18" w:rsidP="00867E9B">
      <w:r>
        <w:t>The resilience of the Company’s service, particularly in the operational resilience, is shown to converge towards the centre</w:t>
      </w:r>
      <w:r w:rsidR="00495BAA">
        <w:t xml:space="preserve"> of</w:t>
      </w:r>
      <w:r>
        <w:t xml:space="preserve"> the green line being post PR19 mitigation.  This illustrates an improving level of resilience because of our Business Plan proposals.</w:t>
      </w:r>
    </w:p>
    <w:p w:rsidR="000E3F18" w:rsidRPr="0047019B" w:rsidRDefault="000E3F18" w:rsidP="00867E9B">
      <w:pPr>
        <w:rPr>
          <w:rFonts w:cs="Arial"/>
          <w:szCs w:val="22"/>
        </w:rPr>
      </w:pPr>
      <w:r>
        <w:t xml:space="preserve">The </w:t>
      </w:r>
      <w:r w:rsidR="000C1E50">
        <w:t>B</w:t>
      </w:r>
      <w:r>
        <w:t xml:space="preserve">usiness </w:t>
      </w:r>
      <w:r w:rsidR="000C1E50">
        <w:t>P</w:t>
      </w:r>
      <w:r>
        <w:t>lan has a number of ambitious ODI</w:t>
      </w:r>
      <w:r w:rsidR="000E0035">
        <w:t>s</w:t>
      </w:r>
      <w:r>
        <w:t xml:space="preserve"> relating to resilience and these highlighted in Chapter 3, and are primarily in the outcomes “Safe</w:t>
      </w:r>
      <w:r w:rsidRPr="0047019B">
        <w:rPr>
          <w:rFonts w:cs="Arial"/>
          <w:szCs w:val="22"/>
        </w:rPr>
        <w:t>, secure, and reliable supply of drinking water</w:t>
      </w:r>
      <w:r w:rsidRPr="000E0035">
        <w:rPr>
          <w:rFonts w:cs="Arial"/>
          <w:sz w:val="16"/>
          <w:szCs w:val="16"/>
        </w:rPr>
        <w:t xml:space="preserve">” </w:t>
      </w:r>
      <w:r w:rsidRPr="000E0035">
        <w:rPr>
          <w:rFonts w:cs="Arial"/>
          <w:szCs w:val="22"/>
        </w:rPr>
        <w:t>and “</w:t>
      </w:r>
      <w:r w:rsidRPr="0047019B">
        <w:rPr>
          <w:rFonts w:cs="Arial"/>
          <w:szCs w:val="22"/>
        </w:rPr>
        <w:t>Long term resilience of supplies for our own customers and to support the South East region</w:t>
      </w:r>
      <w:r>
        <w:rPr>
          <w:rFonts w:cs="Arial"/>
          <w:szCs w:val="22"/>
        </w:rPr>
        <w:t>”</w:t>
      </w:r>
      <w:r w:rsidR="00CE023A">
        <w:rPr>
          <w:rFonts w:cs="Arial"/>
          <w:szCs w:val="22"/>
        </w:rPr>
        <w:t>.</w:t>
      </w:r>
    </w:p>
    <w:p w:rsidR="00BF3530" w:rsidRPr="00453F64" w:rsidRDefault="00BF3530" w:rsidP="00BF3530">
      <w:pPr>
        <w:rPr>
          <w:rFonts w:cs="Arial"/>
          <w:color w:val="2E74B5" w:themeColor="accent1" w:themeShade="BF"/>
        </w:rPr>
      </w:pPr>
      <w:r w:rsidRPr="00453F64">
        <w:rPr>
          <w:rFonts w:cs="Arial"/>
          <w:color w:val="2E74B5" w:themeColor="accent1" w:themeShade="BF"/>
        </w:rPr>
        <w:t xml:space="preserve">Appendices relevant to this </w:t>
      </w:r>
      <w:r w:rsidR="00CE023A" w:rsidRPr="00453F64">
        <w:rPr>
          <w:rFonts w:cs="Arial"/>
          <w:color w:val="2E74B5" w:themeColor="accent1" w:themeShade="BF"/>
        </w:rPr>
        <w:t>chapter</w:t>
      </w:r>
    </w:p>
    <w:tbl>
      <w:tblPr>
        <w:tblStyle w:val="TableGrid22"/>
        <w:tblW w:w="0" w:type="auto"/>
        <w:jc w:val="center"/>
        <w:tblLook w:val="04A0" w:firstRow="1" w:lastRow="0" w:firstColumn="1" w:lastColumn="0" w:noHBand="0" w:noVBand="1"/>
      </w:tblPr>
      <w:tblGrid>
        <w:gridCol w:w="1838"/>
        <w:gridCol w:w="4173"/>
        <w:gridCol w:w="1781"/>
      </w:tblGrid>
      <w:tr w:rsidR="00BF3530" w:rsidRPr="001E0DCD" w:rsidTr="00BF3530">
        <w:trPr>
          <w:jc w:val="center"/>
        </w:trPr>
        <w:tc>
          <w:tcPr>
            <w:tcW w:w="1838" w:type="dxa"/>
            <w:shd w:val="clear" w:color="auto" w:fill="2E74B5" w:themeFill="accent1" w:themeFillShade="BF"/>
          </w:tcPr>
          <w:p w:rsidR="00BF3530" w:rsidRPr="001E0DCD" w:rsidRDefault="00BF3530" w:rsidP="00BF3530">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BF3530" w:rsidRPr="001E0DCD" w:rsidRDefault="00BF3530" w:rsidP="00BF3530">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BF3530" w:rsidRPr="001E0DCD" w:rsidRDefault="00BF3530" w:rsidP="00BF3530">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BF3530" w:rsidRPr="001E0DCD" w:rsidTr="00BF3530">
        <w:trPr>
          <w:jc w:val="center"/>
        </w:trPr>
        <w:tc>
          <w:tcPr>
            <w:tcW w:w="1838" w:type="dxa"/>
          </w:tcPr>
          <w:p w:rsidR="00BF3530" w:rsidRPr="001E0DCD" w:rsidRDefault="00BF3530" w:rsidP="00BF3530">
            <w:pPr>
              <w:tabs>
                <w:tab w:val="clear" w:pos="851"/>
              </w:tabs>
              <w:spacing w:after="0"/>
              <w:ind w:left="0"/>
              <w:jc w:val="left"/>
              <w:rPr>
                <w:rFonts w:cs="Arial"/>
                <w:sz w:val="16"/>
                <w:szCs w:val="16"/>
              </w:rPr>
            </w:pPr>
            <w:r>
              <w:rPr>
                <w:rFonts w:cs="Arial"/>
                <w:sz w:val="16"/>
                <w:szCs w:val="16"/>
              </w:rPr>
              <w:t>6.1</w:t>
            </w:r>
          </w:p>
        </w:tc>
        <w:tc>
          <w:tcPr>
            <w:tcW w:w="4173" w:type="dxa"/>
          </w:tcPr>
          <w:p w:rsidR="00BF3530" w:rsidRPr="001E0DCD" w:rsidRDefault="005C2718" w:rsidP="00BF3530">
            <w:pPr>
              <w:tabs>
                <w:tab w:val="clear" w:pos="851"/>
              </w:tabs>
              <w:spacing w:after="0"/>
              <w:ind w:left="0"/>
              <w:jc w:val="left"/>
              <w:rPr>
                <w:rFonts w:cs="Arial"/>
                <w:sz w:val="16"/>
                <w:szCs w:val="16"/>
              </w:rPr>
            </w:pPr>
            <w:r>
              <w:rPr>
                <w:rFonts w:cs="Arial"/>
                <w:sz w:val="16"/>
                <w:szCs w:val="16"/>
              </w:rPr>
              <w:t>Resilience introduction and explanation to appendices</w:t>
            </w:r>
          </w:p>
        </w:tc>
        <w:tc>
          <w:tcPr>
            <w:tcW w:w="1781" w:type="dxa"/>
          </w:tcPr>
          <w:p w:rsidR="00BF3530" w:rsidRPr="001E0DCD" w:rsidRDefault="005C2718" w:rsidP="00BF3530">
            <w:pPr>
              <w:tabs>
                <w:tab w:val="clear" w:pos="851"/>
              </w:tabs>
              <w:spacing w:after="0"/>
              <w:ind w:left="0"/>
              <w:jc w:val="left"/>
              <w:rPr>
                <w:rFonts w:cs="Arial"/>
                <w:sz w:val="16"/>
                <w:szCs w:val="16"/>
              </w:rPr>
            </w:pPr>
            <w:r>
              <w:rPr>
                <w:rFonts w:cs="Arial"/>
                <w:sz w:val="16"/>
                <w:szCs w:val="16"/>
              </w:rPr>
              <w:t>August 2018</w:t>
            </w:r>
          </w:p>
        </w:tc>
      </w:tr>
      <w:tr w:rsidR="00BF3530" w:rsidRPr="001E0DCD" w:rsidTr="00BF3530">
        <w:trPr>
          <w:jc w:val="center"/>
        </w:trPr>
        <w:tc>
          <w:tcPr>
            <w:tcW w:w="1838" w:type="dxa"/>
          </w:tcPr>
          <w:p w:rsidR="00BF3530" w:rsidRDefault="005C2718" w:rsidP="00BF3530">
            <w:pPr>
              <w:tabs>
                <w:tab w:val="clear" w:pos="851"/>
              </w:tabs>
              <w:spacing w:after="0"/>
              <w:ind w:left="0"/>
              <w:jc w:val="left"/>
              <w:rPr>
                <w:rFonts w:cs="Arial"/>
                <w:sz w:val="16"/>
                <w:szCs w:val="16"/>
              </w:rPr>
            </w:pPr>
            <w:r>
              <w:rPr>
                <w:rFonts w:cs="Arial"/>
                <w:sz w:val="16"/>
                <w:szCs w:val="16"/>
              </w:rPr>
              <w:t>6.2</w:t>
            </w:r>
          </w:p>
        </w:tc>
        <w:tc>
          <w:tcPr>
            <w:tcW w:w="4173" w:type="dxa"/>
          </w:tcPr>
          <w:p w:rsidR="00BF3530" w:rsidRDefault="005C2718" w:rsidP="00BF3530">
            <w:pPr>
              <w:tabs>
                <w:tab w:val="clear" w:pos="851"/>
              </w:tabs>
              <w:spacing w:after="0"/>
              <w:ind w:left="0"/>
              <w:jc w:val="left"/>
              <w:rPr>
                <w:rFonts w:cs="Arial"/>
                <w:sz w:val="16"/>
                <w:szCs w:val="16"/>
              </w:rPr>
            </w:pPr>
            <w:r>
              <w:rPr>
                <w:rFonts w:cs="Arial"/>
                <w:sz w:val="16"/>
                <w:szCs w:val="16"/>
              </w:rPr>
              <w:t>Risk and Resilience Register PR19</w:t>
            </w:r>
          </w:p>
        </w:tc>
        <w:tc>
          <w:tcPr>
            <w:tcW w:w="1781" w:type="dxa"/>
          </w:tcPr>
          <w:p w:rsidR="00BF3530" w:rsidRDefault="005C2718" w:rsidP="00BF3530">
            <w:pPr>
              <w:tabs>
                <w:tab w:val="clear" w:pos="851"/>
              </w:tabs>
              <w:spacing w:after="0"/>
              <w:ind w:left="0"/>
              <w:jc w:val="left"/>
              <w:rPr>
                <w:rFonts w:cs="Arial"/>
                <w:sz w:val="16"/>
                <w:szCs w:val="16"/>
              </w:rPr>
            </w:pPr>
            <w:r>
              <w:rPr>
                <w:rFonts w:cs="Arial"/>
                <w:sz w:val="16"/>
                <w:szCs w:val="16"/>
              </w:rPr>
              <w:t>August 2018</w:t>
            </w:r>
          </w:p>
        </w:tc>
      </w:tr>
      <w:tr w:rsidR="00BF3530" w:rsidRPr="001E0DCD" w:rsidTr="00BF3530">
        <w:trPr>
          <w:jc w:val="center"/>
        </w:trPr>
        <w:tc>
          <w:tcPr>
            <w:tcW w:w="1838" w:type="dxa"/>
          </w:tcPr>
          <w:p w:rsidR="00BF3530" w:rsidRDefault="005C2718" w:rsidP="00BF3530">
            <w:pPr>
              <w:tabs>
                <w:tab w:val="clear" w:pos="851"/>
              </w:tabs>
              <w:spacing w:after="0"/>
              <w:ind w:left="0"/>
              <w:jc w:val="left"/>
              <w:rPr>
                <w:rFonts w:cs="Arial"/>
                <w:sz w:val="16"/>
                <w:szCs w:val="16"/>
              </w:rPr>
            </w:pPr>
            <w:r>
              <w:rPr>
                <w:rFonts w:cs="Arial"/>
                <w:sz w:val="16"/>
                <w:szCs w:val="16"/>
              </w:rPr>
              <w:t>6.3</w:t>
            </w:r>
          </w:p>
        </w:tc>
        <w:tc>
          <w:tcPr>
            <w:tcW w:w="4173" w:type="dxa"/>
          </w:tcPr>
          <w:p w:rsidR="00BF3530" w:rsidRDefault="005C2718" w:rsidP="00BF3530">
            <w:pPr>
              <w:tabs>
                <w:tab w:val="clear" w:pos="851"/>
              </w:tabs>
              <w:spacing w:after="0"/>
              <w:ind w:left="0"/>
              <w:jc w:val="left"/>
              <w:rPr>
                <w:rFonts w:cs="Arial"/>
                <w:sz w:val="16"/>
                <w:szCs w:val="16"/>
              </w:rPr>
            </w:pPr>
            <w:r>
              <w:rPr>
                <w:rFonts w:cs="Arial"/>
                <w:sz w:val="16"/>
                <w:szCs w:val="16"/>
              </w:rPr>
              <w:t>Risk Matrix</w:t>
            </w:r>
          </w:p>
        </w:tc>
        <w:tc>
          <w:tcPr>
            <w:tcW w:w="1781" w:type="dxa"/>
          </w:tcPr>
          <w:p w:rsidR="00BF3530" w:rsidRDefault="005C2718" w:rsidP="00BF3530">
            <w:pPr>
              <w:tabs>
                <w:tab w:val="clear" w:pos="851"/>
              </w:tabs>
              <w:spacing w:after="0"/>
              <w:ind w:left="0"/>
              <w:jc w:val="left"/>
              <w:rPr>
                <w:rFonts w:cs="Arial"/>
                <w:sz w:val="16"/>
                <w:szCs w:val="16"/>
              </w:rPr>
            </w:pPr>
            <w:r>
              <w:rPr>
                <w:rFonts w:cs="Arial"/>
                <w:sz w:val="16"/>
                <w:szCs w:val="16"/>
              </w:rPr>
              <w:t>August 2018</w:t>
            </w:r>
          </w:p>
        </w:tc>
      </w:tr>
      <w:tr w:rsidR="00BF3530" w:rsidRPr="001E0DCD" w:rsidTr="00BF3530">
        <w:trPr>
          <w:jc w:val="center"/>
        </w:trPr>
        <w:tc>
          <w:tcPr>
            <w:tcW w:w="1838" w:type="dxa"/>
          </w:tcPr>
          <w:p w:rsidR="00BF3530" w:rsidRDefault="005C2718" w:rsidP="00BF3530">
            <w:pPr>
              <w:tabs>
                <w:tab w:val="clear" w:pos="851"/>
              </w:tabs>
              <w:spacing w:after="0"/>
              <w:ind w:left="0"/>
              <w:jc w:val="left"/>
              <w:rPr>
                <w:rFonts w:cs="Arial"/>
                <w:sz w:val="16"/>
                <w:szCs w:val="16"/>
              </w:rPr>
            </w:pPr>
            <w:r>
              <w:rPr>
                <w:rFonts w:cs="Arial"/>
                <w:sz w:val="16"/>
                <w:szCs w:val="16"/>
              </w:rPr>
              <w:t>6.4</w:t>
            </w:r>
          </w:p>
        </w:tc>
        <w:tc>
          <w:tcPr>
            <w:tcW w:w="4173" w:type="dxa"/>
          </w:tcPr>
          <w:p w:rsidR="00BF3530" w:rsidRDefault="005C2718" w:rsidP="00BF3530">
            <w:pPr>
              <w:tabs>
                <w:tab w:val="clear" w:pos="851"/>
              </w:tabs>
              <w:spacing w:after="0"/>
              <w:ind w:left="0"/>
              <w:jc w:val="left"/>
              <w:rPr>
                <w:rFonts w:cs="Arial"/>
                <w:sz w:val="16"/>
                <w:szCs w:val="16"/>
              </w:rPr>
            </w:pPr>
            <w:r>
              <w:rPr>
                <w:rFonts w:cs="Arial"/>
                <w:sz w:val="16"/>
                <w:szCs w:val="16"/>
              </w:rPr>
              <w:t>Risk Matrix scoring definitions</w:t>
            </w:r>
          </w:p>
        </w:tc>
        <w:tc>
          <w:tcPr>
            <w:tcW w:w="1781" w:type="dxa"/>
          </w:tcPr>
          <w:p w:rsidR="00BF3530" w:rsidRDefault="005C2718" w:rsidP="00BF3530">
            <w:pPr>
              <w:tabs>
                <w:tab w:val="clear" w:pos="851"/>
              </w:tabs>
              <w:spacing w:after="0"/>
              <w:ind w:left="0"/>
              <w:jc w:val="left"/>
              <w:rPr>
                <w:rFonts w:cs="Arial"/>
                <w:sz w:val="16"/>
                <w:szCs w:val="16"/>
              </w:rPr>
            </w:pPr>
            <w:r>
              <w:rPr>
                <w:rFonts w:cs="Arial"/>
                <w:sz w:val="16"/>
                <w:szCs w:val="16"/>
              </w:rPr>
              <w:t>August 2018</w:t>
            </w:r>
          </w:p>
        </w:tc>
      </w:tr>
      <w:tr w:rsidR="005C2718" w:rsidRPr="001E0DCD" w:rsidTr="00BF3530">
        <w:trPr>
          <w:jc w:val="center"/>
        </w:trPr>
        <w:tc>
          <w:tcPr>
            <w:tcW w:w="1838" w:type="dxa"/>
          </w:tcPr>
          <w:p w:rsidR="005C2718" w:rsidRDefault="005C2718" w:rsidP="00BF3530">
            <w:pPr>
              <w:tabs>
                <w:tab w:val="clear" w:pos="851"/>
              </w:tabs>
              <w:spacing w:after="0"/>
              <w:ind w:left="0"/>
              <w:jc w:val="left"/>
              <w:rPr>
                <w:rFonts w:cs="Arial"/>
                <w:sz w:val="16"/>
                <w:szCs w:val="16"/>
              </w:rPr>
            </w:pPr>
            <w:r>
              <w:rPr>
                <w:rFonts w:cs="Arial"/>
                <w:sz w:val="16"/>
                <w:szCs w:val="16"/>
              </w:rPr>
              <w:t>6.5</w:t>
            </w:r>
          </w:p>
        </w:tc>
        <w:tc>
          <w:tcPr>
            <w:tcW w:w="4173" w:type="dxa"/>
          </w:tcPr>
          <w:p w:rsidR="005C2718" w:rsidRDefault="005C2718" w:rsidP="005C2718">
            <w:pPr>
              <w:tabs>
                <w:tab w:val="clear" w:pos="851"/>
              </w:tabs>
              <w:spacing w:after="0"/>
              <w:ind w:left="0"/>
              <w:jc w:val="left"/>
              <w:rPr>
                <w:rFonts w:cs="Arial"/>
                <w:sz w:val="16"/>
                <w:szCs w:val="16"/>
              </w:rPr>
            </w:pPr>
            <w:r>
              <w:rPr>
                <w:rFonts w:cs="Arial"/>
                <w:sz w:val="16"/>
                <w:szCs w:val="16"/>
              </w:rPr>
              <w:t>Governance and Corporate Resilience</w:t>
            </w:r>
          </w:p>
        </w:tc>
        <w:tc>
          <w:tcPr>
            <w:tcW w:w="1781" w:type="dxa"/>
          </w:tcPr>
          <w:p w:rsidR="005C2718" w:rsidRDefault="005C2718" w:rsidP="00BF3530">
            <w:pPr>
              <w:tabs>
                <w:tab w:val="clear" w:pos="851"/>
              </w:tabs>
              <w:spacing w:after="0"/>
              <w:ind w:left="0"/>
              <w:jc w:val="left"/>
              <w:rPr>
                <w:rFonts w:cs="Arial"/>
                <w:sz w:val="16"/>
                <w:szCs w:val="16"/>
              </w:rPr>
            </w:pPr>
            <w:r>
              <w:rPr>
                <w:rFonts w:cs="Arial"/>
                <w:sz w:val="16"/>
                <w:szCs w:val="16"/>
              </w:rPr>
              <w:t>August 2018</w:t>
            </w:r>
          </w:p>
        </w:tc>
      </w:tr>
      <w:tr w:rsidR="005C2718" w:rsidRPr="001E0DCD" w:rsidTr="00BF3530">
        <w:trPr>
          <w:jc w:val="center"/>
        </w:trPr>
        <w:tc>
          <w:tcPr>
            <w:tcW w:w="1838" w:type="dxa"/>
          </w:tcPr>
          <w:p w:rsidR="005C2718" w:rsidRDefault="005C2718" w:rsidP="00BF3530">
            <w:pPr>
              <w:tabs>
                <w:tab w:val="clear" w:pos="851"/>
              </w:tabs>
              <w:spacing w:after="0"/>
              <w:ind w:left="0"/>
              <w:jc w:val="left"/>
              <w:rPr>
                <w:rFonts w:cs="Arial"/>
                <w:sz w:val="16"/>
                <w:szCs w:val="16"/>
              </w:rPr>
            </w:pPr>
            <w:r>
              <w:rPr>
                <w:rFonts w:cs="Arial"/>
                <w:sz w:val="16"/>
                <w:szCs w:val="16"/>
              </w:rPr>
              <w:t>6.6</w:t>
            </w:r>
          </w:p>
        </w:tc>
        <w:tc>
          <w:tcPr>
            <w:tcW w:w="4173" w:type="dxa"/>
          </w:tcPr>
          <w:p w:rsidR="005C2718" w:rsidRDefault="005C2718" w:rsidP="005C2718">
            <w:pPr>
              <w:tabs>
                <w:tab w:val="clear" w:pos="851"/>
              </w:tabs>
              <w:spacing w:after="0"/>
              <w:ind w:left="0"/>
              <w:jc w:val="left"/>
              <w:rPr>
                <w:rFonts w:cs="Arial"/>
                <w:sz w:val="16"/>
                <w:szCs w:val="16"/>
              </w:rPr>
            </w:pPr>
            <w:r>
              <w:rPr>
                <w:rFonts w:cs="Arial"/>
                <w:sz w:val="16"/>
                <w:szCs w:val="16"/>
              </w:rPr>
              <w:t>Licence reductions 2002-2016</w:t>
            </w:r>
          </w:p>
        </w:tc>
        <w:tc>
          <w:tcPr>
            <w:tcW w:w="1781" w:type="dxa"/>
          </w:tcPr>
          <w:p w:rsidR="005C2718" w:rsidRDefault="005C2718" w:rsidP="00BF3530">
            <w:pPr>
              <w:tabs>
                <w:tab w:val="clear" w:pos="851"/>
              </w:tabs>
              <w:spacing w:after="0"/>
              <w:ind w:left="0"/>
              <w:jc w:val="left"/>
              <w:rPr>
                <w:rFonts w:cs="Arial"/>
                <w:sz w:val="16"/>
                <w:szCs w:val="16"/>
              </w:rPr>
            </w:pPr>
            <w:r>
              <w:rPr>
                <w:rFonts w:cs="Arial"/>
                <w:sz w:val="16"/>
                <w:szCs w:val="16"/>
              </w:rPr>
              <w:t>August 2018</w:t>
            </w:r>
          </w:p>
        </w:tc>
      </w:tr>
      <w:tr w:rsidR="005C2718" w:rsidRPr="001E0DCD" w:rsidTr="00BF3530">
        <w:trPr>
          <w:jc w:val="center"/>
        </w:trPr>
        <w:tc>
          <w:tcPr>
            <w:tcW w:w="1838" w:type="dxa"/>
          </w:tcPr>
          <w:p w:rsidR="005C2718" w:rsidRDefault="005C2718" w:rsidP="00BF3530">
            <w:pPr>
              <w:tabs>
                <w:tab w:val="clear" w:pos="851"/>
              </w:tabs>
              <w:spacing w:after="0"/>
              <w:ind w:left="0"/>
              <w:jc w:val="left"/>
              <w:rPr>
                <w:rFonts w:cs="Arial"/>
                <w:sz w:val="16"/>
                <w:szCs w:val="16"/>
              </w:rPr>
            </w:pPr>
            <w:r>
              <w:rPr>
                <w:rFonts w:cs="Arial"/>
                <w:sz w:val="16"/>
                <w:szCs w:val="16"/>
              </w:rPr>
              <w:t>6.7a</w:t>
            </w:r>
          </w:p>
        </w:tc>
        <w:tc>
          <w:tcPr>
            <w:tcW w:w="4173" w:type="dxa"/>
          </w:tcPr>
          <w:p w:rsidR="005C2718" w:rsidRDefault="005C2718" w:rsidP="005C2718">
            <w:pPr>
              <w:tabs>
                <w:tab w:val="clear" w:pos="851"/>
              </w:tabs>
              <w:spacing w:after="0"/>
              <w:ind w:left="0"/>
              <w:jc w:val="left"/>
              <w:rPr>
                <w:rFonts w:cs="Arial"/>
                <w:sz w:val="16"/>
                <w:szCs w:val="16"/>
              </w:rPr>
            </w:pPr>
            <w:r>
              <w:rPr>
                <w:rFonts w:cs="Arial"/>
                <w:sz w:val="16"/>
                <w:szCs w:val="16"/>
              </w:rPr>
              <w:t>Customer Research on Resilience</w:t>
            </w:r>
          </w:p>
        </w:tc>
        <w:tc>
          <w:tcPr>
            <w:tcW w:w="1781" w:type="dxa"/>
          </w:tcPr>
          <w:p w:rsidR="005C2718" w:rsidRDefault="005C2718" w:rsidP="00BF3530">
            <w:pPr>
              <w:tabs>
                <w:tab w:val="clear" w:pos="851"/>
              </w:tabs>
              <w:spacing w:after="0"/>
              <w:ind w:left="0"/>
              <w:jc w:val="left"/>
              <w:rPr>
                <w:rFonts w:cs="Arial"/>
                <w:sz w:val="16"/>
                <w:szCs w:val="16"/>
              </w:rPr>
            </w:pPr>
            <w:r>
              <w:rPr>
                <w:rFonts w:cs="Arial"/>
                <w:sz w:val="16"/>
                <w:szCs w:val="16"/>
              </w:rPr>
              <w:t>August 2018</w:t>
            </w:r>
          </w:p>
        </w:tc>
      </w:tr>
      <w:tr w:rsidR="005C2718" w:rsidRPr="001E0DCD" w:rsidTr="00BF3530">
        <w:trPr>
          <w:jc w:val="center"/>
        </w:trPr>
        <w:tc>
          <w:tcPr>
            <w:tcW w:w="1838" w:type="dxa"/>
          </w:tcPr>
          <w:p w:rsidR="005C2718" w:rsidRDefault="005C2718" w:rsidP="00BF3530">
            <w:pPr>
              <w:tabs>
                <w:tab w:val="clear" w:pos="851"/>
              </w:tabs>
              <w:spacing w:after="0"/>
              <w:ind w:left="0"/>
              <w:jc w:val="left"/>
              <w:rPr>
                <w:rFonts w:cs="Arial"/>
                <w:sz w:val="16"/>
                <w:szCs w:val="16"/>
              </w:rPr>
            </w:pPr>
            <w:r>
              <w:rPr>
                <w:rFonts w:cs="Arial"/>
                <w:sz w:val="16"/>
                <w:szCs w:val="16"/>
              </w:rPr>
              <w:t>6.7b</w:t>
            </w:r>
          </w:p>
        </w:tc>
        <w:tc>
          <w:tcPr>
            <w:tcW w:w="4173" w:type="dxa"/>
          </w:tcPr>
          <w:p w:rsidR="005C2718" w:rsidRDefault="005C2718" w:rsidP="005C2718">
            <w:pPr>
              <w:tabs>
                <w:tab w:val="clear" w:pos="851"/>
              </w:tabs>
              <w:spacing w:after="0"/>
              <w:ind w:left="0"/>
              <w:jc w:val="left"/>
              <w:rPr>
                <w:rFonts w:cs="Arial"/>
                <w:sz w:val="16"/>
                <w:szCs w:val="16"/>
              </w:rPr>
            </w:pPr>
            <w:r>
              <w:rPr>
                <w:rFonts w:cs="Arial"/>
                <w:sz w:val="16"/>
                <w:szCs w:val="16"/>
              </w:rPr>
              <w:t>Detailed Customer Research on Resilience</w:t>
            </w:r>
          </w:p>
        </w:tc>
        <w:tc>
          <w:tcPr>
            <w:tcW w:w="1781" w:type="dxa"/>
          </w:tcPr>
          <w:p w:rsidR="005C2718" w:rsidRDefault="005C2718" w:rsidP="00BF3530">
            <w:pPr>
              <w:tabs>
                <w:tab w:val="clear" w:pos="851"/>
              </w:tabs>
              <w:spacing w:after="0"/>
              <w:ind w:left="0"/>
              <w:jc w:val="left"/>
              <w:rPr>
                <w:rFonts w:cs="Arial"/>
                <w:sz w:val="16"/>
                <w:szCs w:val="16"/>
              </w:rPr>
            </w:pPr>
            <w:r>
              <w:rPr>
                <w:rFonts w:cs="Arial"/>
                <w:sz w:val="16"/>
                <w:szCs w:val="16"/>
              </w:rPr>
              <w:t>August 2018</w:t>
            </w:r>
          </w:p>
        </w:tc>
      </w:tr>
      <w:tr w:rsidR="003D6AD7" w:rsidRPr="001E0DCD" w:rsidTr="00BF3530">
        <w:trPr>
          <w:jc w:val="center"/>
        </w:trPr>
        <w:tc>
          <w:tcPr>
            <w:tcW w:w="1838" w:type="dxa"/>
          </w:tcPr>
          <w:p w:rsidR="003D6AD7" w:rsidRDefault="003D6AD7" w:rsidP="00BF3530">
            <w:pPr>
              <w:tabs>
                <w:tab w:val="clear" w:pos="851"/>
              </w:tabs>
              <w:spacing w:after="0"/>
              <w:ind w:left="0"/>
              <w:jc w:val="left"/>
              <w:rPr>
                <w:rFonts w:cs="Arial"/>
                <w:sz w:val="16"/>
                <w:szCs w:val="16"/>
              </w:rPr>
            </w:pPr>
            <w:r>
              <w:rPr>
                <w:rFonts w:cs="Arial"/>
                <w:sz w:val="16"/>
                <w:szCs w:val="16"/>
              </w:rPr>
              <w:t>6.8</w:t>
            </w:r>
          </w:p>
        </w:tc>
        <w:tc>
          <w:tcPr>
            <w:tcW w:w="4173" w:type="dxa"/>
          </w:tcPr>
          <w:p w:rsidR="003D6AD7" w:rsidRDefault="003D6AD7" w:rsidP="005C2718">
            <w:pPr>
              <w:tabs>
                <w:tab w:val="clear" w:pos="851"/>
              </w:tabs>
              <w:spacing w:after="0"/>
              <w:ind w:left="0"/>
              <w:jc w:val="left"/>
              <w:rPr>
                <w:rFonts w:cs="Arial"/>
                <w:sz w:val="16"/>
                <w:szCs w:val="16"/>
              </w:rPr>
            </w:pPr>
            <w:r>
              <w:rPr>
                <w:rFonts w:cs="Arial"/>
                <w:sz w:val="16"/>
                <w:szCs w:val="16"/>
              </w:rPr>
              <w:t>People Strategy</w:t>
            </w:r>
          </w:p>
        </w:tc>
        <w:tc>
          <w:tcPr>
            <w:tcW w:w="1781" w:type="dxa"/>
          </w:tcPr>
          <w:p w:rsidR="003D6AD7" w:rsidRDefault="003D6AD7" w:rsidP="00BF3530">
            <w:pPr>
              <w:tabs>
                <w:tab w:val="clear" w:pos="851"/>
              </w:tabs>
              <w:spacing w:after="0"/>
              <w:ind w:left="0"/>
              <w:jc w:val="left"/>
              <w:rPr>
                <w:rFonts w:cs="Arial"/>
                <w:sz w:val="16"/>
                <w:szCs w:val="16"/>
              </w:rPr>
            </w:pPr>
            <w:r>
              <w:rPr>
                <w:rFonts w:cs="Arial"/>
                <w:sz w:val="16"/>
                <w:szCs w:val="16"/>
              </w:rPr>
              <w:t>June 2018</w:t>
            </w:r>
          </w:p>
        </w:tc>
      </w:tr>
      <w:tr w:rsidR="00892D06" w:rsidRPr="001E0DCD" w:rsidTr="00BF3530">
        <w:trPr>
          <w:jc w:val="center"/>
        </w:trPr>
        <w:tc>
          <w:tcPr>
            <w:tcW w:w="1838" w:type="dxa"/>
          </w:tcPr>
          <w:p w:rsidR="00892D06" w:rsidRDefault="00892D06" w:rsidP="00BF3530">
            <w:pPr>
              <w:tabs>
                <w:tab w:val="clear" w:pos="851"/>
              </w:tabs>
              <w:spacing w:after="0"/>
              <w:ind w:left="0"/>
              <w:jc w:val="left"/>
              <w:rPr>
                <w:rFonts w:cs="Arial"/>
                <w:sz w:val="16"/>
                <w:szCs w:val="16"/>
              </w:rPr>
            </w:pPr>
            <w:r>
              <w:rPr>
                <w:rFonts w:cs="Arial"/>
                <w:sz w:val="16"/>
                <w:szCs w:val="16"/>
              </w:rPr>
              <w:t>3.7</w:t>
            </w:r>
          </w:p>
        </w:tc>
        <w:tc>
          <w:tcPr>
            <w:tcW w:w="4173" w:type="dxa"/>
          </w:tcPr>
          <w:p w:rsidR="00892D06" w:rsidRDefault="00892D06" w:rsidP="005C2718">
            <w:pPr>
              <w:tabs>
                <w:tab w:val="clear" w:pos="851"/>
              </w:tabs>
              <w:spacing w:after="0"/>
              <w:ind w:left="0"/>
              <w:jc w:val="left"/>
              <w:rPr>
                <w:rFonts w:cs="Arial"/>
                <w:sz w:val="16"/>
                <w:szCs w:val="16"/>
              </w:rPr>
            </w:pPr>
            <w:r>
              <w:rPr>
                <w:rFonts w:cs="Arial"/>
                <w:sz w:val="16"/>
                <w:szCs w:val="16"/>
              </w:rPr>
              <w:t>WINEP3 Schemes</w:t>
            </w:r>
          </w:p>
        </w:tc>
        <w:tc>
          <w:tcPr>
            <w:tcW w:w="1781" w:type="dxa"/>
          </w:tcPr>
          <w:p w:rsidR="00892D06" w:rsidRDefault="008326C2" w:rsidP="00BF3530">
            <w:pPr>
              <w:tabs>
                <w:tab w:val="clear" w:pos="851"/>
              </w:tabs>
              <w:spacing w:after="0"/>
              <w:ind w:left="0"/>
              <w:jc w:val="left"/>
              <w:rPr>
                <w:rFonts w:cs="Arial"/>
                <w:sz w:val="16"/>
                <w:szCs w:val="16"/>
              </w:rPr>
            </w:pPr>
            <w:r>
              <w:rPr>
                <w:rFonts w:cs="Arial"/>
                <w:sz w:val="16"/>
                <w:szCs w:val="16"/>
              </w:rPr>
              <w:t>August 2018</w:t>
            </w:r>
          </w:p>
        </w:tc>
      </w:tr>
      <w:tr w:rsidR="00892D06" w:rsidRPr="001E0DCD" w:rsidTr="00BF3530">
        <w:trPr>
          <w:jc w:val="center"/>
        </w:trPr>
        <w:tc>
          <w:tcPr>
            <w:tcW w:w="1838" w:type="dxa"/>
          </w:tcPr>
          <w:p w:rsidR="00892D06" w:rsidRDefault="00892D06" w:rsidP="00BF3530">
            <w:pPr>
              <w:tabs>
                <w:tab w:val="clear" w:pos="851"/>
              </w:tabs>
              <w:spacing w:after="0"/>
              <w:ind w:left="0"/>
              <w:jc w:val="left"/>
              <w:rPr>
                <w:rFonts w:cs="Arial"/>
                <w:sz w:val="16"/>
                <w:szCs w:val="16"/>
              </w:rPr>
            </w:pPr>
            <w:r>
              <w:rPr>
                <w:rFonts w:cs="Arial"/>
                <w:sz w:val="16"/>
                <w:szCs w:val="16"/>
              </w:rPr>
              <w:t>3.8</w:t>
            </w:r>
          </w:p>
        </w:tc>
        <w:tc>
          <w:tcPr>
            <w:tcW w:w="4173" w:type="dxa"/>
          </w:tcPr>
          <w:p w:rsidR="00892D06" w:rsidRDefault="00892D06" w:rsidP="005C2718">
            <w:pPr>
              <w:tabs>
                <w:tab w:val="clear" w:pos="851"/>
              </w:tabs>
              <w:spacing w:after="0"/>
              <w:ind w:left="0"/>
              <w:jc w:val="left"/>
              <w:rPr>
                <w:rFonts w:cs="Arial"/>
                <w:sz w:val="16"/>
                <w:szCs w:val="16"/>
              </w:rPr>
            </w:pPr>
            <w:r>
              <w:rPr>
                <w:rFonts w:cs="Arial"/>
                <w:sz w:val="16"/>
                <w:szCs w:val="16"/>
              </w:rPr>
              <w:t>Portsmouth Water compliance with WISER</w:t>
            </w:r>
          </w:p>
        </w:tc>
        <w:tc>
          <w:tcPr>
            <w:tcW w:w="1781" w:type="dxa"/>
          </w:tcPr>
          <w:p w:rsidR="00892D06" w:rsidRPr="008326C2" w:rsidRDefault="008326C2" w:rsidP="00BF3530">
            <w:pPr>
              <w:tabs>
                <w:tab w:val="clear" w:pos="851"/>
              </w:tabs>
              <w:spacing w:after="0"/>
              <w:ind w:left="0"/>
              <w:jc w:val="left"/>
              <w:rPr>
                <w:rFonts w:cs="Arial"/>
                <w:sz w:val="16"/>
                <w:szCs w:val="16"/>
              </w:rPr>
            </w:pPr>
            <w:r w:rsidRPr="008326C2">
              <w:rPr>
                <w:rFonts w:cs="Arial"/>
                <w:sz w:val="16"/>
                <w:szCs w:val="16"/>
              </w:rPr>
              <w:t>August 2018</w:t>
            </w:r>
          </w:p>
        </w:tc>
      </w:tr>
      <w:tr w:rsidR="008326C2" w:rsidRPr="001E0DCD" w:rsidTr="00BF3530">
        <w:trPr>
          <w:jc w:val="center"/>
        </w:trPr>
        <w:tc>
          <w:tcPr>
            <w:tcW w:w="1838" w:type="dxa"/>
          </w:tcPr>
          <w:p w:rsidR="008326C2" w:rsidRDefault="008326C2" w:rsidP="00BF3530">
            <w:pPr>
              <w:tabs>
                <w:tab w:val="clear" w:pos="851"/>
              </w:tabs>
              <w:spacing w:after="0"/>
              <w:ind w:left="0"/>
              <w:jc w:val="left"/>
              <w:rPr>
                <w:rFonts w:cs="Arial"/>
                <w:sz w:val="16"/>
                <w:szCs w:val="16"/>
              </w:rPr>
            </w:pPr>
            <w:r>
              <w:rPr>
                <w:rFonts w:cs="Arial"/>
                <w:sz w:val="16"/>
                <w:szCs w:val="16"/>
              </w:rPr>
              <w:t>9.5.7</w:t>
            </w:r>
          </w:p>
        </w:tc>
        <w:tc>
          <w:tcPr>
            <w:tcW w:w="4173" w:type="dxa"/>
          </w:tcPr>
          <w:p w:rsidR="008326C2" w:rsidRDefault="008326C2" w:rsidP="005C2718">
            <w:pPr>
              <w:tabs>
                <w:tab w:val="clear" w:pos="851"/>
              </w:tabs>
              <w:spacing w:after="0"/>
              <w:ind w:left="0"/>
              <w:jc w:val="left"/>
              <w:rPr>
                <w:rFonts w:cs="Arial"/>
                <w:sz w:val="16"/>
                <w:szCs w:val="16"/>
              </w:rPr>
            </w:pPr>
            <w:r>
              <w:rPr>
                <w:rFonts w:cs="Arial"/>
                <w:sz w:val="16"/>
                <w:szCs w:val="16"/>
              </w:rPr>
              <w:t>AMP7 PPA 1102 Resilience Schemes</w:t>
            </w:r>
          </w:p>
        </w:tc>
        <w:tc>
          <w:tcPr>
            <w:tcW w:w="1781" w:type="dxa"/>
          </w:tcPr>
          <w:p w:rsidR="008326C2" w:rsidRPr="008326C2" w:rsidRDefault="00BA1427" w:rsidP="00BF3530">
            <w:pPr>
              <w:tabs>
                <w:tab w:val="clear" w:pos="851"/>
              </w:tabs>
              <w:spacing w:after="0"/>
              <w:ind w:left="0"/>
              <w:jc w:val="left"/>
              <w:rPr>
                <w:rFonts w:cs="Arial"/>
                <w:sz w:val="16"/>
                <w:szCs w:val="16"/>
              </w:rPr>
            </w:pPr>
            <w:r>
              <w:rPr>
                <w:rFonts w:cs="Arial"/>
                <w:sz w:val="16"/>
                <w:szCs w:val="16"/>
              </w:rPr>
              <w:t>April 2018</w:t>
            </w:r>
          </w:p>
        </w:tc>
      </w:tr>
      <w:tr w:rsidR="008326C2" w:rsidRPr="001E0DCD" w:rsidTr="00BF3530">
        <w:trPr>
          <w:jc w:val="center"/>
        </w:trPr>
        <w:tc>
          <w:tcPr>
            <w:tcW w:w="1838" w:type="dxa"/>
          </w:tcPr>
          <w:p w:rsidR="008326C2" w:rsidRDefault="008326C2" w:rsidP="00BF3530">
            <w:pPr>
              <w:tabs>
                <w:tab w:val="clear" w:pos="851"/>
              </w:tabs>
              <w:spacing w:after="0"/>
              <w:ind w:left="0"/>
              <w:jc w:val="left"/>
              <w:rPr>
                <w:rFonts w:cs="Arial"/>
                <w:sz w:val="16"/>
                <w:szCs w:val="16"/>
              </w:rPr>
            </w:pPr>
            <w:r>
              <w:rPr>
                <w:rFonts w:cs="Arial"/>
                <w:sz w:val="16"/>
                <w:szCs w:val="16"/>
              </w:rPr>
              <w:t>9.8.4.1</w:t>
            </w:r>
          </w:p>
        </w:tc>
        <w:tc>
          <w:tcPr>
            <w:tcW w:w="4173" w:type="dxa"/>
          </w:tcPr>
          <w:p w:rsidR="008326C2" w:rsidRDefault="008326C2" w:rsidP="005C2718">
            <w:pPr>
              <w:tabs>
                <w:tab w:val="clear" w:pos="851"/>
              </w:tabs>
              <w:spacing w:after="0"/>
              <w:ind w:left="0"/>
              <w:jc w:val="left"/>
              <w:rPr>
                <w:rFonts w:cs="Arial"/>
                <w:sz w:val="16"/>
                <w:szCs w:val="16"/>
              </w:rPr>
            </w:pPr>
            <w:r>
              <w:rPr>
                <w:rFonts w:cs="Arial"/>
                <w:sz w:val="16"/>
                <w:szCs w:val="16"/>
              </w:rPr>
              <w:t>AMP7 Servelec MISER Resilience Modelling</w:t>
            </w:r>
          </w:p>
        </w:tc>
        <w:tc>
          <w:tcPr>
            <w:tcW w:w="1781" w:type="dxa"/>
          </w:tcPr>
          <w:p w:rsidR="008326C2" w:rsidRPr="008326C2" w:rsidRDefault="00BA1427" w:rsidP="00BF3530">
            <w:pPr>
              <w:tabs>
                <w:tab w:val="clear" w:pos="851"/>
              </w:tabs>
              <w:spacing w:after="0"/>
              <w:ind w:left="0"/>
              <w:jc w:val="left"/>
              <w:rPr>
                <w:rFonts w:cs="Arial"/>
                <w:sz w:val="16"/>
                <w:szCs w:val="16"/>
              </w:rPr>
            </w:pPr>
            <w:r>
              <w:rPr>
                <w:rFonts w:cs="Arial"/>
                <w:sz w:val="16"/>
                <w:szCs w:val="16"/>
              </w:rPr>
              <w:t>September 2017</w:t>
            </w:r>
          </w:p>
        </w:tc>
      </w:tr>
      <w:tr w:rsidR="008326C2" w:rsidRPr="001E0DCD" w:rsidTr="00BF3530">
        <w:trPr>
          <w:jc w:val="center"/>
        </w:trPr>
        <w:tc>
          <w:tcPr>
            <w:tcW w:w="1838" w:type="dxa"/>
          </w:tcPr>
          <w:p w:rsidR="008326C2" w:rsidRDefault="008326C2" w:rsidP="00BF3530">
            <w:pPr>
              <w:tabs>
                <w:tab w:val="clear" w:pos="851"/>
              </w:tabs>
              <w:spacing w:after="0"/>
              <w:ind w:left="0"/>
              <w:jc w:val="left"/>
              <w:rPr>
                <w:rFonts w:cs="Arial"/>
                <w:sz w:val="16"/>
                <w:szCs w:val="16"/>
              </w:rPr>
            </w:pPr>
            <w:r>
              <w:rPr>
                <w:rFonts w:cs="Arial"/>
                <w:sz w:val="16"/>
                <w:szCs w:val="16"/>
              </w:rPr>
              <w:t>9.9.2.2</w:t>
            </w:r>
          </w:p>
        </w:tc>
        <w:tc>
          <w:tcPr>
            <w:tcW w:w="4173" w:type="dxa"/>
          </w:tcPr>
          <w:p w:rsidR="008326C2" w:rsidRDefault="008326C2" w:rsidP="005C2718">
            <w:pPr>
              <w:tabs>
                <w:tab w:val="clear" w:pos="851"/>
              </w:tabs>
              <w:spacing w:after="0"/>
              <w:ind w:left="0"/>
              <w:jc w:val="left"/>
              <w:rPr>
                <w:rFonts w:cs="Arial"/>
                <w:sz w:val="16"/>
                <w:szCs w:val="16"/>
              </w:rPr>
            </w:pPr>
            <w:r>
              <w:rPr>
                <w:rFonts w:cs="Arial"/>
                <w:sz w:val="16"/>
                <w:szCs w:val="16"/>
              </w:rPr>
              <w:t>AMP7 TDS S795 10 MISER Criticality Modelling</w:t>
            </w:r>
          </w:p>
        </w:tc>
        <w:tc>
          <w:tcPr>
            <w:tcW w:w="1781" w:type="dxa"/>
          </w:tcPr>
          <w:p w:rsidR="008326C2" w:rsidRPr="008326C2" w:rsidRDefault="00BA1427" w:rsidP="00BF3530">
            <w:pPr>
              <w:tabs>
                <w:tab w:val="clear" w:pos="851"/>
              </w:tabs>
              <w:spacing w:after="0"/>
              <w:ind w:left="0"/>
              <w:jc w:val="left"/>
              <w:rPr>
                <w:rFonts w:cs="Arial"/>
                <w:sz w:val="16"/>
                <w:szCs w:val="16"/>
              </w:rPr>
            </w:pPr>
            <w:r>
              <w:rPr>
                <w:rFonts w:cs="Arial"/>
                <w:sz w:val="16"/>
                <w:szCs w:val="16"/>
              </w:rPr>
              <w:t>June 2017</w:t>
            </w:r>
          </w:p>
        </w:tc>
      </w:tr>
    </w:tbl>
    <w:p w:rsidR="00E462F6" w:rsidRDefault="00E462F6">
      <w:pPr>
        <w:tabs>
          <w:tab w:val="clear" w:pos="851"/>
        </w:tabs>
        <w:spacing w:after="0"/>
        <w:ind w:left="0"/>
        <w:jc w:val="left"/>
      </w:pPr>
    </w:p>
    <w:p w:rsidR="008B3495" w:rsidRDefault="008B3495">
      <w:pPr>
        <w:tabs>
          <w:tab w:val="clear" w:pos="851"/>
        </w:tabs>
        <w:spacing w:after="0"/>
        <w:ind w:left="0"/>
        <w:jc w:val="left"/>
      </w:pPr>
      <w:r>
        <w:br w:type="page"/>
      </w:r>
    </w:p>
    <w:p w:rsidR="00A73A0F" w:rsidRDefault="00A73A0F" w:rsidP="0005234B">
      <w:pPr>
        <w:pStyle w:val="Heading1"/>
      </w:pPr>
      <w:bookmarkStart w:id="152" w:name="_Toc522200010"/>
      <w:bookmarkStart w:id="153" w:name="_Toc522200107"/>
      <w:bookmarkStart w:id="154" w:name="_Toc523651295"/>
      <w:r>
        <w:t>Innovation</w:t>
      </w:r>
      <w:bookmarkEnd w:id="152"/>
      <w:bookmarkEnd w:id="153"/>
      <w:bookmarkEnd w:id="154"/>
    </w:p>
    <w:p w:rsidR="009A5C18" w:rsidRPr="009A5C18" w:rsidRDefault="009A5C18" w:rsidP="009A5C18">
      <w:r w:rsidRPr="009A5C18">
        <w:t>As part of its strategic goals, the Board seek to promote a culture that is innovative, vibrant and open to change. It recognises that innovation is a critical enabler in delivering Outcomes for customers, the environment and the region.  We demonstrate a sound track record of delivering innovative solutions and promoting a culture of innovation.  We know that further innovation will be a critical part of delivering our Business Plan.</w:t>
      </w:r>
    </w:p>
    <w:p w:rsidR="009A5C18" w:rsidRPr="009A5C18" w:rsidRDefault="009A5C18" w:rsidP="009A5C18">
      <w:r w:rsidRPr="009A5C18">
        <w:t xml:space="preserve">This </w:t>
      </w:r>
      <w:r w:rsidR="0005234B">
        <w:t>chapter</w:t>
      </w:r>
      <w:r w:rsidR="00BD13AB">
        <w:t xml:space="preserve"> </w:t>
      </w:r>
      <w:r w:rsidRPr="009A5C18">
        <w:t xml:space="preserve">summarises how we have embedded, and will drive forwards, this innovative culture through the business and into our wider business relationships.  It gives case studies of past innovation and supports a range of areas where innovation will help deliver the </w:t>
      </w:r>
      <w:r w:rsidR="000E0035">
        <w:t>this plan</w:t>
      </w:r>
      <w:r w:rsidRPr="009A5C18">
        <w:t xml:space="preserve">. </w:t>
      </w:r>
    </w:p>
    <w:p w:rsidR="009A5C18" w:rsidRPr="009A5C18" w:rsidRDefault="009A5C18" w:rsidP="009A5C18">
      <w:r w:rsidRPr="009A5C18">
        <w:t xml:space="preserve">This approach has </w:t>
      </w:r>
      <w:r w:rsidR="00BD13AB">
        <w:t xml:space="preserve">been recognised with </w:t>
      </w:r>
      <w:r w:rsidRPr="009A5C18">
        <w:t>two industry awards for innovation.</w:t>
      </w:r>
    </w:p>
    <w:p w:rsidR="00C63A37" w:rsidRPr="00E95675" w:rsidRDefault="00C63A37" w:rsidP="00A31474">
      <w:pPr>
        <w:pStyle w:val="Heading2"/>
      </w:pPr>
      <w:bookmarkStart w:id="155" w:name="_Toc522200011"/>
      <w:bookmarkStart w:id="156" w:name="_Toc522200108"/>
      <w:bookmarkStart w:id="157" w:name="_Toc523651296"/>
      <w:r w:rsidRPr="00E95675">
        <w:t xml:space="preserve">Innovative Culture; </w:t>
      </w:r>
      <w:r w:rsidR="00A31474">
        <w:t>S</w:t>
      </w:r>
      <w:r w:rsidRPr="00E95675">
        <w:t>ystems</w:t>
      </w:r>
      <w:r w:rsidR="00A31474">
        <w:t xml:space="preserve"> and P</w:t>
      </w:r>
      <w:r w:rsidRPr="00E95675">
        <w:t>rocesses</w:t>
      </w:r>
      <w:bookmarkEnd w:id="155"/>
      <w:bookmarkEnd w:id="156"/>
      <w:bookmarkEnd w:id="157"/>
    </w:p>
    <w:p w:rsidR="009A5C18" w:rsidRDefault="009A5C18" w:rsidP="009A5C18">
      <w:r>
        <w:t>There has been a long-standing culture of innovation and learning in our business.  With a relatively small workforce and flat operating structure, it is easier for novel approaches to be shared informally.</w:t>
      </w:r>
      <w:r w:rsidRPr="000059A2">
        <w:t xml:space="preserve"> </w:t>
      </w:r>
      <w:r>
        <w:t xml:space="preserve"> Staff here really care about the service they provide to customers and are very focused on continually improving it</w:t>
      </w:r>
      <w:r w:rsidR="000A7A9A">
        <w:t xml:space="preserve"> (this is evidenced by the results of surveys by the Institute of Customer Service)</w:t>
      </w:r>
      <w:r>
        <w:t>.  This, less formal, approach is particularly effective where the business can use innovation for simple or low cost “quick wins”.  There are also formal processes for reviewing and approving more significant business investments in innovation, which are part of our corporate governance processes.</w:t>
      </w:r>
    </w:p>
    <w:p w:rsidR="009A5C18" w:rsidRDefault="009A5C18" w:rsidP="009A5C18">
      <w:r w:rsidRPr="001C449A">
        <w:t>To allow innovation to flourish,</w:t>
      </w:r>
      <w:r>
        <w:t xml:space="preserve"> in 2017 we established the Business Improvement Group (“BIG”)</w:t>
      </w:r>
      <w:r w:rsidRPr="001C449A">
        <w:t xml:space="preserve"> a forum where ideas can be raised, evaluated, tested and</w:t>
      </w:r>
      <w:r>
        <w:t xml:space="preserve"> progressed in a structured way</w:t>
      </w:r>
      <w:r w:rsidRPr="001C449A">
        <w:t xml:space="preserve">. </w:t>
      </w:r>
      <w:r>
        <w:t xml:space="preserve"> The group</w:t>
      </w:r>
      <w:r w:rsidRPr="001C449A">
        <w:t xml:space="preserve"> has senior representatives from all key internal disciplines and </w:t>
      </w:r>
      <w:r>
        <w:t>business systems analysts</w:t>
      </w:r>
      <w:r w:rsidRPr="001C449A">
        <w:t>.</w:t>
      </w:r>
      <w:r>
        <w:t xml:space="preserve">  It also has its own discretionary budget allowance.</w:t>
      </w:r>
    </w:p>
    <w:p w:rsidR="009A5C18" w:rsidRDefault="009A5C18" w:rsidP="009A5C18">
      <w:r>
        <w:t>Anyone with ideas for the business may submit a business case.</w:t>
      </w:r>
      <w:r w:rsidRPr="001C449A">
        <w:t xml:space="preserve"> </w:t>
      </w:r>
      <w:r>
        <w:t xml:space="preserve"> This is then subject to business analysis, using a standardised approach</w:t>
      </w:r>
      <w:r w:rsidRPr="001C449A">
        <w:t>, which considers stakeholders, wider business impacts, effort to deliver and the benefits to customers and any business efficiency gains.</w:t>
      </w:r>
      <w:r>
        <w:t xml:space="preserve">  </w:t>
      </w:r>
      <w:r w:rsidRPr="001C449A">
        <w:t>The best i</w:t>
      </w:r>
      <w:r>
        <w:t>deas are prioritised by the BIG,</w:t>
      </w:r>
      <w:r w:rsidRPr="001C449A">
        <w:t xml:space="preserve"> who monitor them from inception through to an assessment of the benefi</w:t>
      </w:r>
      <w:r>
        <w:t>ts realized.  The Executive t</w:t>
      </w:r>
      <w:r w:rsidRPr="001C449A">
        <w:t>eam review progress against the BIG list weekly and the Board 6 monthly</w:t>
      </w:r>
      <w:r>
        <w:t>.</w:t>
      </w:r>
    </w:p>
    <w:p w:rsidR="009A5C18" w:rsidRDefault="009A5C18" w:rsidP="009A5C18">
      <w:r>
        <w:t>We have acknowledged that a</w:t>
      </w:r>
      <w:r w:rsidRPr="001C449A">
        <w:t xml:space="preserve"> culture accepting that some failure </w:t>
      </w:r>
      <w:r w:rsidR="000A7A9A">
        <w:t>will happen</w:t>
      </w:r>
      <w:r w:rsidRPr="001C449A">
        <w:t xml:space="preserve">, as long as this is </w:t>
      </w:r>
      <w:r>
        <w:t xml:space="preserve">followed </w:t>
      </w:r>
      <w:r w:rsidR="00AF7665">
        <w:t>by</w:t>
      </w:r>
      <w:r w:rsidR="00AF7665" w:rsidRPr="001C449A">
        <w:t xml:space="preserve"> a</w:t>
      </w:r>
      <w:r w:rsidRPr="001C449A">
        <w:t xml:space="preserve"> robust lessons learnt </w:t>
      </w:r>
      <w:r>
        <w:t>process, is fundamentally important to enable innovation.  As such the BIG process together with other business developments including incidents and events, are subject to post evaluation review.</w:t>
      </w:r>
      <w:r w:rsidRPr="00A01152">
        <w:t xml:space="preserve"> </w:t>
      </w:r>
      <w:r>
        <w:t xml:space="preserve"> This focuses on both learning lessons from things that may not have gone to plan as well as celebrating and recognising success factors.</w:t>
      </w:r>
    </w:p>
    <w:p w:rsidR="009A5C18" w:rsidRPr="009D699D" w:rsidRDefault="009A5C18" w:rsidP="009A5C18">
      <w:r w:rsidRPr="009D699D">
        <w:t xml:space="preserve">The company also stimulates innovation through a number of </w:t>
      </w:r>
      <w:r>
        <w:t xml:space="preserve">internal </w:t>
      </w:r>
      <w:r w:rsidRPr="009D699D">
        <w:t>groups and processes.</w:t>
      </w:r>
    </w:p>
    <w:p w:rsidR="009A5C18" w:rsidRPr="009D699D" w:rsidRDefault="009A5C18" w:rsidP="009A5C18">
      <w:pPr>
        <w:pStyle w:val="Bullets"/>
      </w:pPr>
      <w:r w:rsidRPr="009D699D">
        <w:t>Lessons learnt session following operational events</w:t>
      </w:r>
    </w:p>
    <w:p w:rsidR="009A5C18" w:rsidRPr="009D699D" w:rsidRDefault="009A5C18" w:rsidP="009A5C18">
      <w:pPr>
        <w:pStyle w:val="Bullets"/>
      </w:pPr>
      <w:r w:rsidRPr="009D699D">
        <w:t>Company complaints review panel.</w:t>
      </w:r>
    </w:p>
    <w:p w:rsidR="009A5C18" w:rsidRPr="009D699D" w:rsidRDefault="009A5C18" w:rsidP="009A5C18">
      <w:pPr>
        <w:pStyle w:val="Bullets"/>
      </w:pPr>
      <w:r w:rsidRPr="009D699D">
        <w:t>SIM survey call analysis – lessons learnt session focused on all dissatisfied call evaluations.</w:t>
      </w:r>
    </w:p>
    <w:p w:rsidR="009A5C18" w:rsidRPr="009D699D" w:rsidRDefault="009A5C18" w:rsidP="009A5C18">
      <w:pPr>
        <w:pStyle w:val="Bullets"/>
      </w:pPr>
      <w:r w:rsidRPr="009D699D">
        <w:t>Monthly operational quality and lessons learnt sessions</w:t>
      </w:r>
    </w:p>
    <w:p w:rsidR="009A5C18" w:rsidRPr="009D699D" w:rsidRDefault="009A5C18" w:rsidP="009A5C18">
      <w:pPr>
        <w:pStyle w:val="Bullets"/>
      </w:pPr>
      <w:r w:rsidRPr="009D699D">
        <w:t>Risk &amp; opportunity meeting agenda items</w:t>
      </w:r>
    </w:p>
    <w:p w:rsidR="009A5C18" w:rsidRDefault="009A5C18" w:rsidP="009A5C18">
      <w:pPr>
        <w:pStyle w:val="Bullets"/>
      </w:pPr>
      <w:r w:rsidRPr="009D699D">
        <w:t>Weekly managers meeting – business change agenda item</w:t>
      </w:r>
    </w:p>
    <w:p w:rsidR="009A5C18" w:rsidRPr="009D699D" w:rsidRDefault="009A5C18" w:rsidP="009A5C18">
      <w:pPr>
        <w:pStyle w:val="Bullets"/>
      </w:pPr>
      <w:r>
        <w:t xml:space="preserve">The use of </w:t>
      </w:r>
      <w:r w:rsidR="00AF7665">
        <w:t>cross-functional</w:t>
      </w:r>
      <w:r>
        <w:t xml:space="preserve"> teams on certain projects to stimulate idea. </w:t>
      </w:r>
    </w:p>
    <w:p w:rsidR="009A5C18" w:rsidRPr="00A01152" w:rsidRDefault="009A5C18" w:rsidP="009A5C18">
      <w:pPr>
        <w:pStyle w:val="Bullets"/>
        <w:numPr>
          <w:ilvl w:val="0"/>
          <w:numId w:val="0"/>
        </w:numPr>
        <w:ind w:left="1848"/>
        <w:rPr>
          <w:highlight w:val="yellow"/>
        </w:rPr>
      </w:pPr>
    </w:p>
    <w:p w:rsidR="009A5C18" w:rsidRDefault="009A5C18" w:rsidP="009A5C18">
      <w:r>
        <w:t>We will continue to strengthen this culture of business improvemen</w:t>
      </w:r>
      <w:r w:rsidR="000A7A9A">
        <w:t>t and innovation throughout AMP7</w:t>
      </w:r>
      <w:r>
        <w:t>.  An essential element of this is ensuring that we effectively communicate the Company’s strategic vision and success factors, which we do across many channels in the business.</w:t>
      </w:r>
    </w:p>
    <w:p w:rsidR="00C63A37" w:rsidRPr="00E95675" w:rsidRDefault="00C63A37" w:rsidP="00A31474">
      <w:pPr>
        <w:pStyle w:val="Heading2"/>
      </w:pPr>
      <w:bookmarkStart w:id="158" w:name="_Toc522200012"/>
      <w:bookmarkStart w:id="159" w:name="_Toc522200109"/>
      <w:bookmarkStart w:id="160" w:name="_Toc523651297"/>
      <w:r w:rsidRPr="00E95675">
        <w:t>Innovative Culture; people</w:t>
      </w:r>
      <w:bookmarkEnd w:id="158"/>
      <w:bookmarkEnd w:id="159"/>
      <w:bookmarkEnd w:id="160"/>
    </w:p>
    <w:p w:rsidR="009A5C18" w:rsidRPr="009A5C18" w:rsidRDefault="009A5C18" w:rsidP="009A5C18">
      <w:r w:rsidRPr="009A5C18">
        <w:t>Delivering innovation as a business, whilst supported by our systems &amp; process</w:t>
      </w:r>
      <w:r w:rsidR="000E0035">
        <w:t>es</w:t>
      </w:r>
      <w:r w:rsidRPr="009A5C18">
        <w:t xml:space="preserve"> and encouraged by the culture is ultimately down to the people who work within the business.</w:t>
      </w:r>
    </w:p>
    <w:p w:rsidR="00C63A37" w:rsidRDefault="00C63A37" w:rsidP="00A31474">
      <w:pPr>
        <w:pStyle w:val="Heading3"/>
      </w:pPr>
      <w:bookmarkStart w:id="161" w:name="_Toc522200013"/>
      <w:bookmarkStart w:id="162" w:name="_Toc522200110"/>
      <w:bookmarkStart w:id="163" w:name="_Toc523651298"/>
      <w:r>
        <w:t>Inform</w:t>
      </w:r>
      <w:bookmarkEnd w:id="161"/>
      <w:bookmarkEnd w:id="162"/>
      <w:bookmarkEnd w:id="163"/>
    </w:p>
    <w:p w:rsidR="009A5C18" w:rsidRDefault="009A5C18" w:rsidP="009A5C18">
      <w:r>
        <w:t>We keep people up to date with new ideas and innovations inside and outside the water industry in a number of ways:</w:t>
      </w:r>
    </w:p>
    <w:p w:rsidR="009A5C18" w:rsidRDefault="009A5C18" w:rsidP="009A5C18">
      <w:pPr>
        <w:pStyle w:val="Bullets"/>
      </w:pPr>
      <w:r>
        <w:t>Staff attending conferences throughout the year and maintaining a great network of contacts. This includes the Institute of Water annual conference where we regularly send 3% of our workforce. Innovation is often a key theme of the conference</w:t>
      </w:r>
    </w:p>
    <w:p w:rsidR="009A5C18" w:rsidRDefault="009A5C18" w:rsidP="009A5C18">
      <w:pPr>
        <w:pStyle w:val="Bullets"/>
      </w:pPr>
      <w:r>
        <w:t>We are represented at regular industry innovation conferences</w:t>
      </w:r>
    </w:p>
    <w:p w:rsidR="009A5C18" w:rsidRDefault="009A5C18" w:rsidP="009A5C18">
      <w:pPr>
        <w:pStyle w:val="Bullets"/>
      </w:pPr>
      <w:r>
        <w:t>Funding and participation in UKWIR R&amp;D projects</w:t>
      </w:r>
      <w:r w:rsidR="000A7A9A">
        <w:t>. An Executive Director is also an UKWIR Board member.</w:t>
      </w:r>
    </w:p>
    <w:p w:rsidR="009A5C18" w:rsidRDefault="009A5C18" w:rsidP="009A5C18">
      <w:pPr>
        <w:pStyle w:val="Bullets"/>
      </w:pPr>
      <w:r>
        <w:t>Collaborative workshops and presentations with British Water, focused on innovative technologies</w:t>
      </w:r>
    </w:p>
    <w:p w:rsidR="009A5C18" w:rsidRDefault="009A5C18" w:rsidP="009A5C18">
      <w:pPr>
        <w:pStyle w:val="Bullets"/>
      </w:pPr>
      <w:r>
        <w:t>Support for staff in gaining professional registration with relevant institutes, as well as continuing participation within chartered institutes.</w:t>
      </w:r>
    </w:p>
    <w:p w:rsidR="009A5C18" w:rsidRDefault="009A5C18" w:rsidP="009A5C18">
      <w:pPr>
        <w:pStyle w:val="Bullets"/>
      </w:pPr>
      <w:r w:rsidRPr="00A25B3A">
        <w:t>Annual contractor innovation days</w:t>
      </w:r>
    </w:p>
    <w:p w:rsidR="009A5C18" w:rsidRDefault="009A5C18" w:rsidP="009A5C18">
      <w:pPr>
        <w:pStyle w:val="Bullets"/>
      </w:pPr>
      <w:r>
        <w:t>Participation in external research activity</w:t>
      </w:r>
    </w:p>
    <w:p w:rsidR="000A7A9A" w:rsidRDefault="000A7A9A" w:rsidP="009A5C18">
      <w:pPr>
        <w:pStyle w:val="Bullets"/>
      </w:pPr>
      <w:r>
        <w:t>Industry workshops focusing on environmental performance (eg annual CAR event).</w:t>
      </w:r>
    </w:p>
    <w:p w:rsidR="009A5C18" w:rsidRPr="00A25B3A" w:rsidRDefault="009A5C18" w:rsidP="009A5C18">
      <w:pPr>
        <w:pStyle w:val="Bullets"/>
        <w:numPr>
          <w:ilvl w:val="0"/>
          <w:numId w:val="0"/>
        </w:numPr>
        <w:ind w:left="1134"/>
      </w:pPr>
    </w:p>
    <w:p w:rsidR="00C63A37" w:rsidRDefault="00C63A37" w:rsidP="00A31474">
      <w:pPr>
        <w:pStyle w:val="Heading3"/>
      </w:pPr>
      <w:bookmarkStart w:id="164" w:name="_Toc522200014"/>
      <w:bookmarkStart w:id="165" w:name="_Toc522200111"/>
      <w:bookmarkStart w:id="166" w:name="_Toc523651299"/>
      <w:r>
        <w:t>Enable</w:t>
      </w:r>
      <w:bookmarkEnd w:id="164"/>
      <w:bookmarkEnd w:id="165"/>
      <w:bookmarkEnd w:id="166"/>
    </w:p>
    <w:p w:rsidR="009A5C18" w:rsidRPr="009A5C18" w:rsidRDefault="009A5C18" w:rsidP="009A5C18">
      <w:r w:rsidRPr="009A5C18">
        <w:t>The business is committed to the training, development and lifelong learning of our people.  This gives them the skills, confidence and leadership capability to drive innovation and improvements in our business.</w:t>
      </w:r>
    </w:p>
    <w:p w:rsidR="009A5C18" w:rsidRPr="009A5C18" w:rsidRDefault="009A5C18" w:rsidP="009A5C18">
      <w:pPr>
        <w:rPr>
          <w:rFonts w:cs="Arial"/>
        </w:rPr>
      </w:pPr>
      <w:r w:rsidRPr="009A5C18">
        <w:t>All employees are encouraged and given opportunities to undertake further education; this has seen many employees complet</w:t>
      </w:r>
      <w:r w:rsidR="000E0035">
        <w:t>e</w:t>
      </w:r>
      <w:r w:rsidRPr="009A5C18">
        <w:t xml:space="preserve"> courses ranging from college courses through to master’s degrees in a range of subjects, which has provided real benefits to both individuals and the business. </w:t>
      </w:r>
      <w:r w:rsidRPr="009A5C18">
        <w:rPr>
          <w:rFonts w:cs="Arial"/>
        </w:rPr>
        <w:t xml:space="preserve">Nearly 40% of </w:t>
      </w:r>
      <w:r w:rsidR="00C568D0">
        <w:rPr>
          <w:rFonts w:cs="Arial"/>
        </w:rPr>
        <w:t>all staff currently employed have</w:t>
      </w:r>
      <w:r w:rsidRPr="009A5C18">
        <w:rPr>
          <w:rFonts w:cs="Arial"/>
        </w:rPr>
        <w:t xml:space="preserve">, at some time during their career with us, received supported further education. During </w:t>
      </w:r>
      <w:r w:rsidR="00AF7665" w:rsidRPr="009A5C18">
        <w:rPr>
          <w:rFonts w:cs="Arial"/>
        </w:rPr>
        <w:t>2017,</w:t>
      </w:r>
      <w:r w:rsidRPr="009A5C18">
        <w:rPr>
          <w:rFonts w:cs="Arial"/>
        </w:rPr>
        <w:t xml:space="preserve"> nearly 10% of staff were in some form of formal further education supported by the Company. The level has been maintained for a number of years and we are committed to maintaining this level for future years. </w:t>
      </w:r>
    </w:p>
    <w:p w:rsidR="009A5C18" w:rsidRPr="009A5C18" w:rsidRDefault="009A5C18" w:rsidP="009A5C18">
      <w:r w:rsidRPr="009A5C18">
        <w:t xml:space="preserve">The Water Aid innovators programme provides an example of how we encourage our staff to participate in programmes that develop innovative thinking. In </w:t>
      </w:r>
      <w:r w:rsidR="00AF7665" w:rsidRPr="009A5C18">
        <w:t>2016,</w:t>
      </w:r>
      <w:r w:rsidRPr="009A5C18">
        <w:t xml:space="preserve"> a group of young employees from across the company entered a worldwide Water Aid competition to develop a hygienic device to enc</w:t>
      </w:r>
      <w:r w:rsidR="00AF7665">
        <w:t xml:space="preserve">ourage sanitation in Cambodia and </w:t>
      </w:r>
      <w:r w:rsidRPr="009A5C18">
        <w:t>raise funds</w:t>
      </w:r>
      <w:r w:rsidR="00AF7665">
        <w:t xml:space="preserve"> to develop it. They were a competition runner up and the team</w:t>
      </w:r>
      <w:r w:rsidRPr="009A5C18">
        <w:t xml:space="preserve"> learnt valuable lessons about working together to develop innovative solutions.</w:t>
      </w:r>
    </w:p>
    <w:p w:rsidR="009A5C18" w:rsidRPr="009A5C18" w:rsidRDefault="009A5C18" w:rsidP="009A5C18">
      <w:r w:rsidRPr="009A5C18">
        <w:t xml:space="preserve">We have also invested training in “Lean Six Sigma” training a structured approach to identify and drive business change and efficiency.  We see this as an essential part of making innovation, and the resultant change, “stick”.  We now have a number of Green and Yellow belt practitioners within the business. </w:t>
      </w:r>
    </w:p>
    <w:p w:rsidR="00C63A37" w:rsidRPr="00E95675" w:rsidRDefault="00C63A37" w:rsidP="00E74470">
      <w:pPr>
        <w:pStyle w:val="Heading3"/>
      </w:pPr>
      <w:bookmarkStart w:id="167" w:name="_Toc522200015"/>
      <w:bookmarkStart w:id="168" w:name="_Toc522200112"/>
      <w:bookmarkStart w:id="169" w:name="_Toc523651300"/>
      <w:r w:rsidRPr="00E95675">
        <w:t>Incentivise</w:t>
      </w:r>
      <w:bookmarkEnd w:id="167"/>
      <w:bookmarkEnd w:id="168"/>
      <w:bookmarkEnd w:id="169"/>
    </w:p>
    <w:p w:rsidR="009A5C18" w:rsidRPr="009A5C18" w:rsidRDefault="009A5C18" w:rsidP="009A5C18">
      <w:r w:rsidRPr="009A5C18">
        <w:t xml:space="preserve">We have established a recognition scheme, which includes internal ‘staff compliment’ forms and financial ‘merit awards’ to recognise outstanding performance. This is particularly relevant where staff identify and implement innovate approaches to existing challenges. </w:t>
      </w:r>
    </w:p>
    <w:p w:rsidR="00C63A37" w:rsidRPr="00E95675" w:rsidRDefault="00C63A37" w:rsidP="00A31474">
      <w:pPr>
        <w:pStyle w:val="Heading3"/>
      </w:pPr>
      <w:bookmarkStart w:id="170" w:name="_Toc522200016"/>
      <w:bookmarkStart w:id="171" w:name="_Toc522200113"/>
      <w:bookmarkStart w:id="172" w:name="_Toc523651301"/>
      <w:r w:rsidRPr="00E95675">
        <w:t>Collaborate to innovate</w:t>
      </w:r>
      <w:bookmarkEnd w:id="170"/>
      <w:bookmarkEnd w:id="171"/>
      <w:bookmarkEnd w:id="172"/>
    </w:p>
    <w:p w:rsidR="009A5C18" w:rsidRPr="009A5C18" w:rsidRDefault="00C63A37" w:rsidP="009A5C18">
      <w:r>
        <w:t>The C</w:t>
      </w:r>
      <w:r w:rsidRPr="00E95675">
        <w:t xml:space="preserve">ompany has worked </w:t>
      </w:r>
      <w:r w:rsidR="009A5C18" w:rsidRPr="009A5C18">
        <w:t>hard in recent years to break down barriers between departments and encourage more collaboration both within the business and externally with contractors, suppliers and other water companies. Progress in this area is demonstrated by the improvement in results of the staff survey in 2017 which identified the staff feel that ‘teamwork has improved within the company’ by 11% from 2016. In addition, the collaboration survey in 2017, now in its second 2</w:t>
      </w:r>
      <w:r w:rsidR="009A5C18" w:rsidRPr="009A5C18">
        <w:rPr>
          <w:vertAlign w:val="superscript"/>
        </w:rPr>
        <w:t>nd</w:t>
      </w:r>
      <w:r w:rsidR="009A5C18" w:rsidRPr="009A5C18">
        <w:t xml:space="preserve"> year, has shown an improvement in scores across the board. In particular responses to the question ‘do you feel that Portsmouth Water and contractors are collaborating well?’ the score for ‘yes, all of the time’ has improved from 50% to 79% since 2016.</w:t>
      </w:r>
    </w:p>
    <w:p w:rsidR="009A5C18" w:rsidRPr="009A5C18" w:rsidRDefault="009A5C18" w:rsidP="009A5C18">
      <w:pPr>
        <w:rPr>
          <w:u w:val="single"/>
        </w:rPr>
      </w:pPr>
      <w:r w:rsidRPr="009A5C18">
        <w:t>We will seek to further enhance how we collaborate internally and externally in AMP7 and will establish more collaborative partnerships to address the future challenges facing the business.</w:t>
      </w:r>
    </w:p>
    <w:p w:rsidR="00C63A37" w:rsidRPr="009A5C18" w:rsidRDefault="00C63A37" w:rsidP="00677A38">
      <w:pPr>
        <w:pStyle w:val="Heading2"/>
      </w:pPr>
      <w:bookmarkStart w:id="173" w:name="_Toc523651302"/>
      <w:r w:rsidRPr="009A5C18">
        <w:t>Our innovation track record</w:t>
      </w:r>
      <w:bookmarkEnd w:id="173"/>
    </w:p>
    <w:p w:rsidR="009A5C18" w:rsidRPr="009A5C18" w:rsidRDefault="009A5C18" w:rsidP="009A5C18">
      <w:r w:rsidRPr="009A5C18">
        <w:t xml:space="preserve">Innovation is not new </w:t>
      </w:r>
      <w:r w:rsidR="00C568D0">
        <w:t xml:space="preserve">to </w:t>
      </w:r>
      <w:r w:rsidRPr="009A5C18">
        <w:t>us.  We understand that innovation is not just technological solutions and can demonstrate that wider innovation has frequently been implemented</w:t>
      </w:r>
      <w:r w:rsidR="00C568D0">
        <w:t>, some of which include</w:t>
      </w:r>
      <w:r w:rsidR="000A7A9A">
        <w:t xml:space="preserve"> to benefit ecosystems and the environment</w:t>
      </w:r>
      <w:r w:rsidRPr="009A5C18">
        <w:t>.  Below are so</w:t>
      </w:r>
      <w:r w:rsidR="000A7A9A">
        <w:t>me of our innovation successes:</w:t>
      </w:r>
    </w:p>
    <w:p w:rsidR="00C63A37" w:rsidRPr="00A31474" w:rsidRDefault="00C63A37" w:rsidP="00A31474">
      <w:pPr>
        <w:rPr>
          <w:b/>
        </w:rPr>
      </w:pPr>
      <w:r w:rsidRPr="00A31474">
        <w:rPr>
          <w:b/>
        </w:rPr>
        <w:t>Wall Mounted Meter Boxes and supply pipes</w:t>
      </w:r>
    </w:p>
    <w:p w:rsidR="009A5C18" w:rsidRPr="009A5C18" w:rsidRDefault="009A5C18" w:rsidP="009A5C18">
      <w:r w:rsidRPr="009A5C18">
        <w:t>In 2005 we recognised that repairs to stop cocks in the ground was 50% of our total servicing expenditure and therefore we took the bold and innovative step to install Wall Mounted Meter Boxes (WMMB) on all new properties.  Not only will this reduce long term costs to customers but has the benefit of a much easier read and isolation feature compared to the below ground meter box.  It also makes leaks much easier to identify and repair.  As leaks typically occur at joints, the Company coupled the WMMB to a service pipe laid without a joint back to the main. The pipe is laid in a duct to ensure that if damaged it can be replaced with ease.</w:t>
      </w:r>
    </w:p>
    <w:p w:rsidR="009A5C18" w:rsidRDefault="009A5C18" w:rsidP="009A5C18">
      <w:pPr>
        <w:rPr>
          <w:shd w:val="clear" w:color="auto" w:fill="FCFCFC"/>
        </w:rPr>
      </w:pPr>
      <w:r w:rsidRPr="009A5C18">
        <w:t xml:space="preserve">Since </w:t>
      </w:r>
      <w:r w:rsidR="00AF7665" w:rsidRPr="009A5C18">
        <w:t>2005,</w:t>
      </w:r>
      <w:r w:rsidRPr="009A5C18">
        <w:t xml:space="preserve"> more than 26,000 properties have had WMMBs installed. This equates to approximately 8% of total properties served. The Home Builders Federation recognised this innovative approach in 2017,</w:t>
      </w:r>
      <w:r w:rsidRPr="009A5C18">
        <w:rPr>
          <w:shd w:val="clear" w:color="auto" w:fill="FCFCFC"/>
        </w:rPr>
        <w:t xml:space="preserve"> where we were selected as the “Utility Company of the Year”.</w:t>
      </w:r>
    </w:p>
    <w:p w:rsidR="00055D88" w:rsidRPr="00055D88" w:rsidRDefault="00055D88" w:rsidP="009A5C18">
      <w:pPr>
        <w:rPr>
          <w:b/>
          <w:shd w:val="clear" w:color="auto" w:fill="FCFCFC"/>
        </w:rPr>
      </w:pPr>
      <w:r w:rsidRPr="00055D88">
        <w:rPr>
          <w:b/>
          <w:shd w:val="clear" w:color="auto" w:fill="FCFCFC"/>
        </w:rPr>
        <w:t>Identification of Household leakage and encouraging meter optants</w:t>
      </w:r>
    </w:p>
    <w:p w:rsidR="00055D88" w:rsidRPr="009A5C18" w:rsidRDefault="00055D88" w:rsidP="009A5C18">
      <w:r>
        <w:rPr>
          <w:shd w:val="clear" w:color="auto" w:fill="FCFCFC"/>
        </w:rPr>
        <w:t>Portsmouth Water has been working with Invenio Systems, establishing innovative techniques of monitoring our water distribution network in a non-intrusive way.  We have used their state-of-the-art ‘StopWatch’ technology to find and quantify supply pipe leakage and domestic plumbing losses, without installing a meter.  We are also the first water company to use the ‘StopWatch’ to provide unmeasured customers with accurate usage readings as a way of encouraging them to move to a</w:t>
      </w:r>
      <w:r w:rsidR="000A7A9A">
        <w:rPr>
          <w:shd w:val="clear" w:color="auto" w:fill="FCFCFC"/>
        </w:rPr>
        <w:t xml:space="preserve"> meter</w:t>
      </w:r>
      <w:r>
        <w:rPr>
          <w:shd w:val="clear" w:color="auto" w:fill="FCFCFC"/>
        </w:rPr>
        <w:t>.</w:t>
      </w:r>
    </w:p>
    <w:p w:rsidR="00C63A37" w:rsidRPr="00A31474" w:rsidRDefault="00C63A37" w:rsidP="00C63A37">
      <w:pPr>
        <w:rPr>
          <w:b/>
        </w:rPr>
      </w:pPr>
      <w:r w:rsidRPr="00A31474">
        <w:rPr>
          <w:b/>
        </w:rPr>
        <w:t>Source protection - Oil Tank Initiative</w:t>
      </w:r>
    </w:p>
    <w:p w:rsidR="009A5C18" w:rsidRDefault="0005595C" w:rsidP="009A5C18">
      <w:r>
        <w:t>Our catch</w:t>
      </w:r>
      <w:r w:rsidR="0005519B">
        <w:t>ment consists of large areas of deep</w:t>
      </w:r>
      <w:r w:rsidR="00271EFC">
        <w:t>,</w:t>
      </w:r>
      <w:r w:rsidR="0005519B">
        <w:t xml:space="preserve"> highly fissured chalk </w:t>
      </w:r>
      <w:r w:rsidR="00AF7665">
        <w:t>including</w:t>
      </w:r>
      <w:r w:rsidR="0005519B">
        <w:t xml:space="preserve"> swallow holes over capped with thin </w:t>
      </w:r>
      <w:r w:rsidR="00AF7665">
        <w:t>clay, which</w:t>
      </w:r>
      <w:r w:rsidR="0005519B">
        <w:t xml:space="preserve"> makes our water resources susceptible to point pollution </w:t>
      </w:r>
      <w:r w:rsidR="007B6DFB">
        <w:t>from</w:t>
      </w:r>
      <w:r w:rsidR="0005519B">
        <w:t xml:space="preserve"> oil and </w:t>
      </w:r>
      <w:r w:rsidR="007B6DFB">
        <w:t>chemical spills.</w:t>
      </w:r>
    </w:p>
    <w:p w:rsidR="0005519B" w:rsidRDefault="0005519B" w:rsidP="009A5C18">
      <w:r>
        <w:t xml:space="preserve">Over a thirteen year period over 800 oil spills have occurred in our catchment area, </w:t>
      </w:r>
      <w:r w:rsidR="007B6DFB">
        <w:t>approximately</w:t>
      </w:r>
      <w:r w:rsidR="000A7A9A">
        <w:t xml:space="preserve"> </w:t>
      </w:r>
      <w:r>
        <w:t>120</w:t>
      </w:r>
      <w:r w:rsidR="007B6DFB">
        <w:t xml:space="preserve"> have </w:t>
      </w:r>
      <w:r w:rsidR="00AF7665">
        <w:t>occurred</w:t>
      </w:r>
      <w:r>
        <w:t xml:space="preserve"> in source protection Zone 1 (SPZ1), necessitating the closure of six abstraction sites, some for up to 18 months with incurred expenditure of potentially up to £4.0m.  As a result the Company, </w:t>
      </w:r>
      <w:r w:rsidR="007B6DFB">
        <w:t>the first in the country to do s</w:t>
      </w:r>
      <w:r>
        <w:t>o, has been running an awareness campaign and has offered a free oil tank inspection with a financial contribution of up to 50% for</w:t>
      </w:r>
      <w:r w:rsidR="007B6DFB">
        <w:t xml:space="preserve"> defective</w:t>
      </w:r>
      <w:r>
        <w:t xml:space="preserve"> tank and pipe replacement.  The</w:t>
      </w:r>
      <w:r w:rsidR="007B6DFB">
        <w:t xml:space="preserve"> </w:t>
      </w:r>
      <w:r>
        <w:t>scheme has been operating since 2013 and is recognised by the DWI and Environment Agency as ground breaking.  This</w:t>
      </w:r>
      <w:r w:rsidR="007B6DFB" w:rsidRPr="007B6DFB">
        <w:t xml:space="preserve"> </w:t>
      </w:r>
      <w:r w:rsidR="007B6DFB">
        <w:t>innovative initiative</w:t>
      </w:r>
      <w:r>
        <w:t xml:space="preserve"> will be extended in AMP7.</w:t>
      </w:r>
    </w:p>
    <w:p w:rsidR="0005519B" w:rsidRDefault="0005519B" w:rsidP="009A5C18">
      <w:pPr>
        <w:rPr>
          <w:b/>
        </w:rPr>
      </w:pPr>
      <w:r>
        <w:rPr>
          <w:b/>
        </w:rPr>
        <w:t>Planning &amp; Construction Advisory Notes</w:t>
      </w:r>
    </w:p>
    <w:p w:rsidR="0005519B" w:rsidRPr="0005519B" w:rsidRDefault="0005519B" w:rsidP="009A5C18">
      <w:r>
        <w:t xml:space="preserve">The Company has developed, working in conjunction with </w:t>
      </w:r>
      <w:r w:rsidR="007B6DFB">
        <w:t>the Environment Agency, a series</w:t>
      </w:r>
      <w:r>
        <w:t xml:space="preserve"> of advisory guidance notes for Housing Developers and Local Authorities on how to undertake works that involve intrusive foundations, sustainable </w:t>
      </w:r>
      <w:r w:rsidR="00DD2A95">
        <w:t>urban drainage</w:t>
      </w:r>
      <w:r w:rsidR="0038789B">
        <w:t xml:space="preserve"> and other construction activities, which if inappropriately undertaken will pollute </w:t>
      </w:r>
      <w:r w:rsidR="007B6DFB">
        <w:t>the</w:t>
      </w:r>
      <w:r w:rsidR="0038789B">
        <w:t xml:space="preserve"> aquifer.  An innovative way to protect</w:t>
      </w:r>
      <w:r w:rsidR="007B6DFB">
        <w:t xml:space="preserve"> and enhance catchment management. </w:t>
      </w:r>
    </w:p>
    <w:p w:rsidR="00C63A37" w:rsidRPr="00A31474" w:rsidRDefault="00C63A37" w:rsidP="00C63A37">
      <w:pPr>
        <w:rPr>
          <w:b/>
        </w:rPr>
      </w:pPr>
      <w:r w:rsidRPr="00A31474">
        <w:rPr>
          <w:b/>
        </w:rPr>
        <w:t>Contract collaboration approach</w:t>
      </w:r>
    </w:p>
    <w:p w:rsidR="009A5C18" w:rsidRPr="009A5C18" w:rsidRDefault="009A5C18" w:rsidP="009A5C18">
      <w:r w:rsidRPr="009A5C18">
        <w:t>At the start of AMP6 we reviewed how we delivered and managed contracts and set out an ambitious new contract management strategy linking delivery with the Company’s objectives and values.  This strategy has been further developed over the past 3 years and has taken a holistic view of how value can be delivered through strategic partnerships with contracting companies and the supply chain, supported by clear, open and fair contracts.</w:t>
      </w:r>
    </w:p>
    <w:p w:rsidR="009A5C18" w:rsidRPr="009A5C18" w:rsidRDefault="009A5C18" w:rsidP="009A5C18">
      <w:r w:rsidRPr="009A5C18">
        <w:t xml:space="preserve">Central to the strategy has been a desire to work closer with contractors in a more open, collaborative way establishing deep trust.  This has been delivered by forming a single team to deliver work packages, which includes the contractor, our contract management staff and other stakeholders. This has facilitated early contractor engagement ensuring their knowledge and experience can be fully utilised. </w:t>
      </w:r>
    </w:p>
    <w:p w:rsidR="009A5C18" w:rsidRDefault="009A5C18" w:rsidP="009A5C18">
      <w:r w:rsidRPr="009A5C18">
        <w:t>A key aim of the approach was to bring in best practice &amp; innovation from within and outside the industry.  It has facilitated a step change in efficiency in relation to the infrastructure and non-infrastructure contract delivery.  As a result, we won the IACCM “excellence in contract management” award for public sector innovation and reform in 2017.</w:t>
      </w:r>
    </w:p>
    <w:p w:rsidR="009A5C18" w:rsidRPr="009A5C18" w:rsidRDefault="009A5C18" w:rsidP="009A5C18">
      <w:pPr>
        <w:rPr>
          <w:b/>
        </w:rPr>
      </w:pPr>
      <w:r w:rsidRPr="009A5C18">
        <w:rPr>
          <w:b/>
        </w:rPr>
        <w:t>Joint P</w:t>
      </w:r>
      <w:r w:rsidR="00677A38">
        <w:rPr>
          <w:b/>
        </w:rPr>
        <w:t>urchasing arrangement with SES Water</w:t>
      </w:r>
    </w:p>
    <w:p w:rsidR="009A5C18" w:rsidRPr="009A5C18" w:rsidRDefault="005B620C" w:rsidP="009A5C18">
      <w:r>
        <w:t>Under the collaborate to innovate banner w</w:t>
      </w:r>
      <w:r w:rsidR="009A5C18" w:rsidRPr="009A5C18">
        <w:t>e have established a joint arrangement with SES</w:t>
      </w:r>
      <w:r w:rsidR="00677A38">
        <w:t xml:space="preserve"> </w:t>
      </w:r>
      <w:r w:rsidR="009A5C18" w:rsidRPr="009A5C18">
        <w:t>W</w:t>
      </w:r>
      <w:r w:rsidR="00677A38">
        <w:t>ater</w:t>
      </w:r>
      <w:r w:rsidR="009A5C18" w:rsidRPr="009A5C18">
        <w:t xml:space="preserve"> to increase our purchasing power and enable procurement efficiencies. We </w:t>
      </w:r>
      <w:r>
        <w:t>also share ideas and generate innovative solutions.</w:t>
      </w:r>
    </w:p>
    <w:p w:rsidR="009A5C18" w:rsidRPr="009A5C18" w:rsidRDefault="009A5C18" w:rsidP="009A5C18">
      <w:pPr>
        <w:rPr>
          <w:b/>
        </w:rPr>
      </w:pPr>
      <w:r w:rsidRPr="009A5C18">
        <w:rPr>
          <w:b/>
        </w:rPr>
        <w:t>Exit from Non-Household Retail Market</w:t>
      </w:r>
    </w:p>
    <w:p w:rsidR="009A5C18" w:rsidRPr="009A5C18" w:rsidRDefault="009A5C18" w:rsidP="009A5C18">
      <w:r w:rsidRPr="009A5C18">
        <w:t>We were the first undertaker to exit the Non-Household retail market. This demonstrates the Board</w:t>
      </w:r>
      <w:r w:rsidR="00964B14">
        <w:t>’</w:t>
      </w:r>
      <w:r w:rsidRPr="009A5C18">
        <w:t>s commitment to make large and bold decisions, in this case because we thought it was better for the majority of our customers.</w:t>
      </w:r>
    </w:p>
    <w:p w:rsidR="00C63A37" w:rsidRPr="00A31474" w:rsidRDefault="00C63A37" w:rsidP="00C63A37">
      <w:pPr>
        <w:rPr>
          <w:b/>
        </w:rPr>
      </w:pPr>
      <w:r w:rsidRPr="00A31474">
        <w:rPr>
          <w:b/>
        </w:rPr>
        <w:t>HMRC Research and development tax credits</w:t>
      </w:r>
    </w:p>
    <w:p w:rsidR="009A5C18" w:rsidRPr="009A5C18" w:rsidRDefault="009A5C18" w:rsidP="009A5C18">
      <w:r w:rsidRPr="009A5C18">
        <w:t xml:space="preserve">In 2017/18 HMRC have approved </w:t>
      </w:r>
      <w:r w:rsidR="000C1E50">
        <w:t>4</w:t>
      </w:r>
      <w:r w:rsidRPr="009A5C18">
        <w:t xml:space="preserve"> schemes implemented by us as Research and Development all of which are developing innovative approaches within the business, some of which are shown below: </w:t>
      </w:r>
    </w:p>
    <w:p w:rsidR="009A5C18" w:rsidRPr="009A5C18" w:rsidRDefault="009A5C18" w:rsidP="009A5C18">
      <w:pPr>
        <w:pStyle w:val="Bullets"/>
      </w:pPr>
      <w:r w:rsidRPr="009A5C18">
        <w:t>Embedding GIS into our works and asset manage</w:t>
      </w:r>
      <w:r>
        <w:t xml:space="preserve">ment system to enable employees </w:t>
      </w:r>
      <w:r w:rsidRPr="009A5C18">
        <w:t xml:space="preserve">to see our mains network and plot defects or work undertaken when on site. </w:t>
      </w:r>
    </w:p>
    <w:p w:rsidR="009A5C18" w:rsidRPr="009A5C18" w:rsidRDefault="009A5C18" w:rsidP="009A5C18">
      <w:pPr>
        <w:pStyle w:val="Bullets"/>
      </w:pPr>
      <w:r w:rsidRPr="009A5C18">
        <w:t>Investigative studies using new ground investigat</w:t>
      </w:r>
      <w:r>
        <w:t xml:space="preserve">ion approaches to fundamentally </w:t>
      </w:r>
      <w:r w:rsidRPr="009A5C18">
        <w:t xml:space="preserve">change the Company’s </w:t>
      </w:r>
      <w:r w:rsidR="000E0035">
        <w:t xml:space="preserve">understanding </w:t>
      </w:r>
      <w:r w:rsidRPr="009A5C18">
        <w:t xml:space="preserve">of how and why the Havant &amp; Bedhampton Springs exist. </w:t>
      </w:r>
    </w:p>
    <w:p w:rsidR="009A5C18" w:rsidRDefault="009A5C18" w:rsidP="009A5C18">
      <w:pPr>
        <w:pStyle w:val="Bullets"/>
        <w:numPr>
          <w:ilvl w:val="0"/>
          <w:numId w:val="0"/>
        </w:numPr>
        <w:ind w:left="851"/>
      </w:pPr>
    </w:p>
    <w:p w:rsidR="00C63A37" w:rsidRDefault="00C63A37" w:rsidP="00B74755">
      <w:pPr>
        <w:pStyle w:val="Heading2"/>
      </w:pPr>
      <w:bookmarkStart w:id="174" w:name="_Toc522200017"/>
      <w:bookmarkStart w:id="175" w:name="_Toc522200114"/>
      <w:bookmarkStart w:id="176" w:name="_Toc523651303"/>
      <w:r w:rsidRPr="00CF6EDD">
        <w:t>PR19 Innovation</w:t>
      </w:r>
      <w:bookmarkEnd w:id="174"/>
      <w:bookmarkEnd w:id="175"/>
      <w:bookmarkEnd w:id="176"/>
    </w:p>
    <w:p w:rsidR="009A5C18" w:rsidRPr="009A5C18" w:rsidRDefault="009A5C18" w:rsidP="009A5C18">
      <w:r w:rsidRPr="009A5C18">
        <w:t>Many elements of our deliver</w:t>
      </w:r>
      <w:r w:rsidR="000E0035">
        <w:t xml:space="preserve">y of </w:t>
      </w:r>
      <w:r w:rsidRPr="009A5C18">
        <w:t xml:space="preserve">PR19 Outcomes for customers </w:t>
      </w:r>
      <w:r w:rsidR="000E0035">
        <w:t xml:space="preserve">can </w:t>
      </w:r>
      <w:r w:rsidRPr="009A5C18">
        <w:t>only be efficiently achieved through innovation.  Summarised below are some examples of how innovation will help us deliver.</w:t>
      </w:r>
    </w:p>
    <w:p w:rsidR="00C63A37" w:rsidRPr="00A31474" w:rsidRDefault="00C63A37" w:rsidP="00C63A37">
      <w:pPr>
        <w:rPr>
          <w:b/>
          <w:u w:val="single"/>
        </w:rPr>
      </w:pPr>
      <w:r w:rsidRPr="00A31474">
        <w:rPr>
          <w:b/>
        </w:rPr>
        <w:t>Water trading – Havant Thicket Winter Storage Reservoir</w:t>
      </w:r>
    </w:p>
    <w:p w:rsidR="009A5C18" w:rsidRDefault="009A5C18" w:rsidP="009A5C18">
      <w:r w:rsidRPr="009A5C18">
        <w:t xml:space="preserve">One of the key PR19 schemes is the development of a new regional water resource the Havant Thicket Winter Storage Reservoir.  This is being planned in collaboration with Southern Water in order to establish a significant water trading arrangement between the two companies.  This is discussed in more detail in </w:t>
      </w:r>
      <w:r w:rsidRPr="000A7A9A">
        <w:t>Chapter 8.1</w:t>
      </w:r>
      <w:r w:rsidR="000A7A9A">
        <w:t>,</w:t>
      </w:r>
      <w:r w:rsidRPr="009A5C18">
        <w:t xml:space="preserve"> and sets the standard for companies to work on a regional basis to enable effective water trading arrangements.</w:t>
      </w:r>
    </w:p>
    <w:p w:rsidR="009A5C18" w:rsidRPr="009A5C18" w:rsidRDefault="009A5C18" w:rsidP="009A5C18">
      <w:pPr>
        <w:rPr>
          <w:b/>
        </w:rPr>
      </w:pPr>
      <w:r w:rsidRPr="009A5C18">
        <w:rPr>
          <w:b/>
        </w:rPr>
        <w:t>Influencing water efficient new homes.</w:t>
      </w:r>
    </w:p>
    <w:p w:rsidR="009A5C18" w:rsidRPr="009A5C18" w:rsidRDefault="009A5C18" w:rsidP="009A5C18">
      <w:r w:rsidRPr="009A5C18">
        <w:t xml:space="preserve">There is growing concern, within the UK, about the impact of climate change and population growth on the volume water that is available for public supply and for the maintenance of a healthy environment. Along with other </w:t>
      </w:r>
      <w:r w:rsidR="00AF7665" w:rsidRPr="009A5C18">
        <w:t>companies,</w:t>
      </w:r>
      <w:r w:rsidRPr="009A5C18">
        <w:t xml:space="preserve"> we are committed to reducing the level of personal consumption of our customers to 100 </w:t>
      </w:r>
      <w:r w:rsidR="00B74755">
        <w:t xml:space="preserve">litres per day </w:t>
      </w:r>
      <w:r w:rsidRPr="009A5C18">
        <w:t xml:space="preserve">by 2050 (currently around 140). Metering and water efficiency measures can go so far but to achieve </w:t>
      </w:r>
      <w:r w:rsidR="009258ED">
        <w:t>the aspiration will require that new homes are</w:t>
      </w:r>
      <w:r w:rsidRPr="009A5C18">
        <w:t xml:space="preserve"> built to water efficient </w:t>
      </w:r>
      <w:r w:rsidR="00AF7665" w:rsidRPr="009A5C18">
        <w:t>standards. This</w:t>
      </w:r>
      <w:r w:rsidRPr="009A5C18">
        <w:t xml:space="preserve"> will require </w:t>
      </w:r>
      <w:r w:rsidR="00AF7665" w:rsidRPr="009A5C18">
        <w:t>local</w:t>
      </w:r>
      <w:r w:rsidRPr="009A5C18">
        <w:t xml:space="preserve"> authorities, developers and water companies to work together.</w:t>
      </w:r>
    </w:p>
    <w:p w:rsidR="009A5C18" w:rsidRPr="009A5C18" w:rsidRDefault="009A5C18" w:rsidP="009A5C18">
      <w:r w:rsidRPr="009A5C18">
        <w:t>Albion Water has established a reputation for delivering water, wastewater and drainage services to new housing developments that are far more sustainable than standard solutions.  It has pioneered the dual pipe supply, whereby customers receive high quality potable water for those purposes that require it (drinking, cooking, bathing) and a highly treated ‘Green Water’ (non-potable) for toilet flushing and external use</w:t>
      </w:r>
      <w:r w:rsidR="00AE6843">
        <w:t>.</w:t>
      </w:r>
    </w:p>
    <w:p w:rsidR="009A5C18" w:rsidRPr="009A5C18" w:rsidRDefault="009A5C18" w:rsidP="009A5C18">
      <w:pPr>
        <w:rPr>
          <w:u w:val="single"/>
        </w:rPr>
      </w:pPr>
      <w:r w:rsidRPr="009A5C18">
        <w:t xml:space="preserve">Portsmouth Water and Albion Water have agreed to cooperate, wherever possible, to encourage the adoption of the </w:t>
      </w:r>
      <w:r w:rsidR="009258ED">
        <w:t>PCC</w:t>
      </w:r>
      <w:r w:rsidRPr="009A5C18">
        <w:t xml:space="preserve"> 100 (Target for new homes to be built to a standard that reduces the </w:t>
      </w:r>
      <w:r w:rsidR="009258ED">
        <w:t>PCC</w:t>
      </w:r>
      <w:r w:rsidRPr="009A5C18">
        <w:t xml:space="preserve"> to 100 litres per day).</w:t>
      </w:r>
    </w:p>
    <w:p w:rsidR="009A5C18" w:rsidRPr="009A5C18" w:rsidRDefault="009A5C18" w:rsidP="009A5C18">
      <w:pPr>
        <w:rPr>
          <w:b/>
        </w:rPr>
      </w:pPr>
      <w:r w:rsidRPr="009A5C18">
        <w:rPr>
          <w:b/>
        </w:rPr>
        <w:t>Supply pipe adoption</w:t>
      </w:r>
    </w:p>
    <w:p w:rsidR="000A7A9A" w:rsidRDefault="00AE6843" w:rsidP="009A5C18">
      <w:r>
        <w:t>When the Company took the innovative step to install wall mounted meter boxes (W</w:t>
      </w:r>
      <w:r w:rsidR="009258ED">
        <w:t>MMB) to all new properties, we</w:t>
      </w:r>
      <w:r>
        <w:t xml:space="preserve"> also took a </w:t>
      </w:r>
      <w:r w:rsidR="009258ED">
        <w:t>long-term</w:t>
      </w:r>
      <w:r>
        <w:t xml:space="preserve"> view to the serviceability of the supply pipe</w:t>
      </w:r>
      <w:r w:rsidR="009258ED">
        <w:t>. We</w:t>
      </w:r>
      <w:r>
        <w:t xml:space="preserve"> </w:t>
      </w:r>
      <w:r w:rsidR="009258ED">
        <w:t>specified</w:t>
      </w:r>
      <w:r w:rsidR="009D22BB">
        <w:t xml:space="preserve"> materials and installat</w:t>
      </w:r>
      <w:r w:rsidR="009258ED">
        <w:t>ion methods that house builders</w:t>
      </w:r>
      <w:r w:rsidR="009D22BB">
        <w:t xml:space="preserve"> were to use in order to prolong asset life, ease maintenance activities and minimise leakage</w:t>
      </w:r>
      <w:r w:rsidR="009258ED">
        <w:t>.  This also allows leaks to be readily identifiable leakage should they</w:t>
      </w:r>
      <w:r w:rsidR="009D22BB">
        <w:t xml:space="preserve"> occur.  </w:t>
      </w:r>
    </w:p>
    <w:p w:rsidR="009A5C18" w:rsidRPr="009A5C18" w:rsidRDefault="009D22BB" w:rsidP="009A5C18">
      <w:r>
        <w:t xml:space="preserve">Approximately </w:t>
      </w:r>
      <w:r w:rsidR="00B74755">
        <w:t>26</w:t>
      </w:r>
      <w:r>
        <w:t>,000 units have been installed in this manner with in excess of 120km of supply pipe.  Supply pipe ownership and maintenance has always concerned customers and we have decided to be innovative in this area and ad</w:t>
      </w:r>
      <w:r w:rsidR="00A563F8">
        <w:t>o</w:t>
      </w:r>
      <w:r>
        <w:t xml:space="preserve">pt the customers supply pipe where a WMMB has been installed removing maintenance concerns for the customer.  This enhanced service provides benefits to our customers and demonstrates confidence in our </w:t>
      </w:r>
      <w:r w:rsidR="009258ED">
        <w:t>long-term</w:t>
      </w:r>
      <w:r>
        <w:t xml:space="preserve"> approach to asset management with particular focus on domestic leakage reduction</w:t>
      </w:r>
      <w:r w:rsidR="00A563F8">
        <w:t xml:space="preserve"> brought about by the customers’ willingness to report asset failure to us</w:t>
      </w:r>
      <w:r>
        <w:t>.</w:t>
      </w:r>
    </w:p>
    <w:p w:rsidR="009A5C18" w:rsidRPr="009A5C18" w:rsidRDefault="009A5C18" w:rsidP="009A5C18">
      <w:pPr>
        <w:rPr>
          <w:b/>
        </w:rPr>
      </w:pPr>
      <w:r w:rsidRPr="009A5C18">
        <w:rPr>
          <w:b/>
        </w:rPr>
        <w:t>Leakage</w:t>
      </w:r>
    </w:p>
    <w:p w:rsidR="009A5C18" w:rsidRPr="009A5C18" w:rsidRDefault="009A5C18" w:rsidP="009A5C18">
      <w:pPr>
        <w:rPr>
          <w:rFonts w:eastAsia="Times"/>
        </w:rPr>
      </w:pPr>
      <w:r w:rsidRPr="009A5C18">
        <w:rPr>
          <w:rFonts w:eastAsia="Times"/>
        </w:rPr>
        <w:t xml:space="preserve">The leakage strategy for AMP7 includes a challenging 15% reduction target and therefore we must look to new technologies and processes to facilitate a more effective and efficient approach to leakage detection.  </w:t>
      </w:r>
    </w:p>
    <w:p w:rsidR="009A5C18" w:rsidRPr="009A5C18" w:rsidRDefault="000A7A9A" w:rsidP="009A5C18">
      <w:pPr>
        <w:rPr>
          <w:rFonts w:eastAsia="Times"/>
        </w:rPr>
      </w:pPr>
      <w:r>
        <w:rPr>
          <w:rFonts w:eastAsia="Times"/>
        </w:rPr>
        <w:t>Traditionally this would be achieved</w:t>
      </w:r>
      <w:r w:rsidR="009A5C18" w:rsidRPr="009A5C18">
        <w:rPr>
          <w:rFonts w:eastAsia="Times"/>
        </w:rPr>
        <w:t xml:space="preserve"> through flow monitoring via the establishment of District Metering Areas (DMAs).  We however, are proposing to detect leaks through a network of permanent noise logging.  This will also require the development of methods to handle “big data” and use artificial intelligence to quickly pinpoint leaks and allow rapid repair. This builds upon our existing experience of data analytics explained in </w:t>
      </w:r>
      <w:r w:rsidRPr="00305B58">
        <w:rPr>
          <w:rFonts w:eastAsia="Times"/>
        </w:rPr>
        <w:t>Chapter 9.1.4.</w:t>
      </w:r>
    </w:p>
    <w:p w:rsidR="009A5C18" w:rsidRPr="009A5C18" w:rsidRDefault="009A5C18" w:rsidP="009A5C18">
      <w:pPr>
        <w:rPr>
          <w:iCs/>
        </w:rPr>
      </w:pPr>
      <w:r w:rsidRPr="009A5C18">
        <w:rPr>
          <w:iCs/>
        </w:rPr>
        <w:t xml:space="preserve">To enable data transmission we are working with a local entrepreneur to develop a very low cost data transmission approach using Internet of Things (IoT) technology.  We are collaborating with manufacturers to produce sensors enabled for this purpose.  This will establish the foundation of our </w:t>
      </w:r>
      <w:r w:rsidR="009258ED" w:rsidRPr="009A5C18">
        <w:rPr>
          <w:iCs/>
        </w:rPr>
        <w:t>longer-term</w:t>
      </w:r>
      <w:r w:rsidRPr="009A5C18">
        <w:rPr>
          <w:iCs/>
        </w:rPr>
        <w:t xml:space="preserve"> vision of developing an automated smart network. For more information on this </w:t>
      </w:r>
      <w:r w:rsidR="009258ED" w:rsidRPr="009A5C18">
        <w:rPr>
          <w:iCs/>
        </w:rPr>
        <w:t>innovation,</w:t>
      </w:r>
      <w:r w:rsidRPr="009A5C18">
        <w:rPr>
          <w:iCs/>
        </w:rPr>
        <w:t xml:space="preserve"> refer to </w:t>
      </w:r>
      <w:r w:rsidR="009258ED" w:rsidRPr="000E0035">
        <w:rPr>
          <w:iCs/>
        </w:rPr>
        <w:t xml:space="preserve">Chapter </w:t>
      </w:r>
      <w:r w:rsidR="000E0035" w:rsidRPr="000E0035">
        <w:rPr>
          <w:iCs/>
        </w:rPr>
        <w:t>3.8</w:t>
      </w:r>
      <w:r w:rsidR="009258ED" w:rsidRPr="000E0035">
        <w:rPr>
          <w:iCs/>
        </w:rPr>
        <w:t>.</w:t>
      </w:r>
    </w:p>
    <w:p w:rsidR="009A5C18" w:rsidRPr="009A5C18" w:rsidRDefault="009A5C18" w:rsidP="009A5C18">
      <w:pPr>
        <w:rPr>
          <w:b/>
        </w:rPr>
      </w:pPr>
      <w:r w:rsidRPr="009A5C18">
        <w:rPr>
          <w:b/>
        </w:rPr>
        <w:t xml:space="preserve">Catchment </w:t>
      </w:r>
      <w:r w:rsidR="00B74755">
        <w:rPr>
          <w:b/>
        </w:rPr>
        <w:t>M</w:t>
      </w:r>
      <w:r w:rsidRPr="009A5C18">
        <w:rPr>
          <w:b/>
        </w:rPr>
        <w:t>anagement</w:t>
      </w:r>
    </w:p>
    <w:p w:rsidR="009A5C18" w:rsidRPr="009A5C18" w:rsidRDefault="009A5C18" w:rsidP="009A5C18">
      <w:pPr>
        <w:rPr>
          <w:bCs/>
        </w:rPr>
      </w:pPr>
      <w:r w:rsidRPr="009A5C18">
        <w:rPr>
          <w:bCs/>
        </w:rPr>
        <w:t xml:space="preserve">Our AMP 7 </w:t>
      </w:r>
      <w:r w:rsidR="00B74755">
        <w:rPr>
          <w:bCs/>
        </w:rPr>
        <w:t>C</w:t>
      </w:r>
      <w:r w:rsidRPr="009A5C18">
        <w:t xml:space="preserve">atchment </w:t>
      </w:r>
      <w:r w:rsidR="00B74755">
        <w:t>M</w:t>
      </w:r>
      <w:r w:rsidRPr="009A5C18">
        <w:t xml:space="preserve">anagement </w:t>
      </w:r>
      <w:r w:rsidR="00B74755">
        <w:t>P</w:t>
      </w:r>
      <w:r w:rsidRPr="009A5C18">
        <w:t xml:space="preserve">rogramme will build on the innovation of AMP 6.  </w:t>
      </w:r>
      <w:r w:rsidRPr="009A5C18">
        <w:rPr>
          <w:bCs/>
        </w:rPr>
        <w:t>The scope of initiatives available to farmers and landowners will increase to include a ‘payments for ecosystem services scheme’, a potential woodland creation scheme in partnership with the Forestry Commission and a focus on soil improvement interventions.  These schemes also have the benefit of being biodiversity enhancing.</w:t>
      </w:r>
    </w:p>
    <w:p w:rsidR="009A5C18" w:rsidRDefault="009258ED" w:rsidP="009A5C18">
      <w:r>
        <w:t>Our</w:t>
      </w:r>
      <w:r w:rsidR="009A5C18" w:rsidRPr="009A5C18">
        <w:t xml:space="preserve"> work with the Forestry Commission is a first for the industry. It will set a precedent concerning how the Forestry Commission will work with other UK water companies</w:t>
      </w:r>
      <w:r>
        <w:t>. It is</w:t>
      </w:r>
      <w:r w:rsidR="009A5C18" w:rsidRPr="009A5C18">
        <w:t xml:space="preserve"> being considered by </w:t>
      </w:r>
      <w:r w:rsidR="00E76864">
        <w:t>DEFRA</w:t>
      </w:r>
      <w:r w:rsidR="009A5C18" w:rsidRPr="009A5C18">
        <w:t xml:space="preserve"> as a pilot for their new ‘Environmental Land Management Scheme’.  We will also be funding R&amp;D into “cover crops” to identify the most effective crops for ‘soaking up’ nitrates. </w:t>
      </w:r>
    </w:p>
    <w:p w:rsidR="003B0E72" w:rsidRDefault="003B0E72" w:rsidP="009A5C18">
      <w:r>
        <w:t>More details on our historic performance and future approach to innovation are included in Appendix 9.9.1</w:t>
      </w:r>
      <w:r w:rsidR="0064283F">
        <w:t>.3</w:t>
      </w:r>
      <w:r>
        <w:t xml:space="preserve"> AMP7 Innovation Review.</w:t>
      </w:r>
    </w:p>
    <w:p w:rsidR="00CE023A" w:rsidRPr="00453F64" w:rsidRDefault="00CE023A" w:rsidP="00CE023A">
      <w:pPr>
        <w:rPr>
          <w:rFonts w:cs="Arial"/>
          <w:color w:val="2E74B5" w:themeColor="accent1" w:themeShade="BF"/>
        </w:rPr>
      </w:pPr>
      <w:r w:rsidRPr="00453F64">
        <w:rPr>
          <w:rFonts w:cs="Arial"/>
          <w:color w:val="2E74B5" w:themeColor="accent1" w:themeShade="BF"/>
        </w:rPr>
        <w:t>Appendices relevant to this chapter</w:t>
      </w:r>
    </w:p>
    <w:tbl>
      <w:tblPr>
        <w:tblStyle w:val="TableGrid22"/>
        <w:tblW w:w="0" w:type="auto"/>
        <w:jc w:val="center"/>
        <w:tblLook w:val="04A0" w:firstRow="1" w:lastRow="0" w:firstColumn="1" w:lastColumn="0" w:noHBand="0" w:noVBand="1"/>
      </w:tblPr>
      <w:tblGrid>
        <w:gridCol w:w="1838"/>
        <w:gridCol w:w="4173"/>
        <w:gridCol w:w="1781"/>
      </w:tblGrid>
      <w:tr w:rsidR="00CE023A" w:rsidRPr="001E0DCD" w:rsidTr="009B7E2C">
        <w:trPr>
          <w:jc w:val="center"/>
        </w:trPr>
        <w:tc>
          <w:tcPr>
            <w:tcW w:w="1838" w:type="dxa"/>
            <w:shd w:val="clear" w:color="auto" w:fill="2E74B5" w:themeFill="accent1" w:themeFillShade="BF"/>
          </w:tcPr>
          <w:p w:rsidR="00CE023A" w:rsidRPr="001E0DCD" w:rsidRDefault="00CE023A" w:rsidP="009B7E2C">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CE023A" w:rsidRPr="001E0DCD" w:rsidRDefault="00CE023A" w:rsidP="009B7E2C">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CE023A" w:rsidRPr="001E0DCD" w:rsidRDefault="00CE023A" w:rsidP="009B7E2C">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CE023A" w:rsidRPr="001E0DCD" w:rsidTr="009B7E2C">
        <w:trPr>
          <w:jc w:val="center"/>
        </w:trPr>
        <w:tc>
          <w:tcPr>
            <w:tcW w:w="1838" w:type="dxa"/>
          </w:tcPr>
          <w:p w:rsidR="00CE023A" w:rsidRPr="001E0DCD" w:rsidRDefault="00CE023A" w:rsidP="009B7E2C">
            <w:pPr>
              <w:tabs>
                <w:tab w:val="clear" w:pos="851"/>
              </w:tabs>
              <w:spacing w:after="0"/>
              <w:ind w:left="0"/>
              <w:jc w:val="left"/>
              <w:rPr>
                <w:rFonts w:cs="Arial"/>
                <w:sz w:val="16"/>
                <w:szCs w:val="16"/>
              </w:rPr>
            </w:pPr>
            <w:r>
              <w:rPr>
                <w:rFonts w:cs="Arial"/>
                <w:sz w:val="16"/>
                <w:szCs w:val="16"/>
              </w:rPr>
              <w:t>9.9.1.3</w:t>
            </w:r>
          </w:p>
        </w:tc>
        <w:tc>
          <w:tcPr>
            <w:tcW w:w="4173" w:type="dxa"/>
          </w:tcPr>
          <w:p w:rsidR="00CE023A" w:rsidRPr="001E0DCD" w:rsidRDefault="00CE023A" w:rsidP="009B7E2C">
            <w:pPr>
              <w:tabs>
                <w:tab w:val="clear" w:pos="851"/>
              </w:tabs>
              <w:spacing w:after="0"/>
              <w:ind w:left="0"/>
              <w:jc w:val="left"/>
              <w:rPr>
                <w:rFonts w:cs="Arial"/>
                <w:sz w:val="16"/>
                <w:szCs w:val="16"/>
              </w:rPr>
            </w:pPr>
            <w:r>
              <w:rPr>
                <w:rFonts w:cs="Arial"/>
                <w:sz w:val="16"/>
                <w:szCs w:val="16"/>
              </w:rPr>
              <w:t>AMP7 Innovation Review</w:t>
            </w:r>
          </w:p>
        </w:tc>
        <w:tc>
          <w:tcPr>
            <w:tcW w:w="1781" w:type="dxa"/>
          </w:tcPr>
          <w:p w:rsidR="00CE023A" w:rsidRPr="001E0DCD" w:rsidRDefault="00BA1427" w:rsidP="009B7E2C">
            <w:pPr>
              <w:tabs>
                <w:tab w:val="clear" w:pos="851"/>
              </w:tabs>
              <w:spacing w:after="0"/>
              <w:ind w:left="0"/>
              <w:jc w:val="left"/>
              <w:rPr>
                <w:rFonts w:cs="Arial"/>
                <w:sz w:val="16"/>
                <w:szCs w:val="16"/>
              </w:rPr>
            </w:pPr>
            <w:r>
              <w:rPr>
                <w:rFonts w:cs="Arial"/>
                <w:sz w:val="16"/>
                <w:szCs w:val="16"/>
              </w:rPr>
              <w:t>August 2018</w:t>
            </w:r>
          </w:p>
        </w:tc>
      </w:tr>
    </w:tbl>
    <w:p w:rsidR="00CE023A" w:rsidRPr="009A5C18" w:rsidRDefault="00CE023A" w:rsidP="009A5C18"/>
    <w:p w:rsidR="008B3495" w:rsidRDefault="008B3495">
      <w:pPr>
        <w:tabs>
          <w:tab w:val="clear" w:pos="851"/>
        </w:tabs>
        <w:spacing w:after="0"/>
        <w:ind w:left="0"/>
        <w:jc w:val="left"/>
      </w:pPr>
      <w:r>
        <w:br w:type="page"/>
      </w:r>
    </w:p>
    <w:p w:rsidR="00A73A0F" w:rsidRDefault="00A73A0F" w:rsidP="0005234B">
      <w:pPr>
        <w:pStyle w:val="Heading1"/>
      </w:pPr>
      <w:bookmarkStart w:id="177" w:name="_Toc522200018"/>
      <w:bookmarkStart w:id="178" w:name="_Toc522200115"/>
      <w:bookmarkStart w:id="179" w:name="_Toc523651304"/>
      <w:r>
        <w:t>Targeted Controls and Markets</w:t>
      </w:r>
      <w:bookmarkEnd w:id="177"/>
      <w:bookmarkEnd w:id="178"/>
      <w:bookmarkEnd w:id="179"/>
    </w:p>
    <w:p w:rsidR="00760118" w:rsidRPr="00760118" w:rsidRDefault="00760118" w:rsidP="00760118">
      <w:pPr>
        <w:shd w:val="clear" w:color="auto" w:fill="FFFFFF" w:themeFill="background1"/>
        <w:rPr>
          <w:rFonts w:cs="Arial"/>
        </w:rPr>
      </w:pPr>
      <w:r w:rsidRPr="00760118">
        <w:rPr>
          <w:rFonts w:cs="Arial"/>
        </w:rPr>
        <w:t>This Business Plan delivers:</w:t>
      </w:r>
    </w:p>
    <w:p w:rsidR="00760118" w:rsidRDefault="00760118" w:rsidP="00760118">
      <w:pPr>
        <w:pStyle w:val="Bullets"/>
      </w:pPr>
      <w:r>
        <w:t>A strategy for securing long term resilient and sustainable water supplies using a twin track approach for our customers and the wider South East</w:t>
      </w:r>
    </w:p>
    <w:p w:rsidR="00760118" w:rsidRDefault="00760118" w:rsidP="00760118">
      <w:pPr>
        <w:pStyle w:val="Bullets"/>
      </w:pPr>
      <w:r>
        <w:t>A collaborative and innovative approach to extending water trading and developing new water resources</w:t>
      </w:r>
    </w:p>
    <w:p w:rsidR="00760118" w:rsidRDefault="00760118" w:rsidP="00760118">
      <w:pPr>
        <w:pStyle w:val="Bullets"/>
      </w:pPr>
      <w:r>
        <w:t xml:space="preserve">A </w:t>
      </w:r>
      <w:r w:rsidR="004275DC">
        <w:t>transparent procurement process</w:t>
      </w:r>
    </w:p>
    <w:p w:rsidR="004275DC" w:rsidRDefault="000320C6" w:rsidP="00760118">
      <w:pPr>
        <w:pStyle w:val="Bullets"/>
      </w:pPr>
      <w:r>
        <w:t>For the reservoir, w</w:t>
      </w:r>
      <w:r w:rsidR="004275DC">
        <w:t xml:space="preserve">e intend to manage uncertainty as part of the overall </w:t>
      </w:r>
      <w:r w:rsidR="00560B22">
        <w:t>Totex</w:t>
      </w:r>
      <w:r w:rsidR="004275DC">
        <w:t xml:space="preserve"> approach</w:t>
      </w:r>
    </w:p>
    <w:p w:rsidR="00760118" w:rsidRPr="0096653A" w:rsidRDefault="00760118" w:rsidP="00760118">
      <w:pPr>
        <w:pStyle w:val="Bullets"/>
        <w:numPr>
          <w:ilvl w:val="0"/>
          <w:numId w:val="0"/>
        </w:numPr>
        <w:ind w:left="1494"/>
      </w:pPr>
    </w:p>
    <w:p w:rsidR="00371D4C" w:rsidRDefault="00371D4C" w:rsidP="00760118">
      <w:r>
        <w:t>In our Business Plan we are using markets to deliver both efficiency and the best solution for customers.  However, this is demonstrated in other areas of our Plan and below we signpost where this is.</w:t>
      </w:r>
    </w:p>
    <w:p w:rsidR="00760118" w:rsidRPr="0096653A" w:rsidRDefault="00760118" w:rsidP="00760118">
      <w:r w:rsidRPr="0096653A">
        <w:t>The aim of this chapter is to cover a number of areas of the Business Plan where we are making effective use of markets to deliver both efficiency and the best solutions for customers.  This covers the following key areas:</w:t>
      </w:r>
    </w:p>
    <w:p w:rsidR="00760118" w:rsidRPr="00760118" w:rsidRDefault="00760118" w:rsidP="00760118">
      <w:pPr>
        <w:pStyle w:val="Bullets"/>
      </w:pPr>
      <w:r w:rsidRPr="00760118">
        <w:t>Long Term Water resources and water trading</w:t>
      </w:r>
      <w:r w:rsidR="00B74755">
        <w:t>.  I</w:t>
      </w:r>
      <w:r w:rsidRPr="00760118">
        <w:t xml:space="preserve">n </w:t>
      </w:r>
      <w:r>
        <w:t>Chapter 3.7</w:t>
      </w:r>
      <w:r w:rsidRPr="00760118">
        <w:t xml:space="preserve"> we explain how we will deliver long term resilience, not only to our own customers but for the South East as well using a twin track approach.</w:t>
      </w:r>
    </w:p>
    <w:p w:rsidR="00760118" w:rsidRPr="00760118" w:rsidRDefault="00760118" w:rsidP="00760118">
      <w:pPr>
        <w:pStyle w:val="Bullets"/>
      </w:pPr>
      <w:r w:rsidRPr="00760118">
        <w:t xml:space="preserve">Water Resources – the development of Havant Thicket Winter Storage Reservoir (HTWSR) as an enabler for enhanced drought resilience in the South East through </w:t>
      </w:r>
      <w:r w:rsidR="000E0035">
        <w:t>bulk supplies to Southern Water</w:t>
      </w:r>
      <w:r w:rsidRPr="00760118">
        <w:t xml:space="preserve">.  This covers the overall need for this strategic resource together with consideration of DPC and overall cost efficiency. This includes our position on risk and cost performance sharing which Ofwat requires of companies proposing large water resource projects. </w:t>
      </w:r>
    </w:p>
    <w:p w:rsidR="00760118" w:rsidRPr="00760118" w:rsidRDefault="00760118" w:rsidP="00760118">
      <w:pPr>
        <w:pStyle w:val="Bullets"/>
      </w:pPr>
      <w:r w:rsidRPr="00760118">
        <w:t xml:space="preserve">Bid Assessment Framework- This summarises our bid assessment framework (which is included in detail in Appendix </w:t>
      </w:r>
      <w:r w:rsidR="003B0E72">
        <w:t>9.9.1.2</w:t>
      </w:r>
      <w:r w:rsidRPr="00760118">
        <w:t>).</w:t>
      </w:r>
    </w:p>
    <w:p w:rsidR="00760118" w:rsidRPr="00760118" w:rsidRDefault="00760118" w:rsidP="00760118">
      <w:pPr>
        <w:pStyle w:val="Bullets"/>
      </w:pPr>
      <w:r w:rsidRPr="00760118">
        <w:t xml:space="preserve">RCV allocation – This summarises the proposed RCV allocation between water resources and network </w:t>
      </w:r>
    </w:p>
    <w:p w:rsidR="00760118" w:rsidRPr="00760118" w:rsidRDefault="00760118" w:rsidP="00760118">
      <w:pPr>
        <w:pStyle w:val="Bullets"/>
      </w:pPr>
      <w:r w:rsidRPr="00760118">
        <w:t>Innovation.  We demonstrate how an innovation culture will deliver for customers in Chapter 7.</w:t>
      </w:r>
    </w:p>
    <w:p w:rsidR="00760118" w:rsidRPr="00760118" w:rsidRDefault="00760118" w:rsidP="00760118">
      <w:pPr>
        <w:pStyle w:val="Bullets"/>
      </w:pPr>
      <w:r w:rsidRPr="00760118">
        <w:t xml:space="preserve">Cost Efficiency - Cost efficiency for wholesale and retail is dealt with in Chapter 9, including HTWSR, which is also dealt with in </w:t>
      </w:r>
      <w:r w:rsidRPr="00CE023A">
        <w:t>Section 8.2</w:t>
      </w:r>
      <w:r w:rsidRPr="00760118">
        <w:t xml:space="preserve"> below</w:t>
      </w:r>
      <w:r w:rsidR="00B74755">
        <w:t>.</w:t>
      </w:r>
      <w:r w:rsidRPr="00760118">
        <w:t xml:space="preserve">  The estimates for HTWSR are robust at P50 level having been prepared by Faith and Gould. A statement has been prepared by Faith and Gould, but due to the confidential nature of the contents will not be included in the plan , but will be available to Ofwat if required.</w:t>
      </w:r>
    </w:p>
    <w:p w:rsidR="00760118" w:rsidRPr="00760118" w:rsidRDefault="00760118" w:rsidP="00760118">
      <w:pPr>
        <w:pStyle w:val="Bullets"/>
      </w:pPr>
      <w:r w:rsidRPr="00760118">
        <w:t>Retail controls – this covers our approach to “voids” &amp; “gap sites”</w:t>
      </w:r>
      <w:r w:rsidR="003C6CA3">
        <w:t xml:space="preserve">.  It </w:t>
      </w:r>
      <w:r w:rsidRPr="00760118">
        <w:t>also summarises how we will engage with the non-household retail market to understand and take use of lessons learned and innovation generated by that market.</w:t>
      </w:r>
    </w:p>
    <w:p w:rsidR="00F71D07" w:rsidRDefault="00F71D07">
      <w:pPr>
        <w:tabs>
          <w:tab w:val="clear" w:pos="851"/>
        </w:tabs>
        <w:spacing w:after="0"/>
        <w:ind w:left="0"/>
        <w:jc w:val="left"/>
      </w:pPr>
      <w:r>
        <w:br w:type="page"/>
      </w:r>
    </w:p>
    <w:p w:rsidR="008E7569" w:rsidRDefault="008813E5" w:rsidP="008E7569">
      <w:pPr>
        <w:pStyle w:val="Heading2"/>
      </w:pPr>
      <w:bookmarkStart w:id="180" w:name="_Toc522200019"/>
      <w:bookmarkStart w:id="181" w:name="_Toc522200116"/>
      <w:bookmarkStart w:id="182" w:name="_Toc523651305"/>
      <w:r>
        <w:t>Water Resources Trading – Havant Thicket Winter Storage Reservoir</w:t>
      </w:r>
      <w:bookmarkEnd w:id="180"/>
      <w:bookmarkEnd w:id="181"/>
      <w:bookmarkEnd w:id="182"/>
    </w:p>
    <w:p w:rsidR="008813E5" w:rsidRPr="008813E5" w:rsidRDefault="008813E5" w:rsidP="008813E5">
      <w:pPr>
        <w:rPr>
          <w:b/>
        </w:rPr>
      </w:pPr>
      <w:r w:rsidRPr="008813E5">
        <w:rPr>
          <w:b/>
        </w:rPr>
        <w:t>Background</w:t>
      </w:r>
    </w:p>
    <w:p w:rsidR="00D3378D" w:rsidRDefault="00D3378D" w:rsidP="00D3378D">
      <w:r w:rsidRPr="008813E5">
        <w:t>The £10</w:t>
      </w:r>
      <w:r>
        <w:t>3</w:t>
      </w:r>
      <w:r w:rsidRPr="008813E5">
        <w:t xml:space="preserve"> million Havant Thicket </w:t>
      </w:r>
      <w:r w:rsidR="00002B65">
        <w:t xml:space="preserve">Winter Storage </w:t>
      </w:r>
      <w:r w:rsidRPr="008813E5">
        <w:t xml:space="preserve">Reservoir Project </w:t>
      </w:r>
      <w:r w:rsidR="005D72EF">
        <w:t xml:space="preserve">(the Project) </w:t>
      </w:r>
      <w:r w:rsidRPr="008813E5">
        <w:t xml:space="preserve">involves the construction of a new winter storage reservoir – the first in the South East for decades. The reservoir, which will take 10 years to </w:t>
      </w:r>
      <w:r w:rsidR="008865AD">
        <w:t xml:space="preserve">fully commission, will </w:t>
      </w:r>
      <w:r w:rsidRPr="008813E5">
        <w:t>allow Portsmouth Water to provide an additional bulk transfer of</w:t>
      </w:r>
      <w:r w:rsidR="00ED33ED">
        <w:t xml:space="preserve"> up to</w:t>
      </w:r>
      <w:r w:rsidRPr="008813E5">
        <w:t xml:space="preserve"> 21 Ml/d to Southern Water customers in Hampshire.</w:t>
      </w:r>
    </w:p>
    <w:p w:rsidR="00D3378D" w:rsidRDefault="00D3378D" w:rsidP="00D3378D">
      <w:r>
        <w:t xml:space="preserve">The water for the reservoir </w:t>
      </w:r>
      <w:r w:rsidR="008865AD">
        <w:t xml:space="preserve">will </w:t>
      </w:r>
      <w:r>
        <w:t xml:space="preserve">be supplied from surplus </w:t>
      </w:r>
      <w:r w:rsidR="005D72EF">
        <w:t xml:space="preserve">licenced </w:t>
      </w:r>
      <w:r>
        <w:t xml:space="preserve">winter yield from the ‘prolific’ Havant and Bedhampton Springs (used for public water supply since 1860).  Surplus yield from this groundwater source currently flows into </w:t>
      </w:r>
      <w:r w:rsidR="005D72EF">
        <w:t>Langstone Harbour</w:t>
      </w:r>
      <w:r>
        <w:t>.  A p</w:t>
      </w:r>
      <w:r w:rsidR="005D72EF">
        <w:t>rop</w:t>
      </w:r>
      <w:r>
        <w:t xml:space="preserve">ortion of this will be pumped to </w:t>
      </w:r>
      <w:r w:rsidR="005D72EF">
        <w:t xml:space="preserve">and stored in </w:t>
      </w:r>
      <w:r>
        <w:t xml:space="preserve">the reservoir.  </w:t>
      </w:r>
    </w:p>
    <w:p w:rsidR="00F764B3" w:rsidRDefault="005D72EF" w:rsidP="008813E5">
      <w:r>
        <w:t xml:space="preserve">The </w:t>
      </w:r>
      <w:r w:rsidR="008865AD">
        <w:t>P</w:t>
      </w:r>
      <w:r>
        <w:t xml:space="preserve">roject </w:t>
      </w:r>
      <w:r w:rsidR="00F764B3">
        <w:t xml:space="preserve">is not a ‘new’ initiative.  Portsmouth </w:t>
      </w:r>
      <w:r w:rsidR="008865AD">
        <w:t xml:space="preserve">Water </w:t>
      </w:r>
      <w:r w:rsidR="00F764B3">
        <w:t xml:space="preserve">has owned the land needed for the reservoir (160 hectares) since 1965.  The site was </w:t>
      </w:r>
      <w:r w:rsidR="009258ED">
        <w:t>selected</w:t>
      </w:r>
      <w:r w:rsidR="008865AD">
        <w:t xml:space="preserve"> because </w:t>
      </w:r>
      <w:r w:rsidR="00F764B3">
        <w:t>it comprises a shallow valley underlain by good-quality clay, which provides a natural seal.  At the time</w:t>
      </w:r>
      <w:r w:rsidR="008865AD">
        <w:t xml:space="preserve"> the</w:t>
      </w:r>
      <w:r w:rsidR="00F764B3">
        <w:t xml:space="preserve"> </w:t>
      </w:r>
      <w:r>
        <w:t xml:space="preserve">land was purchased, </w:t>
      </w:r>
      <w:r w:rsidR="008865AD">
        <w:t xml:space="preserve">Portsmouth Water </w:t>
      </w:r>
      <w:r w:rsidR="00F764B3">
        <w:t>did not pursue the reservoir proposal because it was able to meet customer water supply needs by providing a new water treatment works on the River Itche</w:t>
      </w:r>
      <w:r w:rsidR="00B21784">
        <w:t>n</w:t>
      </w:r>
      <w:r w:rsidR="00F764B3">
        <w:t>.</w:t>
      </w:r>
      <w:r w:rsidR="00D3378D">
        <w:t xml:space="preserve">  This </w:t>
      </w:r>
      <w:r>
        <w:t>P</w:t>
      </w:r>
      <w:r w:rsidR="00D3378D">
        <w:t>roject has been revisited several times, but falling demand expectations means that it was not required to service our own customers.</w:t>
      </w:r>
    </w:p>
    <w:p w:rsidR="00D3378D" w:rsidRPr="008813E5" w:rsidRDefault="00D3378D" w:rsidP="00D3378D">
      <w:r w:rsidRPr="008813E5">
        <w:t>Demand for water in the South East of England is increasing, driven by a growing population, with an additional 4.1</w:t>
      </w:r>
      <w:r w:rsidR="005D72EF">
        <w:t xml:space="preserve"> </w:t>
      </w:r>
      <w:r w:rsidRPr="008813E5">
        <w:t>m</w:t>
      </w:r>
      <w:r w:rsidR="005D72EF">
        <w:t>illion</w:t>
      </w:r>
      <w:r w:rsidRPr="008813E5">
        <w:t xml:space="preserve"> people expected in the region by 2045.  Government policy on the environment is to further reduce damaging abstraction from the sensitive river habitats that are prevalent in the South.  Without further action, there is roughly a 1 in 4 chance over the next 30 years that large numbers of households</w:t>
      </w:r>
      <w:r>
        <w:t xml:space="preserve"> across the South East</w:t>
      </w:r>
      <w:r w:rsidRPr="008813E5">
        <w:t xml:space="preserve"> will have their water supply cut off for an extended period because of a severe drought. </w:t>
      </w:r>
    </w:p>
    <w:p w:rsidR="008813E5" w:rsidRPr="008813E5" w:rsidRDefault="008813E5" w:rsidP="008813E5">
      <w:r w:rsidRPr="008813E5">
        <w:t xml:space="preserve">Both </w:t>
      </w:r>
      <w:r w:rsidR="00D3378D">
        <w:t xml:space="preserve">Portsmouth Water and Southern Water </w:t>
      </w:r>
      <w:r w:rsidRPr="008813E5">
        <w:t>have worked collaboratively to establish the need for, and to demonstrate customer and stakeholder support for the Project through the Water Resources in the South East group. Our joint innovative approach to collaboration and water trading sets a precedent for the water industry and fulfils the recommendations of the National Infrastructure Commission’s ‘Preparation for a drier future’ report as well as being in line with the Government’s 25-year environment plan.</w:t>
      </w:r>
    </w:p>
    <w:p w:rsidR="008813E5" w:rsidRDefault="008813E5" w:rsidP="008813E5">
      <w:r w:rsidRPr="008813E5">
        <w:t>Portsmouth Water currently has an arrangement to supply Southern Water</w:t>
      </w:r>
      <w:r w:rsidR="008865AD">
        <w:t xml:space="preserve"> with</w:t>
      </w:r>
      <w:r w:rsidRPr="008813E5">
        <w:t xml:space="preserve"> up to 15Ml/d in West Sussex</w:t>
      </w:r>
      <w:r w:rsidR="008865AD">
        <w:t>,</w:t>
      </w:r>
      <w:r w:rsidRPr="008813E5">
        <w:t xml:space="preserve"> and by 202</w:t>
      </w:r>
      <w:r w:rsidR="00CE023A">
        <w:t>4</w:t>
      </w:r>
      <w:r w:rsidRPr="008813E5">
        <w:t xml:space="preserve"> will have an arrangement to supply up to 24Ml/d in Hampshire</w:t>
      </w:r>
      <w:r w:rsidR="008865AD">
        <w:t>.  B</w:t>
      </w:r>
      <w:r w:rsidR="005D72EF">
        <w:t xml:space="preserve">y 2029, </w:t>
      </w:r>
      <w:r w:rsidR="008865AD">
        <w:t xml:space="preserve">with the additional transfer of around 21 Ml/d to Hampshire, </w:t>
      </w:r>
      <w:r w:rsidR="005D72EF">
        <w:t>Portsmouth Water will be trading 60 Ml/d of its total 226.5 Ml/d deployable output with Southern Water once the Project is operational.</w:t>
      </w:r>
    </w:p>
    <w:p w:rsidR="009F4044" w:rsidRDefault="008865AD" w:rsidP="008813E5">
      <w:r>
        <w:t>Further supporting detail on this section is set out in Appendix 8.2, a collaborative submission by Portsmouth Water and Southern Water which appears in both companies’ plans.</w:t>
      </w:r>
    </w:p>
    <w:p w:rsidR="009F4044" w:rsidRDefault="009F4044">
      <w:pPr>
        <w:tabs>
          <w:tab w:val="clear" w:pos="851"/>
        </w:tabs>
        <w:spacing w:after="0"/>
        <w:ind w:left="0"/>
        <w:jc w:val="left"/>
      </w:pPr>
      <w:r>
        <w:br w:type="page"/>
      </w:r>
    </w:p>
    <w:p w:rsidR="008813E5" w:rsidRPr="008813E5" w:rsidRDefault="008813E5" w:rsidP="008813E5">
      <w:pPr>
        <w:rPr>
          <w:b/>
        </w:rPr>
      </w:pPr>
      <w:r w:rsidRPr="008813E5">
        <w:rPr>
          <w:b/>
        </w:rPr>
        <w:t>Establishing need</w:t>
      </w:r>
    </w:p>
    <w:p w:rsidR="008813E5" w:rsidRPr="008813E5" w:rsidRDefault="008813E5" w:rsidP="008813E5">
      <w:r w:rsidRPr="008813E5">
        <w:t xml:space="preserve">Apart from our area, the whole of the </w:t>
      </w:r>
      <w:r w:rsidR="00B74755">
        <w:t>S</w:t>
      </w:r>
      <w:r w:rsidR="005E4D50" w:rsidRPr="008813E5">
        <w:t>outh</w:t>
      </w:r>
      <w:r w:rsidR="00B74755">
        <w:t xml:space="preserve"> E</w:t>
      </w:r>
      <w:r w:rsidR="005E4D50" w:rsidRPr="008813E5">
        <w:t>ast</w:t>
      </w:r>
      <w:r w:rsidRPr="008813E5">
        <w:t xml:space="preserve"> is designated as in serious water stress, reflecting that demand for water now and in future is a very high proportion of the water available in the environment.  We are unusual in the South of England in having access to surplus water to trade, which can be increased through the development of the </w:t>
      </w:r>
      <w:r w:rsidR="00F3172E">
        <w:t>Project</w:t>
      </w:r>
      <w:r w:rsidRPr="008813E5">
        <w:t xml:space="preserve">. </w:t>
      </w:r>
    </w:p>
    <w:p w:rsidR="008813E5" w:rsidRPr="008813E5" w:rsidRDefault="008813E5" w:rsidP="008813E5">
      <w:r w:rsidRPr="008813E5">
        <w:t xml:space="preserve">Southern Water is our closest neighbour.  They will require major new water resources by 2029 to replace the 180 Ml/d lost from changes to their Rivers Test and Itchen abstraction licences.  An additional </w:t>
      </w:r>
      <w:r w:rsidR="00F3172E">
        <w:t xml:space="preserve">flexible bulk transfer of around </w:t>
      </w:r>
      <w:r w:rsidRPr="008813E5">
        <w:t xml:space="preserve">21 Ml/d </w:t>
      </w:r>
      <w:r w:rsidR="00F3172E">
        <w:t xml:space="preserve">will </w:t>
      </w:r>
      <w:r w:rsidRPr="008813E5">
        <w:t xml:space="preserve">be available for us to transfer to them, by creating this new resource.  </w:t>
      </w:r>
    </w:p>
    <w:p w:rsidR="008B3495" w:rsidRDefault="008813E5" w:rsidP="008813E5">
      <w:r w:rsidRPr="008813E5">
        <w:t xml:space="preserve">In addition, both companies are planning for forecasted increases in housing and population, and </w:t>
      </w:r>
      <w:r w:rsidR="005D72EF">
        <w:t xml:space="preserve">for </w:t>
      </w:r>
      <w:r w:rsidRPr="008813E5">
        <w:t xml:space="preserve">the impacts of climate change.  A comprehensive and detailed assessment of resource needs is set out on each of our </w:t>
      </w:r>
      <w:r w:rsidR="00F3172E">
        <w:t>Water Resource Management Plans (</w:t>
      </w:r>
      <w:r w:rsidRPr="008813E5">
        <w:t>WRMPs</w:t>
      </w:r>
      <w:r w:rsidR="00F3172E">
        <w:t>)</w:t>
      </w:r>
      <w:r w:rsidRPr="008813E5">
        <w:t xml:space="preserve">. </w:t>
      </w:r>
    </w:p>
    <w:p w:rsidR="008813E5" w:rsidRPr="008813E5" w:rsidRDefault="008813E5" w:rsidP="008813E5">
      <w:pPr>
        <w:rPr>
          <w:b/>
        </w:rPr>
      </w:pPr>
      <w:r w:rsidRPr="008813E5">
        <w:rPr>
          <w:b/>
        </w:rPr>
        <w:t>Choosing the right solution</w:t>
      </w:r>
    </w:p>
    <w:p w:rsidR="008813E5" w:rsidRPr="008813E5" w:rsidRDefault="008813E5" w:rsidP="008813E5">
      <w:r w:rsidRPr="008813E5">
        <w:t>The Project was evaluated in terms of average incremental cost (AIC) against other options that could allow Southern Water to meet some of its projected deficit by 2029. It provides the best value option when compared to other supply options such as wastewater recycling or desalination. Significant further detail on the economic assessment of this and other options is set out in detail in both companies</w:t>
      </w:r>
      <w:r w:rsidR="00F3172E">
        <w:t>’</w:t>
      </w:r>
      <w:r w:rsidRPr="008813E5">
        <w:t xml:space="preserve"> (WRMPs)</w:t>
      </w:r>
      <w:r w:rsidR="00ED33ED">
        <w:t>.</w:t>
      </w:r>
    </w:p>
    <w:p w:rsidR="008813E5" w:rsidRPr="008813E5" w:rsidRDefault="008813E5" w:rsidP="008813E5">
      <w:r w:rsidRPr="008813E5">
        <w:t xml:space="preserve">The Project is the first phase of a longer-term plan to increase </w:t>
      </w:r>
      <w:r w:rsidR="009258ED" w:rsidRPr="008813E5">
        <w:t>water-trading</w:t>
      </w:r>
      <w:r w:rsidRPr="008813E5">
        <w:t xml:space="preserve"> opportunities through ambitious demand reduction and the development of further regional infrastructure. Both companies will reduce leakage and</w:t>
      </w:r>
      <w:r w:rsidR="00F3172E">
        <w:t xml:space="preserve"> per capita consumption (</w:t>
      </w:r>
      <w:r w:rsidR="009258ED">
        <w:t>PCC</w:t>
      </w:r>
      <w:r w:rsidR="00F3172E">
        <w:t>)</w:t>
      </w:r>
      <w:r w:rsidRPr="008813E5">
        <w:t xml:space="preserve"> and increase the levels of customer metering. Portsmouth Water and Southern Water are also committed to further exploring ways to increase resilience though additional enhancements to reduce the risks to customers from outages and events such as extreme droughts, heatwaves, freeze/thaw or pollution.</w:t>
      </w:r>
    </w:p>
    <w:p w:rsidR="008813E5" w:rsidRPr="008813E5" w:rsidRDefault="008813E5" w:rsidP="008813E5">
      <w:pPr>
        <w:rPr>
          <w:b/>
        </w:rPr>
      </w:pPr>
      <w:r w:rsidRPr="008813E5">
        <w:rPr>
          <w:b/>
        </w:rPr>
        <w:t xml:space="preserve">Delivering the </w:t>
      </w:r>
      <w:r w:rsidR="005D72EF">
        <w:rPr>
          <w:b/>
        </w:rPr>
        <w:t>P</w:t>
      </w:r>
      <w:r w:rsidRPr="008813E5">
        <w:rPr>
          <w:b/>
        </w:rPr>
        <w:t>roject</w:t>
      </w:r>
    </w:p>
    <w:p w:rsidR="008813E5" w:rsidRDefault="008813E5" w:rsidP="008813E5">
      <w:r w:rsidRPr="008813E5">
        <w:t xml:space="preserve">In considering the optimal means for delivering the Project that would (by reference to various criteria such as whole life cost) represent best value for Customers, we asked PA Consulting (“PA”) to apply Ofwat’s guidance concerning Direct Procurement for Customers (DPC) to assess the suitability of a DPC delivery model for the Project. This full assessment of comparative delivery models was undertaken notwithstanding that the Project Whole Life </w:t>
      </w:r>
      <w:r w:rsidR="00560B22">
        <w:t>Totex</w:t>
      </w:r>
      <w:r w:rsidRPr="008813E5">
        <w:t xml:space="preserve"> scope of the DPC project was initially below the £100 million </w:t>
      </w:r>
      <w:r w:rsidR="005D72EF">
        <w:t>mandatory assessment threshold.</w:t>
      </w:r>
      <w:r w:rsidR="00F3172E">
        <w:t xml:space="preserve">  Their report to us is in Appendix 8.3.</w:t>
      </w:r>
    </w:p>
    <w:p w:rsidR="00ED33ED" w:rsidRPr="008813E5" w:rsidRDefault="00ED33ED" w:rsidP="00ED33ED">
      <w:r>
        <w:t xml:space="preserve">A further </w:t>
      </w:r>
      <w:r w:rsidR="005D72EF">
        <w:t xml:space="preserve">examination </w:t>
      </w:r>
      <w:r>
        <w:t>of the DPC scope confirmed that</w:t>
      </w:r>
      <w:r w:rsidRPr="003D118A">
        <w:t xml:space="preserve"> </w:t>
      </w:r>
      <w:r>
        <w:t>a</w:t>
      </w:r>
      <w:r w:rsidRPr="003D118A">
        <w:t xml:space="preserve">ll engineering elements </w:t>
      </w:r>
      <w:r>
        <w:t xml:space="preserve">of the </w:t>
      </w:r>
      <w:r w:rsidR="00F3172E">
        <w:t>P</w:t>
      </w:r>
      <w:r>
        <w:t xml:space="preserve">roject would be included in a </w:t>
      </w:r>
      <w:r w:rsidRPr="003D118A">
        <w:t>DPC, apart from the pump enhancements</w:t>
      </w:r>
      <w:r>
        <w:t>, v</w:t>
      </w:r>
      <w:r w:rsidRPr="003D118A">
        <w:t>isitor centre and recreational facilities.</w:t>
      </w:r>
      <w:r>
        <w:t xml:space="preserve">  All other non-engineering costs would be excluded apart from the detailed design.  On this basis, </w:t>
      </w:r>
      <w:r w:rsidRPr="008463B8">
        <w:t xml:space="preserve">the overall </w:t>
      </w:r>
      <w:r>
        <w:t>DPC project c</w:t>
      </w:r>
      <w:r w:rsidRPr="008463B8">
        <w:t>osts are considered to be at circa £66m</w:t>
      </w:r>
      <w:r w:rsidR="005D72EF">
        <w:t xml:space="preserve"> </w:t>
      </w:r>
      <w:r w:rsidR="00964B14">
        <w:t>Capex</w:t>
      </w:r>
      <w:r w:rsidR="005D72EF">
        <w:t>,</w:t>
      </w:r>
      <w:r w:rsidRPr="008463B8">
        <w:t xml:space="preserve"> excluding allowances for risk and efficiencies. </w:t>
      </w:r>
      <w:r>
        <w:t xml:space="preserve"> </w:t>
      </w:r>
      <w:r w:rsidRPr="00A66256">
        <w:t xml:space="preserve">This </w:t>
      </w:r>
      <w:r>
        <w:t>is</w:t>
      </w:r>
      <w:r w:rsidRPr="00A66256">
        <w:t xml:space="preserve"> at the lower end of </w:t>
      </w:r>
      <w:r w:rsidR="005D72EF">
        <w:t xml:space="preserve">(or perhaps even beyond) </w:t>
      </w:r>
      <w:r w:rsidRPr="00A66256">
        <w:t xml:space="preserve">what may be considered to be an appropriately sized </w:t>
      </w:r>
      <w:r>
        <w:t xml:space="preserve">project financing </w:t>
      </w:r>
      <w:r w:rsidRPr="00A66256">
        <w:t>scheme, and as a consequence may suffer from lack of market appetite given likely bid cost burdens</w:t>
      </w:r>
      <w:r>
        <w:t>.</w:t>
      </w:r>
    </w:p>
    <w:p w:rsidR="008813E5" w:rsidRDefault="00ED33ED" w:rsidP="008813E5">
      <w:r>
        <w:t xml:space="preserve">The </w:t>
      </w:r>
      <w:r w:rsidR="008813E5" w:rsidRPr="008813E5">
        <w:t xml:space="preserve">assessment was undertaken in comparison with other delivery models, with the key comparator model being a standard in-house Design and Build (D&amp;B) delivery model. The two principal delivery models can be summarised, </w:t>
      </w:r>
      <w:r w:rsidR="008813E5" w:rsidRPr="008813E5">
        <w:rPr>
          <w:i/>
        </w:rPr>
        <w:t>viz</w:t>
      </w:r>
      <w:r w:rsidR="008813E5" w:rsidRPr="008813E5">
        <w:t>:</w:t>
      </w:r>
    </w:p>
    <w:p w:rsidR="008813E5" w:rsidRPr="005D72EF" w:rsidRDefault="008813E5" w:rsidP="008813E5">
      <w:pPr>
        <w:rPr>
          <w:i/>
        </w:rPr>
      </w:pPr>
      <w:r w:rsidRPr="005D72EF">
        <w:rPr>
          <w:i/>
        </w:rPr>
        <w:t>Design and Build (“D&amp;B”) Model</w:t>
      </w:r>
    </w:p>
    <w:p w:rsidR="008813E5" w:rsidRPr="008813E5" w:rsidRDefault="008813E5" w:rsidP="008813E5">
      <w:r w:rsidRPr="008813E5">
        <w:t>Initial outline design carried out by Portsmouth Water, detailed design and construction carried out by third party contractor.  The Contract itself for the reservoir will be let on a target cost basis with a pain/gain share mechanism.</w:t>
      </w:r>
    </w:p>
    <w:p w:rsidR="008813E5" w:rsidRPr="005D72EF" w:rsidRDefault="008813E5" w:rsidP="008813E5">
      <w:pPr>
        <w:rPr>
          <w:i/>
        </w:rPr>
      </w:pPr>
      <w:r w:rsidRPr="005D72EF">
        <w:rPr>
          <w:i/>
        </w:rPr>
        <w:t>DPC Model</w:t>
      </w:r>
    </w:p>
    <w:p w:rsidR="008813E5" w:rsidRPr="008813E5" w:rsidRDefault="008813E5" w:rsidP="008813E5">
      <w:r w:rsidRPr="008813E5">
        <w:t>Outline design carried out by Portsmouth Water, then financing, detailed design, construction and maintenance carried out by a Contractor (the Competitively Appointed Provider or CAP) on a fixed price basis (save for specifically agreed aspects).</w:t>
      </w:r>
    </w:p>
    <w:p w:rsidR="008813E5" w:rsidRPr="005D72EF" w:rsidRDefault="005D72EF" w:rsidP="008813E5">
      <w:pPr>
        <w:rPr>
          <w:i/>
        </w:rPr>
      </w:pPr>
      <w:r w:rsidRPr="005D72EF">
        <w:rPr>
          <w:i/>
        </w:rPr>
        <w:t>Comparison Models</w:t>
      </w:r>
    </w:p>
    <w:p w:rsidR="008813E5" w:rsidRPr="008813E5" w:rsidRDefault="008813E5" w:rsidP="008813E5">
      <w:r w:rsidRPr="008813E5">
        <w:t xml:space="preserve">From PA’s detailed assessment (reproduced in </w:t>
      </w:r>
      <w:r w:rsidR="00427C3F" w:rsidRPr="00F3172E">
        <w:t>Appendix</w:t>
      </w:r>
      <w:r w:rsidRPr="00F3172E">
        <w:t xml:space="preserve"> </w:t>
      </w:r>
      <w:r w:rsidR="00F3172E" w:rsidRPr="00F3172E">
        <w:t>8.3</w:t>
      </w:r>
      <w:r w:rsidRPr="008813E5">
        <w:t xml:space="preserve">), their recommendation and our conclusion is that for the Project, the D&amp;B delivery model would achieve greater benefits to Customers than a DPC model.  Whilst the DPC model has some advantages versus the D&amp;B delivery model, (for example the DPC model means we retain less overall risk) </w:t>
      </w:r>
      <w:r w:rsidR="005D72EF">
        <w:t xml:space="preserve">(for a premium)) </w:t>
      </w:r>
      <w:r w:rsidRPr="008813E5">
        <w:t xml:space="preserve">when compared with DPC the D&amp;B delivery model has some key advantages: </w:t>
      </w:r>
    </w:p>
    <w:p w:rsidR="008813E5" w:rsidRPr="008813E5" w:rsidRDefault="008813E5" w:rsidP="005E4D50">
      <w:pPr>
        <w:pStyle w:val="Bullets"/>
      </w:pPr>
      <w:r w:rsidRPr="008813E5">
        <w:t xml:space="preserve">The majority of </w:t>
      </w:r>
      <w:r w:rsidR="005D72EF">
        <w:t>P</w:t>
      </w:r>
      <w:r w:rsidRPr="008813E5">
        <w:t xml:space="preserve">roject costs are associated with the initial construction of the asset and there is limited Operation and Maintenance (O&amp;M) scope. Indeed, non-recreational facility related </w:t>
      </w:r>
      <w:r w:rsidR="00964B14">
        <w:t>Opex</w:t>
      </w:r>
      <w:r w:rsidRPr="008813E5">
        <w:t xml:space="preserve"> costs a</w:t>
      </w:r>
      <w:r w:rsidR="005E4D50">
        <w:t>re estimated to be on average c</w:t>
      </w:r>
      <w:r w:rsidRPr="008813E5">
        <w:t xml:space="preserve">£330k </w:t>
      </w:r>
      <w:r w:rsidRPr="008813E5">
        <w:rPr>
          <w:i/>
        </w:rPr>
        <w:t>per annum</w:t>
      </w:r>
      <w:r w:rsidRPr="008813E5">
        <w:t xml:space="preserve">. The Project is therefore considered a relatively straightforward D&amp;B with limited opportunity for risk transfer and innovation during the contract period. There seems little merit in incurring additional costs and longer delivery period to allow a DPC entity to manage risks such as </w:t>
      </w:r>
      <w:r w:rsidR="005D72EF">
        <w:t xml:space="preserve">for example </w:t>
      </w:r>
      <w:r w:rsidRPr="008813E5">
        <w:t xml:space="preserve">business continuity which cannot effectively be transferred to them; </w:t>
      </w:r>
    </w:p>
    <w:p w:rsidR="008813E5" w:rsidRPr="008813E5" w:rsidRDefault="008813E5" w:rsidP="005E4D50">
      <w:pPr>
        <w:pStyle w:val="Bullets"/>
      </w:pPr>
      <w:r w:rsidRPr="008813E5">
        <w:t xml:space="preserve">The potential for DPC driven innovation is considered relatively limited with respect to the Project. </w:t>
      </w:r>
      <w:r w:rsidR="00ED33ED">
        <w:t xml:space="preserve"> </w:t>
      </w:r>
      <w:r w:rsidRPr="008813E5">
        <w:t xml:space="preserve">Further, and in this context, the effect of </w:t>
      </w:r>
      <w:r w:rsidR="005D72EF">
        <w:t xml:space="preserve">the potential for </w:t>
      </w:r>
      <w:r w:rsidRPr="008813E5">
        <w:t xml:space="preserve">lower </w:t>
      </w:r>
      <w:r w:rsidR="00964B14">
        <w:t>Capex</w:t>
      </w:r>
      <w:r w:rsidRPr="008813E5">
        <w:t xml:space="preserve"> costs under DPC, driven by </w:t>
      </w:r>
      <w:r w:rsidR="00ED33ED">
        <w:t xml:space="preserve">an </w:t>
      </w:r>
      <w:r w:rsidRPr="008813E5">
        <w:t xml:space="preserve">increased </w:t>
      </w:r>
      <w:r w:rsidR="00ED33ED">
        <w:t>whole life costing approach</w:t>
      </w:r>
      <w:r w:rsidRPr="008813E5">
        <w:t xml:space="preserve">, are diminished when added to the other costs associated with DPC procurement; </w:t>
      </w:r>
    </w:p>
    <w:p w:rsidR="008813E5" w:rsidRPr="008813E5" w:rsidRDefault="008813E5" w:rsidP="005E4D50">
      <w:pPr>
        <w:pStyle w:val="Bullets"/>
      </w:pPr>
      <w:r w:rsidRPr="008813E5">
        <w:t xml:space="preserve">The DPC model </w:t>
      </w:r>
      <w:r w:rsidR="00B021FC">
        <w:t xml:space="preserve">may </w:t>
      </w:r>
      <w:r w:rsidRPr="008813E5">
        <w:t xml:space="preserve">take up to 2 years longer to deliver the Project when compared to the D&amp;B delivery model, due to a more complex procurement process and the need to engage in more detail at each stage, driven in part by the additional time required to procure the CAP.  The consequent delay to start of operations under DPC results in the water supply resilience benefits being marginally higher under the D&amp;B delivery model when considered over the </w:t>
      </w:r>
      <w:r w:rsidR="00F3172E">
        <w:t>P</w:t>
      </w:r>
      <w:r w:rsidRPr="008813E5">
        <w:t>roject</w:t>
      </w:r>
      <w:r w:rsidR="00F3172E">
        <w:t>’s</w:t>
      </w:r>
      <w:r w:rsidRPr="008813E5">
        <w:t xml:space="preserve"> life; </w:t>
      </w:r>
    </w:p>
    <w:p w:rsidR="008813E5" w:rsidRPr="00B021FC" w:rsidRDefault="00B021FC" w:rsidP="00B021FC">
      <w:pPr>
        <w:pStyle w:val="Bullets"/>
      </w:pPr>
      <w:r w:rsidRPr="00B021FC">
        <w:t xml:space="preserve">In the base case, the </w:t>
      </w:r>
      <w:r w:rsidR="00776E2C">
        <w:t>Project</w:t>
      </w:r>
      <w:r w:rsidR="00F3172E">
        <w:t>’s</w:t>
      </w:r>
      <w:r w:rsidR="00776E2C">
        <w:t xml:space="preserve"> cost to customers under </w:t>
      </w:r>
      <w:r w:rsidRPr="00B021FC">
        <w:t>DPC model is higher than the D&amp;B delivery model, due to higher financing costs and equity hurdle rates.</w:t>
      </w:r>
      <w:r>
        <w:t xml:space="preserve"> </w:t>
      </w:r>
      <w:r w:rsidRPr="00B021FC">
        <w:t xml:space="preserve"> This was on the basis of equity and cost of debt benchmarks from a number of publ</w:t>
      </w:r>
      <w:r>
        <w:t>i</w:t>
      </w:r>
      <w:r w:rsidRPr="00B021FC">
        <w:t xml:space="preserve">c sector PFI projects. </w:t>
      </w:r>
      <w:r>
        <w:t xml:space="preserve"> </w:t>
      </w:r>
      <w:r w:rsidRPr="00B021FC">
        <w:t>Furthermore noting results of soft soundings from Aviva and RBS, PA modelled further cost of debt sensitivities.</w:t>
      </w:r>
      <w:r>
        <w:t xml:space="preserve">  </w:t>
      </w:r>
      <w:r w:rsidRPr="00B021FC">
        <w:t>Neither exercise</w:t>
      </w:r>
      <w:r>
        <w:t xml:space="preserve"> </w:t>
      </w:r>
      <w:r w:rsidRPr="00B021FC">
        <w:t xml:space="preserve">caused PA to change its recommendation or us to alter our proposal to deliver the Project </w:t>
      </w:r>
      <w:r>
        <w:t>through the D&amp;B delivery model.</w:t>
      </w:r>
    </w:p>
    <w:p w:rsidR="008813E5" w:rsidRPr="008813E5" w:rsidRDefault="008813E5" w:rsidP="005E4D50">
      <w:pPr>
        <w:pStyle w:val="Bullets"/>
      </w:pPr>
      <w:r w:rsidRPr="008813E5">
        <w:t xml:space="preserve">Given the relatively long design and construction period and the relatively small project size (in a DPC context), the </w:t>
      </w:r>
      <w:r w:rsidR="00F3172E">
        <w:t>P</w:t>
      </w:r>
      <w:r w:rsidRPr="008813E5">
        <w:t xml:space="preserve">roject might not attract adequate financing; and </w:t>
      </w:r>
    </w:p>
    <w:p w:rsidR="008813E5" w:rsidRDefault="008813E5" w:rsidP="005E4D50">
      <w:pPr>
        <w:pStyle w:val="Bullets"/>
      </w:pPr>
      <w:r w:rsidRPr="008813E5">
        <w:t xml:space="preserve">Highly integrated projects, or projects with complex operational or other dependencies with existing assets may not be suitable for DPC, as Ofwat acknowledge. The assets delivered by the </w:t>
      </w:r>
      <w:r w:rsidR="005D72EF">
        <w:t>P</w:t>
      </w:r>
      <w:r w:rsidRPr="008813E5">
        <w:t xml:space="preserve">roject will be fully integrated into and operated as a part of our network of assets.  Given the interface with a long-term DPC contractor, delivery through the DPC model would dilute our operational flexibility. Furthermore, we already operate the day to day delivery of three major bulk supplies to Southern Water.  Once the Project is </w:t>
      </w:r>
      <w:r w:rsidR="005D72EF">
        <w:t>operational</w:t>
      </w:r>
      <w:r w:rsidRPr="008813E5">
        <w:t xml:space="preserve">, we will be trading </w:t>
      </w:r>
      <w:r w:rsidR="00F3172E">
        <w:t xml:space="preserve">around </w:t>
      </w:r>
      <w:r w:rsidRPr="008813E5">
        <w:t xml:space="preserve">60 Ml/d of the 226.5 Ml/d deployable output.  Our long-term strategy to create further surplus to trade with neighbours will require a high level of operational flexibility in resources and the distribution network.  Network modelling and option development taking place in the period up to December 2018 will provide an indication of the degree of further integration required.  </w:t>
      </w:r>
    </w:p>
    <w:p w:rsidR="005E4D50" w:rsidRPr="008813E5" w:rsidRDefault="005E4D50" w:rsidP="005E4D50">
      <w:pPr>
        <w:pStyle w:val="Bullets"/>
        <w:numPr>
          <w:ilvl w:val="0"/>
          <w:numId w:val="0"/>
        </w:numPr>
        <w:ind w:left="1848"/>
      </w:pPr>
    </w:p>
    <w:p w:rsidR="008813E5" w:rsidRDefault="008813E5" w:rsidP="00B021FC">
      <w:r w:rsidRPr="008813E5">
        <w:t xml:space="preserve">PA Consulting also note that there are features under the D&amp;B delivery model </w:t>
      </w:r>
      <w:r w:rsidR="00B021FC">
        <w:t xml:space="preserve">(such as consideration of the technical specifications and works information so that they are less input based and run-on periods to assist in operational integration and whole life costings) </w:t>
      </w:r>
      <w:r w:rsidRPr="008813E5">
        <w:t xml:space="preserve">that can be seen to have parallels with a DPC model. </w:t>
      </w:r>
      <w:r w:rsidR="00B021FC">
        <w:t xml:space="preserve"> </w:t>
      </w:r>
      <w:r w:rsidRPr="008813E5">
        <w:t xml:space="preserve">This means that some of the efficiencies expected to be achieved by DPC can be realised without the delay to delivery of benefits and additional costs to customers that would occur under a full DPC model. </w:t>
      </w:r>
    </w:p>
    <w:p w:rsidR="00F3172E" w:rsidRPr="008813E5" w:rsidRDefault="00F3172E" w:rsidP="00B021FC">
      <w:r>
        <w:t>We have considered the recommendations in PA’s detailed assessment and adopted those that are relevant at this stage in the planning process.  We acknowledge that some figures in their assessment will differ from those in this plan, given refinements in the Project’s cost assessments since the analysis was completed.  We are satisfied that these differences are not material and do not alter their recommendations.</w:t>
      </w:r>
    </w:p>
    <w:p w:rsidR="008813E5" w:rsidRPr="005D72EF" w:rsidRDefault="008813E5" w:rsidP="008813E5">
      <w:pPr>
        <w:rPr>
          <w:i/>
        </w:rPr>
      </w:pPr>
      <w:r w:rsidRPr="005D72EF">
        <w:rPr>
          <w:i/>
        </w:rPr>
        <w:t>Management of the Project</w:t>
      </w:r>
    </w:p>
    <w:p w:rsidR="008813E5" w:rsidRPr="008813E5" w:rsidRDefault="008813E5" w:rsidP="008813E5">
      <w:r w:rsidRPr="008813E5">
        <w:t xml:space="preserve">The size of the </w:t>
      </w:r>
      <w:r w:rsidR="000E0035">
        <w:t>p</w:t>
      </w:r>
      <w:r w:rsidRPr="008813E5">
        <w:t>roject is significant in the context of our wider business.  Both delivery models considered allow for clear risk transfer, and single-point of responsibility for the discrete works packages, with appropriate oversight and minimal interface risk</w:t>
      </w:r>
      <w:r w:rsidR="00B021FC">
        <w:t xml:space="preserve"> between packages of work</w:t>
      </w:r>
      <w:r w:rsidRPr="008813E5">
        <w:t xml:space="preserve">.  The additional client functions needed to deliver through the DPC model are not significantly different to the D&amp;B delivery model given the nature of the </w:t>
      </w:r>
      <w:r w:rsidR="005D72EF">
        <w:t>P</w:t>
      </w:r>
      <w:r w:rsidRPr="008813E5">
        <w:t xml:space="preserve">roject. </w:t>
      </w:r>
      <w:r w:rsidR="005E4D50" w:rsidRPr="008813E5">
        <w:t>Therefore,</w:t>
      </w:r>
      <w:r w:rsidRPr="008813E5">
        <w:t xml:space="preserve"> regardless of which delivery model is chosen, we will need to strengthen our client-side capabilities</w:t>
      </w:r>
      <w:r w:rsidR="005D72EF">
        <w:t xml:space="preserve">.  In this regard we have, or will, </w:t>
      </w:r>
      <w:r w:rsidRPr="008813E5">
        <w:t xml:space="preserve">put in place </w:t>
      </w:r>
      <w:r w:rsidR="005D72EF">
        <w:t xml:space="preserve">for example </w:t>
      </w:r>
      <w:r w:rsidRPr="008813E5">
        <w:t xml:space="preserve">the following measures: </w:t>
      </w:r>
    </w:p>
    <w:p w:rsidR="008813E5" w:rsidRPr="008813E5" w:rsidRDefault="005D72EF" w:rsidP="005E4D50">
      <w:pPr>
        <w:pStyle w:val="Bullets"/>
      </w:pPr>
      <w:r>
        <w:t>We have e</w:t>
      </w:r>
      <w:r w:rsidR="008813E5" w:rsidRPr="008813E5">
        <w:t>ngaged a highly experienced core project team of nationally recognised experts that is integrated within the organisation, comprising Project</w:t>
      </w:r>
      <w:r w:rsidR="00B021FC">
        <w:t xml:space="preserve"> Delivery</w:t>
      </w:r>
      <w:r w:rsidR="008813E5" w:rsidRPr="008813E5">
        <w:t>, Stakeholder and Environment, and Commercial Leads;</w:t>
      </w:r>
      <w:r w:rsidR="00F3172E">
        <w:t xml:space="preserve"> and</w:t>
      </w:r>
    </w:p>
    <w:p w:rsidR="008813E5" w:rsidRDefault="008813E5" w:rsidP="005E4D50">
      <w:pPr>
        <w:pStyle w:val="Bullets"/>
      </w:pPr>
      <w:r w:rsidRPr="008813E5">
        <w:t>We will be engaging a P</w:t>
      </w:r>
      <w:r w:rsidR="005D72EF">
        <w:t xml:space="preserve">roject </w:t>
      </w:r>
      <w:r w:rsidRPr="008813E5">
        <w:t>M</w:t>
      </w:r>
      <w:r w:rsidR="005D72EF">
        <w:t xml:space="preserve">anagement </w:t>
      </w:r>
      <w:r w:rsidRPr="008813E5">
        <w:t>C</w:t>
      </w:r>
      <w:r w:rsidR="005D72EF">
        <w:t>ontractor (PMC)</w:t>
      </w:r>
      <w:r w:rsidRPr="008813E5">
        <w:t xml:space="preserve"> to manage the </w:t>
      </w:r>
      <w:r w:rsidR="005D72EF">
        <w:t>P</w:t>
      </w:r>
      <w:r w:rsidRPr="008813E5">
        <w:t xml:space="preserve">roject to operational readiness. </w:t>
      </w:r>
      <w:r w:rsidR="005D72EF">
        <w:t xml:space="preserve"> </w:t>
      </w:r>
      <w:r w:rsidRPr="008813E5">
        <w:t>The PMC will provide</w:t>
      </w:r>
      <w:r w:rsidR="00B021FC">
        <w:t xml:space="preserve"> further technical</w:t>
      </w:r>
      <w:r w:rsidRPr="008813E5">
        <w:t xml:space="preserve"> expertise in the areas of  Delivery, Commercial and Procurement management, Project Controls, integrating the engineering management (including environmental management), planning and the </w:t>
      </w:r>
      <w:r w:rsidR="005D72EF">
        <w:t>P</w:t>
      </w:r>
      <w:r w:rsidRPr="008813E5">
        <w:t xml:space="preserve">roject executive. </w:t>
      </w:r>
      <w:r w:rsidR="005D72EF">
        <w:t xml:space="preserve"> </w:t>
      </w:r>
      <w:r w:rsidRPr="008813E5">
        <w:t xml:space="preserve">As part of the PMC, well established processes and procedures will be applied to the </w:t>
      </w:r>
      <w:r w:rsidR="005D72EF">
        <w:t>P</w:t>
      </w:r>
      <w:r w:rsidRPr="008813E5">
        <w:t xml:space="preserve">roject, alongside industry recognised systems and tools to run the </w:t>
      </w:r>
      <w:r w:rsidR="005D72EF">
        <w:t>P</w:t>
      </w:r>
      <w:r w:rsidRPr="008813E5">
        <w:t>roject to budget and time. The benefits of the PMC will be transferred to the internal project deli</w:t>
      </w:r>
      <w:r>
        <w:t xml:space="preserve">very of </w:t>
      </w:r>
      <w:r w:rsidR="00964B14">
        <w:t xml:space="preserve">Portsmouth Water </w:t>
      </w:r>
      <w:r>
        <w:t xml:space="preserve">on other projects. </w:t>
      </w:r>
    </w:p>
    <w:p w:rsidR="008B3495" w:rsidRDefault="008B3495">
      <w:pPr>
        <w:tabs>
          <w:tab w:val="clear" w:pos="851"/>
        </w:tabs>
        <w:spacing w:after="0"/>
        <w:ind w:left="0"/>
        <w:jc w:val="left"/>
      </w:pPr>
    </w:p>
    <w:p w:rsidR="008813E5" w:rsidRPr="008813E5" w:rsidRDefault="00B021FC" w:rsidP="008813E5">
      <w:r>
        <w:rPr>
          <w:b/>
        </w:rPr>
        <w:t>C</w:t>
      </w:r>
      <w:r w:rsidR="008813E5" w:rsidRPr="008813E5">
        <w:rPr>
          <w:b/>
        </w:rPr>
        <w:t>ost</w:t>
      </w:r>
      <w:r>
        <w:rPr>
          <w:b/>
        </w:rPr>
        <w:t>, Risk and Uncertainties</w:t>
      </w:r>
    </w:p>
    <w:p w:rsidR="00955576" w:rsidRDefault="00955576" w:rsidP="00955576">
      <w:r>
        <w:t>Project costs developed in 2008 have been comprehensively reviewed, benchmarked updated and assured, and are well understood</w:t>
      </w:r>
      <w:r w:rsidR="00F3172E">
        <w:t>, and are summarised in Appendix 8.4</w:t>
      </w:r>
      <w:r>
        <w:t xml:space="preserve">.  The whole life </w:t>
      </w:r>
      <w:r w:rsidR="00560B22">
        <w:t>Totex</w:t>
      </w:r>
      <w:r w:rsidR="00F3172E">
        <w:rPr>
          <w:caps/>
        </w:rPr>
        <w:t xml:space="preserve"> </w:t>
      </w:r>
      <w:r>
        <w:t>cost of the Project is estimated at p50 to be £103m, and we have set out the range of costs from p10 to p90 to</w:t>
      </w:r>
      <w:r w:rsidRPr="00F95C57">
        <w:t xml:space="preserve"> ensure consistency with Ofwat’s approach to RoRE scenario modelling, described in Final Guidance </w:t>
      </w:r>
      <w:r w:rsidR="00F61B95">
        <w:t>A</w:t>
      </w:r>
      <w:r w:rsidRPr="00F95C57">
        <w:t>ppendix 12 (aligning risk and return)</w:t>
      </w:r>
      <w:r>
        <w:t xml:space="preserve">. </w:t>
      </w:r>
    </w:p>
    <w:p w:rsidR="00955576" w:rsidRDefault="00955576" w:rsidP="00955576">
      <w:r>
        <w:t>In its guidance for PR19</w:t>
      </w:r>
      <w:r>
        <w:rPr>
          <w:rStyle w:val="FootnoteReference"/>
          <w:sz w:val="22"/>
          <w:szCs w:val="22"/>
        </w:rPr>
        <w:footnoteReference w:id="1"/>
      </w:r>
      <w:r>
        <w:t xml:space="preserve">, Ofwat has suggested that for significant investments in new water resources the incumbent should propose their own risk sharing arrangements with customers.  It set out 5 principles that the arrangement should meet.  After considering a number of alternatives, we intend to manage uncertainty as part of the overall </w:t>
      </w:r>
      <w:r w:rsidR="00560B22">
        <w:t>Totex</w:t>
      </w:r>
      <w:r>
        <w:t xml:space="preserve"> approach.  We believe this is the simplest and most easily understood arrangement that provides a good deal for customers and is proportionate to the size of the investment, and the degree of certainty we have over its costs.</w:t>
      </w:r>
    </w:p>
    <w:p w:rsidR="00955576" w:rsidRDefault="00955576" w:rsidP="00955576">
      <w:r>
        <w:t>A</w:t>
      </w:r>
      <w:r w:rsidRPr="00F95C57">
        <w:t xml:space="preserve"> detailed review of the </w:t>
      </w:r>
      <w:r w:rsidR="005D72EF">
        <w:t>P</w:t>
      </w:r>
      <w:r w:rsidRPr="00F95C57">
        <w:t xml:space="preserve">roject risks has been </w:t>
      </w:r>
      <w:r>
        <w:t>carried out</w:t>
      </w:r>
      <w:r w:rsidRPr="00F95C57">
        <w:t xml:space="preserve"> and a Quantitative Risk Analysis (QRA) completed, allowing elements of the Optimism Bias to be replaced by specific risk provisions </w:t>
      </w:r>
      <w:r>
        <w:t>with a small</w:t>
      </w:r>
      <w:r w:rsidRPr="00F95C57">
        <w:t xml:space="preserve"> allowance for unknown risks.</w:t>
      </w:r>
      <w:r>
        <w:t xml:space="preserve">  These analyses combined give us a </w:t>
      </w:r>
      <w:r w:rsidR="005D72EF">
        <w:t xml:space="preserve">reasonable </w:t>
      </w:r>
      <w:r>
        <w:t>degree of confidence in the Project costs.</w:t>
      </w:r>
    </w:p>
    <w:p w:rsidR="00776E2C" w:rsidRDefault="00776E2C" w:rsidP="00776E2C">
      <w:r>
        <w:t xml:space="preserve">We are reviewing </w:t>
      </w:r>
      <w:r w:rsidR="00F3172E">
        <w:t xml:space="preserve">whether </w:t>
      </w:r>
      <w:r>
        <w:t>the Project may be accelerated,</w:t>
      </w:r>
      <w:r w:rsidR="00F3172E">
        <w:t xml:space="preserve"> if Ofwat were to support this.  O</w:t>
      </w:r>
      <w:r>
        <w:t>ur initial view is that the key area of certainty in order for us to potentially accelerate the development of the Project would be for an early view on our proposal concerning the use of the D&amp;B delivery model.</w:t>
      </w:r>
    </w:p>
    <w:p w:rsidR="004D4055" w:rsidRDefault="004D4055" w:rsidP="004D4055">
      <w:r>
        <w:t>In the methodology for PR19, Ofwat state they expect incumbent</w:t>
      </w:r>
      <w:r w:rsidR="00776E2C">
        <w:t>s</w:t>
      </w:r>
      <w:r>
        <w:t xml:space="preserve"> should propose a long</w:t>
      </w:r>
      <w:r w:rsidR="00776E2C">
        <w:t>-</w:t>
      </w:r>
      <w:r>
        <w:t>term risk sharing arrangement to address two risks;</w:t>
      </w:r>
    </w:p>
    <w:p w:rsidR="004D4055" w:rsidRDefault="004D4055" w:rsidP="004D4055">
      <w:pPr>
        <w:tabs>
          <w:tab w:val="left" w:pos="1418"/>
        </w:tabs>
        <w:ind w:left="1418" w:hanging="567"/>
      </w:pPr>
      <w:r>
        <w:t>(i)</w:t>
      </w:r>
      <w:r>
        <w:tab/>
        <w:t>the risk of new entries into the market which may render the proposed scheme redundant or providing less volume</w:t>
      </w:r>
    </w:p>
    <w:p w:rsidR="004D4055" w:rsidRDefault="004D4055" w:rsidP="004D4055">
      <w:pPr>
        <w:tabs>
          <w:tab w:val="left" w:pos="1418"/>
        </w:tabs>
        <w:ind w:left="1418" w:hanging="567"/>
      </w:pPr>
      <w:r>
        <w:t>(ii)</w:t>
      </w:r>
      <w:r>
        <w:tab/>
        <w:t>Demand in the future does not meet current projection and the scheme is not needed or the capacity required is less</w:t>
      </w:r>
    </w:p>
    <w:p w:rsidR="004D4055" w:rsidRDefault="005D72EF" w:rsidP="004D4055">
      <w:pPr>
        <w:tabs>
          <w:tab w:val="left" w:pos="1418"/>
        </w:tabs>
      </w:pPr>
      <w:r>
        <w:t xml:space="preserve">The </w:t>
      </w:r>
      <w:r w:rsidR="00F3172E">
        <w:t>P</w:t>
      </w:r>
      <w:r>
        <w:t xml:space="preserve">roject </w:t>
      </w:r>
      <w:r w:rsidR="004D4055">
        <w:t xml:space="preserve">is a resilience scheme, its whole purpose is to </w:t>
      </w:r>
      <w:r>
        <w:t xml:space="preserve">ensure water is </w:t>
      </w:r>
      <w:r w:rsidR="004D4055">
        <w:t xml:space="preserve">available in drought conditions which may </w:t>
      </w:r>
      <w:r w:rsidR="003C6CA3">
        <w:t xml:space="preserve">rarely </w:t>
      </w:r>
      <w:r w:rsidR="004D4055">
        <w:t>occur.  Therefore, customers are paying for the security that, in an extreme drought, water is available.  The arrangement proposed is that it will be a long</w:t>
      </w:r>
      <w:r>
        <w:t>-</w:t>
      </w:r>
      <w:r w:rsidR="004D4055">
        <w:t xml:space="preserve">term contract </w:t>
      </w:r>
      <w:r>
        <w:t xml:space="preserve">with Southern Water </w:t>
      </w:r>
      <w:r w:rsidR="004D4055">
        <w:t xml:space="preserve">with payments recovering the capital and funding costs </w:t>
      </w:r>
      <w:r>
        <w:t xml:space="preserve">of the reservoir </w:t>
      </w:r>
      <w:r w:rsidR="004D4055">
        <w:t>irrespective of the volume supplied.</w:t>
      </w:r>
    </w:p>
    <w:p w:rsidR="004D4055" w:rsidRPr="00FD2CEC" w:rsidRDefault="004D4055" w:rsidP="004D4055">
      <w:pPr>
        <w:tabs>
          <w:tab w:val="left" w:pos="1418"/>
        </w:tabs>
      </w:pPr>
      <w:r>
        <w:t>We therefore believe that a capacity adjustment mechanism is not appropriate in this case.</w:t>
      </w:r>
    </w:p>
    <w:p w:rsidR="00955576" w:rsidRDefault="00955576" w:rsidP="00955576">
      <w:r>
        <w:t xml:space="preserve">The </w:t>
      </w:r>
      <w:r w:rsidR="00F3172E">
        <w:t>P</w:t>
      </w:r>
      <w:r>
        <w:t xml:space="preserve">roject will be delivered through </w:t>
      </w:r>
      <w:r w:rsidRPr="00F95C57">
        <w:t>standard engineering methods conventionally used by the UK water sector.  There are no innovative technology or construction methodologies proposed, and no specialist infras</w:t>
      </w:r>
      <w:r>
        <w:t>tructure facilities required.  It will be developed almost entirely on land we own, and n</w:t>
      </w:r>
      <w:r w:rsidRPr="00F95C57">
        <w:t>o homes, properties, businesses or other developments will be lost</w:t>
      </w:r>
      <w:r>
        <w:t xml:space="preserve"> or displaced,</w:t>
      </w:r>
      <w:r w:rsidRPr="00F95C57">
        <w:t xml:space="preserve"> removing a major source of risk that would otherwise typically be part of an infrastructure project of this type.  </w:t>
      </w:r>
    </w:p>
    <w:p w:rsidR="00776E2C" w:rsidRDefault="00776E2C" w:rsidP="00776E2C">
      <w:r>
        <w:t>We will refine the costs over the next year as the design matures and discussions with the planning authorities are progressed</w:t>
      </w:r>
      <w:r w:rsidR="00F3172E">
        <w:t xml:space="preserve">.  We will share the results, and </w:t>
      </w:r>
      <w:r>
        <w:t>any further considerations on cost sharing which may arise as a result of further information with Ofwat up to the Final Determination.</w:t>
      </w:r>
    </w:p>
    <w:p w:rsidR="00955576" w:rsidRDefault="00955576" w:rsidP="00955576">
      <w:r>
        <w:t xml:space="preserve">We have agreed with Southern Water </w:t>
      </w:r>
      <w:r w:rsidR="005D72EF">
        <w:t xml:space="preserve">that we will </w:t>
      </w:r>
      <w:r>
        <w:t>deliver the reservoir and the</w:t>
      </w:r>
      <w:r w:rsidRPr="00F95C57">
        <w:t xml:space="preserve"> network upgrades in </w:t>
      </w:r>
      <w:r>
        <w:t>our</w:t>
      </w:r>
      <w:r w:rsidRPr="00F95C57">
        <w:t xml:space="preserve"> area, and incur the associated development, finance, capital</w:t>
      </w:r>
      <w:r>
        <w:t xml:space="preserve">, operational and other costs. We </w:t>
      </w:r>
      <w:r w:rsidRPr="00F95C57">
        <w:t xml:space="preserve">will recover these costs from Southern Water, together with an economic profit consistent with Ofwat’s principles for pricing bulk trade agreements. </w:t>
      </w:r>
      <w:r>
        <w:t xml:space="preserve">We will not proceed with significant expenditure that would put our customers at risk, until we have secured this formal agreement with Southern Water. </w:t>
      </w:r>
      <w:r w:rsidRPr="00F95C57">
        <w:t>In finalising the cost recovery process and the bulk supply agreement, we will be guided by our Trading and Procurement Codes and by Ofwat’s published guidance and policy principles.</w:t>
      </w:r>
    </w:p>
    <w:p w:rsidR="006E11E7" w:rsidRPr="006E11E7" w:rsidRDefault="006E11E7" w:rsidP="008813E5">
      <w:pPr>
        <w:rPr>
          <w:b/>
        </w:rPr>
      </w:pPr>
      <w:r w:rsidRPr="006E11E7">
        <w:rPr>
          <w:b/>
        </w:rPr>
        <w:t>Impact on bills for customers of Portsmouth Water</w:t>
      </w:r>
    </w:p>
    <w:p w:rsidR="006E11E7" w:rsidRDefault="006E11E7" w:rsidP="008813E5">
      <w:r>
        <w:t xml:space="preserve">The </w:t>
      </w:r>
      <w:r w:rsidR="00F3172E">
        <w:t>P</w:t>
      </w:r>
      <w:r w:rsidR="005D72EF">
        <w:t xml:space="preserve">roject </w:t>
      </w:r>
      <w:r>
        <w:t xml:space="preserve">is being constructed to allow an increase in bulk supplies to Southern Water.  Our customers support the reservoir and </w:t>
      </w:r>
      <w:r w:rsidR="00D3378D">
        <w:t xml:space="preserve">the provision of </w:t>
      </w:r>
      <w:r>
        <w:t xml:space="preserve">bulk supplies, </w:t>
      </w:r>
      <w:r w:rsidR="00872BAF">
        <w:t xml:space="preserve">and </w:t>
      </w:r>
      <w:r>
        <w:t>do not believe they should contribute to the scheme through their own bills.</w:t>
      </w:r>
    </w:p>
    <w:p w:rsidR="006E11E7" w:rsidRDefault="006E11E7" w:rsidP="008813E5">
      <w:r>
        <w:t xml:space="preserve">As a result Portsmouth Water </w:t>
      </w:r>
      <w:r w:rsidR="00872BAF">
        <w:t xml:space="preserve">customers’ bills </w:t>
      </w:r>
      <w:r>
        <w:t xml:space="preserve">are not impacted </w:t>
      </w:r>
      <w:r w:rsidR="00872BAF">
        <w:t xml:space="preserve">by the </w:t>
      </w:r>
      <w:r w:rsidR="00F3172E">
        <w:t>P</w:t>
      </w:r>
      <w:r w:rsidR="00872BAF">
        <w:t>roject</w:t>
      </w:r>
      <w:r>
        <w:t xml:space="preserve">.  The </w:t>
      </w:r>
      <w:r w:rsidR="00F3172E">
        <w:t>basis for charging Southern Water for bulk supplies is set out in the paragraph above.</w:t>
      </w:r>
    </w:p>
    <w:p w:rsidR="00872BAF" w:rsidRDefault="00872BAF" w:rsidP="008813E5">
      <w:r>
        <w:t xml:space="preserve">Some of the upgrades to our network, expected to be carried out in AMP8, may further improve the resilience of supplies to both Southern Water and </w:t>
      </w:r>
      <w:r w:rsidR="005F36E7">
        <w:t xml:space="preserve">our </w:t>
      </w:r>
      <w:r>
        <w:t xml:space="preserve">customers.  These upgrades have yet to be determined and designed and are not included in the overall costs for the </w:t>
      </w:r>
      <w:r w:rsidR="00F3172E">
        <w:t>P</w:t>
      </w:r>
      <w:r>
        <w:t>roject, and will not occur in the period between 2020-2025.</w:t>
      </w:r>
    </w:p>
    <w:p w:rsidR="00872BAF" w:rsidRDefault="00872BAF" w:rsidP="008813E5">
      <w:r>
        <w:t>We have agreed to support the principle of proportionality in cost recovery for this element of future investment.  Therefore, a proportion may be paid for by Portsmouth Water customers after 2025.  We will work together with Southern Water to determine a practicable approach to achieve this, including undertaking further customer engagement work in support of any proposals.</w:t>
      </w:r>
    </w:p>
    <w:p w:rsidR="008813E5" w:rsidRPr="008813E5" w:rsidRDefault="008813E5" w:rsidP="008813E5">
      <w:pPr>
        <w:rPr>
          <w:b/>
        </w:rPr>
      </w:pPr>
      <w:r w:rsidRPr="008813E5">
        <w:rPr>
          <w:b/>
        </w:rPr>
        <w:t>Customer and Stakeholder Support</w:t>
      </w:r>
    </w:p>
    <w:p w:rsidR="0024233B" w:rsidRDefault="008813E5" w:rsidP="0024233B">
      <w:r w:rsidRPr="008813E5">
        <w:t xml:space="preserve">Customers and stakeholders have demonstrated strong support for the proposal and have already played an integral role in defining the pipelines routes, amenities and environmental mitigation and improvements. </w:t>
      </w:r>
      <w:r w:rsidR="0024233B">
        <w:t xml:space="preserve"> </w:t>
      </w:r>
      <w:r w:rsidRPr="008813E5">
        <w:t>The reservoir site and pipeline route are safeguarded in the Local Plans of the relevant local authorities, which includes a statement that planning permission is likely if stated conditions are met.</w:t>
      </w:r>
      <w:r w:rsidR="0024233B">
        <w:t xml:space="preserve">  Natural England and the Environment Agency have in their responses to our draft WRMP demonstrated their support for the </w:t>
      </w:r>
      <w:r w:rsidR="00872BAF">
        <w:t>P</w:t>
      </w:r>
      <w:r w:rsidR="0024233B">
        <w:t>roject, subject to local issues being resolved through the Planning process.</w:t>
      </w:r>
    </w:p>
    <w:p w:rsidR="0024233B" w:rsidRDefault="0024233B" w:rsidP="0024233B">
      <w:r w:rsidRPr="003E0343">
        <w:t xml:space="preserve">The </w:t>
      </w:r>
      <w:r w:rsidR="00F3172E">
        <w:t>P</w:t>
      </w:r>
      <w:r w:rsidRPr="003E0343">
        <w:t xml:space="preserve">roject has </w:t>
      </w:r>
      <w:r>
        <w:t xml:space="preserve">the </w:t>
      </w:r>
      <w:r w:rsidRPr="003E0343">
        <w:t xml:space="preserve">support </w:t>
      </w:r>
      <w:r>
        <w:t xml:space="preserve">of </w:t>
      </w:r>
      <w:r w:rsidRPr="003E0343">
        <w:t>local communities, who are keen to ensure a positive legacy fr</w:t>
      </w:r>
      <w:r>
        <w:t>om the reservoir’s development</w:t>
      </w:r>
      <w:r w:rsidRPr="003E0343">
        <w:t>.</w:t>
      </w:r>
      <w:r>
        <w:t xml:space="preserve">  We have expressed our commitment to ensure the </w:t>
      </w:r>
      <w:r w:rsidR="00DF1DAC">
        <w:t>P</w:t>
      </w:r>
      <w:r>
        <w:t xml:space="preserve">roject leaves a lasting and positive social, environmental and economic legacy, and we are working initially through the stakeholder panel and local planning authorities to achieve these objectives efficiently. </w:t>
      </w:r>
      <w:r w:rsidR="00DF1DAC">
        <w:t xml:space="preserve"> An initial natural capital accounting analysis of the Project concluded that overall there would be substantial net gains, with a focus on recreation, health, well-being and water provision, particularly in drought years.  Further detail is set out in Appendix 8.2.</w:t>
      </w:r>
    </w:p>
    <w:p w:rsidR="008813E5" w:rsidRDefault="0024233B" w:rsidP="0024233B">
      <w:r>
        <w:t xml:space="preserve">This level of expressed support, and the high quality of our working relationships with stakeholders, local communities and customers gives us a high degree of confidence that the </w:t>
      </w:r>
      <w:r w:rsidR="00DF1DAC">
        <w:t>P</w:t>
      </w:r>
      <w:r>
        <w:t>roject is deliverable.</w:t>
      </w:r>
    </w:p>
    <w:p w:rsidR="008813E5" w:rsidRPr="008813E5" w:rsidRDefault="008813E5" w:rsidP="008813E5">
      <w:r w:rsidRPr="008813E5">
        <w:t>Over 87% of the 2,084 of our customers</w:t>
      </w:r>
      <w:r w:rsidR="0024233B">
        <w:t>,</w:t>
      </w:r>
      <w:r w:rsidRPr="008813E5">
        <w:t xml:space="preserve"> who responded </w:t>
      </w:r>
      <w:r w:rsidR="0024233B">
        <w:t>to our</w:t>
      </w:r>
      <w:r w:rsidR="005F36E7">
        <w:t xml:space="preserve"> draft</w:t>
      </w:r>
      <w:r w:rsidR="0024233B">
        <w:t xml:space="preserve"> WRMP consultation, </w:t>
      </w:r>
      <w:r w:rsidRPr="008813E5">
        <w:t xml:space="preserve">said they supported our plans to build the reservoir as a regional water source and community facility.  Over 80% agreed we should share water with our neighbours as part of a solution to the shortage of water in the South East as a whole. </w:t>
      </w:r>
      <w:r w:rsidR="0024233B">
        <w:t xml:space="preserve"> </w:t>
      </w:r>
      <w:r w:rsidRPr="008813E5">
        <w:t xml:space="preserve">Of the 128 Southern Water customers who responded, 82% agreed that it is a good idea to trade water with neighbouring water companies in a ‘regional grid’ as part of the Water Resources in the South East group. </w:t>
      </w:r>
    </w:p>
    <w:p w:rsidR="008813E5" w:rsidRDefault="008813E5" w:rsidP="008813E5">
      <w:r w:rsidRPr="008813E5">
        <w:t>Since 2008 we have worked alongside Southern Water to establish a panel of stakeholders</w:t>
      </w:r>
      <w:r w:rsidR="00281B49">
        <w:t xml:space="preserve"> including representatives of local government, wildlife bodies, Forestry Commission, the EA and Natural England.  All are supportive of the </w:t>
      </w:r>
      <w:r w:rsidR="00DF1DAC">
        <w:t>P</w:t>
      </w:r>
      <w:r w:rsidR="00281B49">
        <w:t>roject</w:t>
      </w:r>
      <w:r w:rsidRPr="008813E5">
        <w:t>.  The panel has met twice in 2018, on site visits and to collaborate on environmental monitoring and preparations for a planning application.</w:t>
      </w:r>
    </w:p>
    <w:p w:rsidR="00A343B1" w:rsidRDefault="00A343B1" w:rsidP="008813E5">
      <w:r>
        <w:rPr>
          <w:b/>
        </w:rPr>
        <w:t>Meeting the Government’s Priorities</w:t>
      </w:r>
    </w:p>
    <w:p w:rsidR="00A343B1" w:rsidRDefault="00A343B1" w:rsidP="008813E5">
      <w:r>
        <w:t xml:space="preserve">The Government has stated that resilience of </w:t>
      </w:r>
      <w:r w:rsidR="00871242">
        <w:t>long-term</w:t>
      </w:r>
      <w:r>
        <w:t xml:space="preserve"> water supplies is a priority.  The four </w:t>
      </w:r>
      <w:r w:rsidR="00CE023A">
        <w:t>R</w:t>
      </w:r>
      <w:r>
        <w:t xml:space="preserve">egulators </w:t>
      </w:r>
      <w:r w:rsidR="00872BAF">
        <w:t xml:space="preserve">of </w:t>
      </w:r>
      <w:r>
        <w:t>the water industry wr</w:t>
      </w:r>
      <w:r w:rsidR="00281B49">
        <w:t>o</w:t>
      </w:r>
      <w:r>
        <w:t xml:space="preserve">te to the CEOs of water companies </w:t>
      </w:r>
      <w:r w:rsidR="00281B49">
        <w:t xml:space="preserve">in August 2018 </w:t>
      </w:r>
      <w:r>
        <w:t>to challenge them to improve water resource management in England.  The challenge covered five areas:</w:t>
      </w:r>
    </w:p>
    <w:p w:rsidR="00A343B1" w:rsidRDefault="00A343B1" w:rsidP="00A343B1">
      <w:pPr>
        <w:ind w:left="1440" w:hanging="589"/>
      </w:pPr>
      <w:r>
        <w:t>1.</w:t>
      </w:r>
      <w:r>
        <w:tab/>
        <w:t>Increased ambition in the forthcoming company business plans for the 2020 to 2025 period.</w:t>
      </w:r>
    </w:p>
    <w:p w:rsidR="00A343B1" w:rsidRDefault="00A343B1" w:rsidP="00A343B1">
      <w:pPr>
        <w:ind w:left="1440" w:hanging="589"/>
      </w:pPr>
      <w:r>
        <w:t>2.</w:t>
      </w:r>
      <w:r>
        <w:tab/>
        <w:t>Regional water resource planning that transcends company boundaries and identifies optimum solutions for the region, and the nation as a whole.</w:t>
      </w:r>
    </w:p>
    <w:p w:rsidR="00A343B1" w:rsidRDefault="00A343B1" w:rsidP="00A343B1">
      <w:pPr>
        <w:ind w:left="1440" w:hanging="589"/>
      </w:pPr>
      <w:r>
        <w:t>3.</w:t>
      </w:r>
      <w:r>
        <w:tab/>
        <w:t>Greater use of markets and competition to ensure solutions are delivered efficiently.</w:t>
      </w:r>
    </w:p>
    <w:p w:rsidR="00A343B1" w:rsidRDefault="00A343B1" w:rsidP="00A343B1">
      <w:pPr>
        <w:ind w:left="1440" w:hanging="589"/>
      </w:pPr>
      <w:r>
        <w:t>4.</w:t>
      </w:r>
      <w:r>
        <w:tab/>
        <w:t xml:space="preserve">Clear, joined up direction from </w:t>
      </w:r>
      <w:r w:rsidR="00CE023A">
        <w:t>G</w:t>
      </w:r>
      <w:r>
        <w:t xml:space="preserve">overnment and </w:t>
      </w:r>
      <w:r w:rsidR="00CE023A">
        <w:t>R</w:t>
      </w:r>
      <w:r>
        <w:t>egulators.</w:t>
      </w:r>
    </w:p>
    <w:p w:rsidR="00A343B1" w:rsidRDefault="00A343B1" w:rsidP="00A343B1">
      <w:pPr>
        <w:ind w:left="1440" w:hanging="589"/>
      </w:pPr>
      <w:r>
        <w:t>5.</w:t>
      </w:r>
      <w:r>
        <w:tab/>
        <w:t>A responsive regulatory approach to deal with issues as they arise.</w:t>
      </w:r>
    </w:p>
    <w:p w:rsidR="005867C4" w:rsidRPr="00A343B1" w:rsidRDefault="005867C4" w:rsidP="005867C4">
      <w:r>
        <w:t xml:space="preserve">This </w:t>
      </w:r>
      <w:r w:rsidR="00DF1DAC">
        <w:t>P</w:t>
      </w:r>
      <w:r>
        <w:t xml:space="preserve">roject is </w:t>
      </w:r>
      <w:r w:rsidR="00872BAF">
        <w:t xml:space="preserve">our </w:t>
      </w:r>
      <w:r>
        <w:t xml:space="preserve">clear first step in meeting </w:t>
      </w:r>
      <w:r w:rsidR="00872BAF">
        <w:t xml:space="preserve">the first three of </w:t>
      </w:r>
      <w:r>
        <w:t>those challenges and demonstrates our intention to play our part in improving resilience in the South East of England.</w:t>
      </w:r>
      <w:r w:rsidR="00872BAF">
        <w:t xml:space="preserve">  We look forward to working with the </w:t>
      </w:r>
      <w:r w:rsidR="00F61B95">
        <w:t>R</w:t>
      </w:r>
      <w:r w:rsidR="00872BAF">
        <w:t>egulators to help them achieve the final two challenges, and embedding the learning from this Project across the water industry.</w:t>
      </w:r>
    </w:p>
    <w:p w:rsidR="008E7569" w:rsidRDefault="008E7569" w:rsidP="008E7569">
      <w:pPr>
        <w:pStyle w:val="Heading2"/>
      </w:pPr>
      <w:bookmarkStart w:id="183" w:name="_Toc522200020"/>
      <w:bookmarkStart w:id="184" w:name="_Toc522200117"/>
      <w:bookmarkStart w:id="185" w:name="_Toc523651306"/>
      <w:r>
        <w:t>Bid Assessment Framework</w:t>
      </w:r>
      <w:bookmarkEnd w:id="183"/>
      <w:bookmarkEnd w:id="184"/>
      <w:bookmarkEnd w:id="185"/>
    </w:p>
    <w:p w:rsidR="008813E5" w:rsidRPr="004839B0" w:rsidRDefault="008813E5" w:rsidP="008813E5">
      <w:pPr>
        <w:rPr>
          <w:b/>
        </w:rPr>
      </w:pPr>
      <w:r w:rsidRPr="004839B0">
        <w:rPr>
          <w:b/>
        </w:rPr>
        <w:t>Introduction</w:t>
      </w:r>
    </w:p>
    <w:p w:rsidR="008813E5" w:rsidRPr="006E0767" w:rsidRDefault="008813E5" w:rsidP="008813E5">
      <w:pPr>
        <w:rPr>
          <w:rFonts w:cs="Arial"/>
        </w:rPr>
      </w:pPr>
      <w:r w:rsidRPr="006E0767">
        <w:rPr>
          <w:rFonts w:cs="Arial"/>
          <w:color w:val="000000"/>
        </w:rPr>
        <w:t xml:space="preserve">The draft Water Resources Management Plan (WRMP) was published in March 2018. </w:t>
      </w:r>
      <w:r w:rsidRPr="006E0767">
        <w:rPr>
          <w:rFonts w:cs="Arial"/>
        </w:rPr>
        <w:t>The document considers how much water we have available today, how much we need to supply in the future and then develops options to make up any difference. There has already been a considerable amount of consultation associated with the plan, which includes the views of both our customers and the Water Resources in the South</w:t>
      </w:r>
      <w:r w:rsidR="005F36E7">
        <w:rPr>
          <w:rFonts w:cs="Arial"/>
        </w:rPr>
        <w:t xml:space="preserve"> E</w:t>
      </w:r>
      <w:r w:rsidRPr="006E0767">
        <w:rPr>
          <w:rFonts w:cs="Arial"/>
        </w:rPr>
        <w:t xml:space="preserve">ast Group, which </w:t>
      </w:r>
      <w:r w:rsidR="005E4D50" w:rsidRPr="006E0767">
        <w:rPr>
          <w:rFonts w:cs="Arial"/>
        </w:rPr>
        <w:t>comprises</w:t>
      </w:r>
      <w:r w:rsidRPr="006E0767">
        <w:rPr>
          <w:rFonts w:cs="Arial"/>
        </w:rPr>
        <w:t xml:space="preserve"> </w:t>
      </w:r>
      <w:r w:rsidR="005E4D50" w:rsidRPr="006E0767">
        <w:rPr>
          <w:rFonts w:cs="Arial"/>
        </w:rPr>
        <w:t>six</w:t>
      </w:r>
      <w:r w:rsidRPr="006E0767">
        <w:rPr>
          <w:rFonts w:cs="Arial"/>
        </w:rPr>
        <w:t xml:space="preserve"> Water Companies the Environment Agency, Ofwat, </w:t>
      </w:r>
      <w:r w:rsidR="00E76864">
        <w:rPr>
          <w:rFonts w:cs="Arial"/>
        </w:rPr>
        <w:t>DEFRA</w:t>
      </w:r>
      <w:r w:rsidRPr="006E0767">
        <w:rPr>
          <w:rFonts w:cs="Arial"/>
        </w:rPr>
        <w:t xml:space="preserve"> and the Consumer Council for Water. </w:t>
      </w:r>
    </w:p>
    <w:p w:rsidR="008813E5" w:rsidRPr="006E0767" w:rsidRDefault="008813E5" w:rsidP="008813E5">
      <w:pPr>
        <w:rPr>
          <w:rFonts w:cs="Arial"/>
        </w:rPr>
      </w:pPr>
      <w:r w:rsidRPr="006E0767">
        <w:rPr>
          <w:rFonts w:cs="Arial"/>
        </w:rPr>
        <w:t xml:space="preserve">A key element of the plan is the facility that allows incumbents and thirds parties to bid to provide solutions that will influence the WRMP and its implementation. </w:t>
      </w:r>
    </w:p>
    <w:p w:rsidR="008813E5" w:rsidRPr="004839B0" w:rsidRDefault="008813E5" w:rsidP="008813E5">
      <w:pPr>
        <w:rPr>
          <w:b/>
        </w:rPr>
      </w:pPr>
      <w:r w:rsidRPr="004839B0">
        <w:rPr>
          <w:b/>
        </w:rPr>
        <w:t>Bid Assessment Criteria</w:t>
      </w:r>
    </w:p>
    <w:p w:rsidR="008813E5" w:rsidRPr="006E0767" w:rsidRDefault="005F36E7" w:rsidP="008813E5">
      <w:pPr>
        <w:rPr>
          <w:rFonts w:cs="Arial"/>
        </w:rPr>
      </w:pPr>
      <w:r>
        <w:rPr>
          <w:rFonts w:cs="Arial"/>
        </w:rPr>
        <w:t xml:space="preserve">We have </w:t>
      </w:r>
      <w:r w:rsidR="008813E5" w:rsidRPr="006E0767">
        <w:rPr>
          <w:rFonts w:cs="Arial"/>
        </w:rPr>
        <w:t xml:space="preserve">developed a Bid Assessment Criteria (BAC) to act as a framework; providing a structure for third parties and incumbents to submit solutions. The </w:t>
      </w:r>
      <w:r w:rsidR="00871242">
        <w:rPr>
          <w:rFonts w:cs="Arial"/>
        </w:rPr>
        <w:t>BAC document covers both supply-side and demand-</w:t>
      </w:r>
      <w:r w:rsidR="008813E5" w:rsidRPr="006E0767">
        <w:rPr>
          <w:rFonts w:cs="Arial"/>
        </w:rPr>
        <w:t xml:space="preserve">side schemes and includes for leakage services, water efficiency and improvements to production capability. </w:t>
      </w:r>
    </w:p>
    <w:p w:rsidR="008813E5" w:rsidRPr="006E0767" w:rsidRDefault="008813E5" w:rsidP="008813E5">
      <w:pPr>
        <w:rPr>
          <w:rFonts w:cs="Arial"/>
        </w:rPr>
      </w:pPr>
      <w:r w:rsidRPr="006E0767">
        <w:rPr>
          <w:rFonts w:cs="Arial"/>
        </w:rPr>
        <w:t>The assessment criteria is based on the following</w:t>
      </w:r>
    </w:p>
    <w:p w:rsidR="008813E5" w:rsidRPr="006E0767" w:rsidRDefault="005F36E7" w:rsidP="008813E5">
      <w:pPr>
        <w:pStyle w:val="Bullets"/>
      </w:pPr>
      <w:r>
        <w:t xml:space="preserve">Our </w:t>
      </w:r>
      <w:r w:rsidR="008813E5" w:rsidRPr="006E0767">
        <w:t>prequalification questionnaire documents, which makes an assessment of the third party’s ability to provide a service,</w:t>
      </w:r>
    </w:p>
    <w:p w:rsidR="008813E5" w:rsidRPr="006E0767" w:rsidRDefault="005F36E7" w:rsidP="008813E5">
      <w:pPr>
        <w:pStyle w:val="Bullets"/>
      </w:pPr>
      <w:r>
        <w:t xml:space="preserve">Our </w:t>
      </w:r>
      <w:r w:rsidR="008813E5" w:rsidRPr="006E0767">
        <w:t>procurement strategy which sets out the overarching principles to the purchase of goods and services</w:t>
      </w:r>
    </w:p>
    <w:p w:rsidR="008813E5" w:rsidRPr="006E0767" w:rsidRDefault="008813E5" w:rsidP="008813E5">
      <w:pPr>
        <w:pStyle w:val="Bullets"/>
      </w:pPr>
      <w:r w:rsidRPr="006E0767">
        <w:t xml:space="preserve">The Trading and Procurement </w:t>
      </w:r>
      <w:r w:rsidR="005E4D50" w:rsidRPr="006E0767">
        <w:t>Code, which provides the principles for third parties to trade</w:t>
      </w:r>
      <w:r w:rsidR="005F36E7">
        <w:t xml:space="preserve"> </w:t>
      </w:r>
      <w:r w:rsidRPr="006E0767">
        <w:t xml:space="preserve">with </w:t>
      </w:r>
      <w:r w:rsidR="005F36E7">
        <w:t>us</w:t>
      </w:r>
      <w:r w:rsidRPr="006E0767">
        <w:t xml:space="preserve">. </w:t>
      </w:r>
    </w:p>
    <w:p w:rsidR="008813E5" w:rsidRDefault="008813E5" w:rsidP="008813E5">
      <w:pPr>
        <w:pStyle w:val="Bullets"/>
      </w:pPr>
      <w:r w:rsidRPr="006E0767">
        <w:t xml:space="preserve">The Draft Water </w:t>
      </w:r>
      <w:r w:rsidR="00CE023A">
        <w:t>R</w:t>
      </w:r>
      <w:r w:rsidRPr="006E0767">
        <w:t xml:space="preserve">esources Management Plan Strategic Environmental Assessment, which sets the criteria by which options are assessed. </w:t>
      </w:r>
    </w:p>
    <w:p w:rsidR="005E4D50" w:rsidRPr="006E0767" w:rsidRDefault="005E4D50" w:rsidP="005E4D50">
      <w:pPr>
        <w:pStyle w:val="Bullets"/>
        <w:numPr>
          <w:ilvl w:val="0"/>
          <w:numId w:val="0"/>
        </w:numPr>
        <w:ind w:left="1848"/>
      </w:pPr>
    </w:p>
    <w:p w:rsidR="008813E5" w:rsidRPr="004839B0" w:rsidRDefault="008813E5" w:rsidP="008813E5">
      <w:pPr>
        <w:rPr>
          <w:b/>
        </w:rPr>
      </w:pPr>
      <w:r w:rsidRPr="004839B0">
        <w:rPr>
          <w:b/>
        </w:rPr>
        <w:t>Governance</w:t>
      </w:r>
    </w:p>
    <w:p w:rsidR="008813E5" w:rsidRPr="006E0767" w:rsidRDefault="008813E5" w:rsidP="008813E5">
      <w:pPr>
        <w:rPr>
          <w:rFonts w:cs="Arial"/>
        </w:rPr>
      </w:pPr>
      <w:r w:rsidRPr="006E0767">
        <w:rPr>
          <w:rFonts w:cs="Arial"/>
        </w:rPr>
        <w:t>The BAC provides the following Governance measures</w:t>
      </w:r>
    </w:p>
    <w:p w:rsidR="008813E5" w:rsidRPr="006E0767" w:rsidRDefault="008813E5" w:rsidP="008813E5">
      <w:pPr>
        <w:rPr>
          <w:rFonts w:cs="Arial"/>
        </w:rPr>
      </w:pPr>
      <w:r w:rsidRPr="006E0767">
        <w:rPr>
          <w:rFonts w:cs="Arial"/>
        </w:rPr>
        <w:t xml:space="preserve">The Procurement Strategy describes the process associated with procurement of services sufficiently valuable for the Official Journal of the European Union to apply (OJEU). The document describes the way in which </w:t>
      </w:r>
      <w:r w:rsidR="005F36E7">
        <w:rPr>
          <w:rFonts w:cs="Arial"/>
        </w:rPr>
        <w:t xml:space="preserve">we </w:t>
      </w:r>
      <w:r w:rsidRPr="006E0767">
        <w:rPr>
          <w:rFonts w:cs="Arial"/>
        </w:rPr>
        <w:t xml:space="preserve">ensure bid assessment teams operate if an internal bid is being assessed alongside those from third parties. Applying this process provides evidence to </w:t>
      </w:r>
      <w:r w:rsidR="005F36E7">
        <w:rPr>
          <w:rFonts w:cs="Arial"/>
        </w:rPr>
        <w:t xml:space="preserve">our </w:t>
      </w:r>
      <w:r w:rsidRPr="006E0767">
        <w:rPr>
          <w:rFonts w:cs="Arial"/>
        </w:rPr>
        <w:t xml:space="preserve">Board that bid assessments are transparent, non-discriminatory and objective.  </w:t>
      </w:r>
    </w:p>
    <w:p w:rsidR="008813E5" w:rsidRPr="006E0767" w:rsidRDefault="008813E5" w:rsidP="008813E5">
      <w:pPr>
        <w:rPr>
          <w:rFonts w:cs="Arial"/>
        </w:rPr>
      </w:pPr>
      <w:r w:rsidRPr="006E0767">
        <w:rPr>
          <w:rFonts w:cs="Arial"/>
        </w:rPr>
        <w:t>Thirds parties have access to the same information as the internal bid teams. This information is published on the Company’s website ensu</w:t>
      </w:r>
      <w:r w:rsidR="00B74755">
        <w:rPr>
          <w:rFonts w:cs="Arial"/>
        </w:rPr>
        <w:t>ring no bidder is disadvantaged.</w:t>
      </w:r>
    </w:p>
    <w:p w:rsidR="008813E5" w:rsidRPr="006E0767" w:rsidRDefault="008813E5" w:rsidP="008813E5">
      <w:pPr>
        <w:rPr>
          <w:rFonts w:cs="Arial"/>
        </w:rPr>
      </w:pPr>
      <w:r w:rsidRPr="006E0767">
        <w:rPr>
          <w:rFonts w:cs="Arial"/>
        </w:rPr>
        <w:t xml:space="preserve">A section of the BAC is taken from the draft WRMP Strategic Environmental Assessment. This poses the same questions the internal bids have to answer and sets the framework for a single scoring matrix applied to all the proposed solutions. </w:t>
      </w:r>
    </w:p>
    <w:p w:rsidR="008813E5" w:rsidRPr="006E0767" w:rsidRDefault="008813E5" w:rsidP="008813E5">
      <w:pPr>
        <w:rPr>
          <w:rFonts w:cs="Arial"/>
        </w:rPr>
      </w:pPr>
      <w:r w:rsidRPr="006E0767">
        <w:rPr>
          <w:rFonts w:cs="Arial"/>
        </w:rPr>
        <w:t xml:space="preserve">The BAC provides a programme, key contact information and a complaints procedure to third parties should they be unhappy. </w:t>
      </w:r>
    </w:p>
    <w:p w:rsidR="008813E5" w:rsidRPr="004839B0" w:rsidRDefault="002B538D" w:rsidP="008813E5">
      <w:pPr>
        <w:rPr>
          <w:b/>
        </w:rPr>
      </w:pPr>
      <w:r>
        <w:rPr>
          <w:b/>
        </w:rPr>
        <w:t>Conclusion</w:t>
      </w:r>
    </w:p>
    <w:p w:rsidR="008813E5" w:rsidRPr="006E0767" w:rsidRDefault="008813E5" w:rsidP="008813E5">
      <w:pPr>
        <w:rPr>
          <w:rFonts w:cs="Arial"/>
        </w:rPr>
      </w:pPr>
      <w:r w:rsidRPr="006E0767">
        <w:rPr>
          <w:rFonts w:cs="Arial"/>
        </w:rPr>
        <w:t xml:space="preserve">The BAC, together with its associated documents can demonstrate </w:t>
      </w:r>
      <w:r w:rsidR="005F36E7">
        <w:rPr>
          <w:rFonts w:cs="Arial"/>
        </w:rPr>
        <w:t xml:space="preserve">our </w:t>
      </w:r>
      <w:r w:rsidRPr="006E0767">
        <w:rPr>
          <w:rFonts w:cs="Arial"/>
        </w:rPr>
        <w:t>intent to provide a fair, transparen</w:t>
      </w:r>
      <w:r>
        <w:rPr>
          <w:rFonts w:cs="Arial"/>
        </w:rPr>
        <w:t>t, objective process that does no</w:t>
      </w:r>
      <w:r w:rsidRPr="006E0767">
        <w:rPr>
          <w:rFonts w:cs="Arial"/>
        </w:rPr>
        <w:t xml:space="preserve">t discriminate between internal and third party bids. </w:t>
      </w:r>
      <w:r w:rsidR="000350C5">
        <w:rPr>
          <w:rFonts w:cs="Arial"/>
        </w:rPr>
        <w:t xml:space="preserve"> We have agreed that any benefits arising as a result of the successful use of markets in this way well be shared with customers through the normal </w:t>
      </w:r>
      <w:r w:rsidR="00560B22">
        <w:rPr>
          <w:rFonts w:cs="Arial"/>
        </w:rPr>
        <w:t>Totex</w:t>
      </w:r>
      <w:r w:rsidR="000350C5">
        <w:rPr>
          <w:rFonts w:cs="Arial"/>
        </w:rPr>
        <w:t xml:space="preserve"> sharing mechanisms.</w:t>
      </w:r>
    </w:p>
    <w:p w:rsidR="008E7569" w:rsidRDefault="008E7569" w:rsidP="008E7569">
      <w:pPr>
        <w:pStyle w:val="Heading2"/>
      </w:pPr>
      <w:bookmarkStart w:id="186" w:name="_Toc522200021"/>
      <w:bookmarkStart w:id="187" w:name="_Toc522200118"/>
      <w:bookmarkStart w:id="188" w:name="_Toc523651307"/>
      <w:r>
        <w:t>RCV Allocation</w:t>
      </w:r>
      <w:bookmarkEnd w:id="186"/>
      <w:bookmarkEnd w:id="187"/>
      <w:r w:rsidR="003C41DC">
        <w:t xml:space="preserve"> and Bi-lateral Markets</w:t>
      </w:r>
      <w:bookmarkEnd w:id="188"/>
    </w:p>
    <w:p w:rsidR="003C41DC" w:rsidRPr="003C41DC" w:rsidRDefault="003C41DC" w:rsidP="00700A79">
      <w:pPr>
        <w:rPr>
          <w:b/>
        </w:rPr>
      </w:pPr>
      <w:r w:rsidRPr="003C41DC">
        <w:rPr>
          <w:b/>
        </w:rPr>
        <w:t>RCV Allocation</w:t>
      </w:r>
    </w:p>
    <w:p w:rsidR="00700A79" w:rsidRPr="00B76237" w:rsidRDefault="00700A79" w:rsidP="00700A79">
      <w:r>
        <w:t xml:space="preserve">In January </w:t>
      </w:r>
      <w:r w:rsidR="004B5FDC">
        <w:t>2018,</w:t>
      </w:r>
      <w:r>
        <w:t xml:space="preserve"> t</w:t>
      </w:r>
      <w:r w:rsidRPr="00B76237">
        <w:t xml:space="preserve">he Company submitted </w:t>
      </w:r>
      <w:r>
        <w:t xml:space="preserve">to Ofwat </w:t>
      </w:r>
      <w:r w:rsidRPr="00B76237">
        <w:t xml:space="preserve">its methodology </w:t>
      </w:r>
      <w:r>
        <w:t xml:space="preserve">and conclusions </w:t>
      </w:r>
      <w:r w:rsidRPr="00B76237">
        <w:t xml:space="preserve">for splitting the wholesale Regulatory Capital Value (RCV) between Water Resources and Network Plus for the Periodic Review </w:t>
      </w:r>
      <w:r w:rsidR="004E2B76">
        <w:t>p</w:t>
      </w:r>
      <w:r w:rsidRPr="00B76237">
        <w:t xml:space="preserve">rocess, PR19. </w:t>
      </w:r>
    </w:p>
    <w:p w:rsidR="00700A79" w:rsidRPr="00961B9D" w:rsidRDefault="00700A79" w:rsidP="00700A79">
      <w:r>
        <w:t xml:space="preserve">We </w:t>
      </w:r>
      <w:r w:rsidRPr="00961B9D">
        <w:t>considered alternative approach</w:t>
      </w:r>
      <w:r>
        <w:t>es</w:t>
      </w:r>
      <w:r w:rsidRPr="00961B9D">
        <w:t xml:space="preserve"> to this allocation</w:t>
      </w:r>
      <w:r w:rsidR="004E2B76">
        <w:t xml:space="preserve"> as</w:t>
      </w:r>
      <w:r w:rsidRPr="00961B9D">
        <w:t xml:space="preserve"> </w:t>
      </w:r>
      <w:r>
        <w:t xml:space="preserve">suggested </w:t>
      </w:r>
      <w:r w:rsidRPr="00961B9D">
        <w:t xml:space="preserve">in the </w:t>
      </w:r>
      <w:r>
        <w:t xml:space="preserve">“Technical </w:t>
      </w:r>
      <w:r w:rsidRPr="00961B9D">
        <w:t>Guidance on Water Resources pre 2020 RCV Allocation at PR19</w:t>
      </w:r>
      <w:r>
        <w:t>,” published January 2017.</w:t>
      </w:r>
      <w:r w:rsidR="004E2B76">
        <w:t xml:space="preserve"> </w:t>
      </w:r>
      <w:r w:rsidRPr="00961B9D">
        <w:t xml:space="preserve"> </w:t>
      </w:r>
      <w:r>
        <w:t xml:space="preserve">We </w:t>
      </w:r>
      <w:r w:rsidR="004E2B76">
        <w:t xml:space="preserve">have </w:t>
      </w:r>
      <w:r>
        <w:t>conclude</w:t>
      </w:r>
      <w:r w:rsidR="004E2B76">
        <w:t>d</w:t>
      </w:r>
      <w:r>
        <w:t xml:space="preserve"> that </w:t>
      </w:r>
      <w:r w:rsidRPr="00961B9D">
        <w:t>an unfocused approach, based on net Modern Equivalent Asset Values (MEAV)</w:t>
      </w:r>
      <w:r>
        <w:t>,</w:t>
      </w:r>
      <w:r w:rsidRPr="00961B9D">
        <w:t xml:space="preserve"> is appropriate for Portsmouth Water.</w:t>
      </w:r>
    </w:p>
    <w:p w:rsidR="00700A79" w:rsidRDefault="00700A79" w:rsidP="00700A79">
      <w:r w:rsidRPr="00EF6E82">
        <w:t>This result</w:t>
      </w:r>
      <w:r>
        <w:t>ed</w:t>
      </w:r>
      <w:r w:rsidRPr="00EF6E82">
        <w:t xml:space="preserve"> in an allocation of the RCV to Water Resources of </w:t>
      </w:r>
      <w:r>
        <w:t>2.7</w:t>
      </w:r>
      <w:r w:rsidRPr="00EF6E82">
        <w:t xml:space="preserve">% as </w:t>
      </w:r>
      <w:r>
        <w:t>at</w:t>
      </w:r>
      <w:r w:rsidRPr="00EF6E82">
        <w:t xml:space="preserve"> March 2020. </w:t>
      </w:r>
    </w:p>
    <w:p w:rsidR="00700A79" w:rsidRDefault="00700A79" w:rsidP="00700A79">
      <w:r>
        <w:t>In May 2018 Ofwat published its feedback on the approaches the industry had taken.  Ofwat had no explicit comments on our methodology, or indeed the results of the exercise. It did state, however</w:t>
      </w:r>
      <w:r w:rsidR="004E2B76">
        <w:t>,</w:t>
      </w:r>
      <w:r>
        <w:t xml:space="preserve"> that the Company should ensure it has third party external assurance on it</w:t>
      </w:r>
      <w:r w:rsidR="00CE023A">
        <w:t>s</w:t>
      </w:r>
      <w:r>
        <w:t xml:space="preserve"> allocation method.  We have engaged Atkins to do this for us, and their report is included as </w:t>
      </w:r>
      <w:r w:rsidRPr="009F4044">
        <w:t xml:space="preserve">Appendix </w:t>
      </w:r>
      <w:r w:rsidR="009F4044">
        <w:t>8.1</w:t>
      </w:r>
      <w:r w:rsidR="00D552C4">
        <w:t>.</w:t>
      </w:r>
    </w:p>
    <w:p w:rsidR="00700A79" w:rsidRDefault="00700A79" w:rsidP="00700A79">
      <w:r>
        <w:t>Table WS12 shows the detail of our allocation for this Business Plan.  It applies the same methodology as that submitted in January 2018.  The resultant allocation of the RCV to Water Resources has increased marginally to 3.1% as a result of additional expenditure on water resources, specifically Havant Thicket, prior to 2020.</w:t>
      </w:r>
    </w:p>
    <w:p w:rsidR="003C41DC" w:rsidRPr="003C41DC" w:rsidRDefault="003C41DC" w:rsidP="003C41DC">
      <w:pPr>
        <w:rPr>
          <w:b/>
        </w:rPr>
      </w:pPr>
      <w:r w:rsidRPr="003C41DC">
        <w:rPr>
          <w:b/>
        </w:rPr>
        <w:t>Bi-lateral Market Entry</w:t>
      </w:r>
    </w:p>
    <w:p w:rsidR="003C41DC" w:rsidRPr="00CD3ED9" w:rsidRDefault="003C41DC" w:rsidP="003C41DC">
      <w:r w:rsidRPr="00CD3ED9">
        <w:t>The Ofwat methodology highlights the potential for a bi-lateral market to be established allowing Business Retailers to procure water resources directly from third parties, which may in turn decrease the investment the Company needs to make to provide enough capacity to meet future demands.</w:t>
      </w:r>
    </w:p>
    <w:p w:rsidR="003C41DC" w:rsidRPr="00CD3ED9" w:rsidRDefault="003C41DC" w:rsidP="003C41DC">
      <w:r w:rsidRPr="00CD3ED9">
        <w:t>The methodology proposes that if bi-lateral market entry displaces the need for the incumbent’s capacity, there will be an in-period revenue adjustment.  Ofwat have stated that they expect this market is likely to be small and nascent in the period 2025.</w:t>
      </w:r>
    </w:p>
    <w:p w:rsidR="003C41DC" w:rsidRPr="00CD3ED9" w:rsidRDefault="003C41DC" w:rsidP="003C41DC">
      <w:r w:rsidRPr="00CD3ED9">
        <w:t>Our Water Resources Management Plan demonstrates that to meet the demand of our customer base, no investment in new resources is required.  Our plan is driven by the requirements of Southern Water, through greater bulk supplies, and the need to meet stakeholders’ expectations for leakage and per capita consumption in particular.  Our post 2020 investment proposals for water resources underpins both our Water Resources Management Plan and this Business Plan.  We believe the costs are robust.</w:t>
      </w:r>
    </w:p>
    <w:p w:rsidR="003C41DC" w:rsidRPr="00CD3ED9" w:rsidRDefault="003C41DC" w:rsidP="003C41DC">
      <w:r w:rsidRPr="00CD3ED9">
        <w:t>In Section 8.1 we discuss the need for Havant Thicket. The Project is a resilience scheme, its whole purpose is to ensure water is available in drought conditions which may occur rarely.  Therefore, customers are paying for the security that, in an extreme drought, water is available.  The arrangement proposed is that it will be a long-term contract with Southern Water with payments recovering the capital and funding costs of the reservoir irrespective of the volume supplied.  We therefore believe that a capacity adjustment mechanism is not appropriate in this case.</w:t>
      </w:r>
      <w:r w:rsidR="009F4044">
        <w:t xml:space="preserve">  </w:t>
      </w:r>
      <w:r w:rsidRPr="00CD3ED9">
        <w:t>Similarly we do not consider that bi-lateral entry revenue adjustment would be paid by the Company if a third party were to provide water to a Non-</w:t>
      </w:r>
      <w:r w:rsidR="00F61B95">
        <w:t>H</w:t>
      </w:r>
      <w:r w:rsidRPr="00CD3ED9">
        <w:t>ousehold customer in our area of supply.</w:t>
      </w:r>
    </w:p>
    <w:p w:rsidR="00423A14" w:rsidRDefault="00423A14" w:rsidP="00D705AC">
      <w:pPr>
        <w:pStyle w:val="Heading2"/>
      </w:pPr>
      <w:bookmarkStart w:id="189" w:name="_Toc523651308"/>
      <w:r>
        <w:t>Retail</w:t>
      </w:r>
      <w:bookmarkEnd w:id="189"/>
    </w:p>
    <w:p w:rsidR="00D705AC" w:rsidRDefault="00D705AC" w:rsidP="00D705AC">
      <w:pPr>
        <w:pStyle w:val="Heading3"/>
      </w:pPr>
      <w:bookmarkStart w:id="190" w:name="_Toc523651309"/>
      <w:r>
        <w:t>Voids and Gap Sites</w:t>
      </w:r>
      <w:bookmarkEnd w:id="190"/>
    </w:p>
    <w:p w:rsidR="00D705AC" w:rsidRPr="00C67062" w:rsidRDefault="00D705AC" w:rsidP="00C67062">
      <w:pPr>
        <w:rPr>
          <w:rFonts w:eastAsiaTheme="minorHAnsi"/>
          <w:b/>
          <w:lang w:eastAsia="en-US"/>
        </w:rPr>
      </w:pPr>
      <w:r w:rsidRPr="00C67062">
        <w:rPr>
          <w:rFonts w:eastAsiaTheme="minorHAnsi"/>
          <w:b/>
          <w:lang w:eastAsia="en-US"/>
        </w:rPr>
        <w:t>Voids</w:t>
      </w:r>
    </w:p>
    <w:p w:rsidR="00D705AC" w:rsidRPr="00D705AC" w:rsidRDefault="00D705AC" w:rsidP="00B53B38">
      <w:pPr>
        <w:spacing w:after="120"/>
        <w:rPr>
          <w:rFonts w:eastAsiaTheme="minorHAnsi"/>
          <w:lang w:eastAsia="en-US"/>
        </w:rPr>
      </w:pPr>
      <w:r w:rsidRPr="00D705AC">
        <w:rPr>
          <w:rFonts w:eastAsiaTheme="minorHAnsi"/>
          <w:lang w:eastAsia="en-US"/>
        </w:rPr>
        <w:t>Void properties are currently managed based on periodic standard letters to the properties concerned, along with physical visits to check</w:t>
      </w:r>
      <w:r w:rsidR="00495BAA">
        <w:rPr>
          <w:rFonts w:eastAsiaTheme="minorHAnsi"/>
          <w:lang w:eastAsia="en-US"/>
        </w:rPr>
        <w:t xml:space="preserve"> the</w:t>
      </w:r>
      <w:r w:rsidRPr="00D705AC">
        <w:rPr>
          <w:rFonts w:eastAsiaTheme="minorHAnsi"/>
          <w:lang w:eastAsia="en-US"/>
        </w:rPr>
        <w:t xml:space="preserve"> status.  For metered </w:t>
      </w:r>
      <w:r w:rsidR="00871242" w:rsidRPr="00D705AC">
        <w:rPr>
          <w:rFonts w:eastAsiaTheme="minorHAnsi"/>
          <w:lang w:eastAsia="en-US"/>
        </w:rPr>
        <w:t>properties,</w:t>
      </w:r>
      <w:r w:rsidRPr="00D705AC">
        <w:rPr>
          <w:rFonts w:eastAsiaTheme="minorHAnsi"/>
          <w:lang w:eastAsia="en-US"/>
        </w:rPr>
        <w:t xml:space="preserve"> we leave a meter in place and continue to read it every 6 months.  If there is a record of </w:t>
      </w:r>
      <w:r w:rsidR="00871242" w:rsidRPr="00D705AC">
        <w:rPr>
          <w:rFonts w:eastAsiaTheme="minorHAnsi"/>
          <w:lang w:eastAsia="en-US"/>
        </w:rPr>
        <w:t>consumption,</w:t>
      </w:r>
      <w:r w:rsidRPr="00D705AC">
        <w:rPr>
          <w:rFonts w:eastAsiaTheme="minorHAnsi"/>
          <w:lang w:eastAsia="en-US"/>
        </w:rPr>
        <w:t xml:space="preserve"> we confirm the occupation date and raise a bill for the water used.  For unmetered </w:t>
      </w:r>
      <w:r w:rsidR="00871242" w:rsidRPr="00D705AC">
        <w:rPr>
          <w:rFonts w:eastAsiaTheme="minorHAnsi"/>
          <w:lang w:eastAsia="en-US"/>
        </w:rPr>
        <w:t>properties,</w:t>
      </w:r>
      <w:r w:rsidRPr="00D705AC">
        <w:rPr>
          <w:rFonts w:eastAsiaTheme="minorHAnsi"/>
          <w:lang w:eastAsia="en-US"/>
        </w:rPr>
        <w:t xml:space="preserve"> we undertake visits, however, occupation is not always easy to confirm by an external visual check.</w:t>
      </w:r>
      <w:r w:rsidR="00B53B38">
        <w:rPr>
          <w:rFonts w:eastAsiaTheme="minorHAnsi"/>
          <w:lang w:eastAsia="en-US"/>
        </w:rPr>
        <w:t xml:space="preserve">  </w:t>
      </w:r>
      <w:r w:rsidRPr="00D705AC">
        <w:rPr>
          <w:rFonts w:eastAsiaTheme="minorHAnsi"/>
          <w:lang w:eastAsia="en-US"/>
        </w:rPr>
        <w:t>Our plans for AMP7 include additional acti</w:t>
      </w:r>
      <w:r w:rsidR="00B53B38">
        <w:rPr>
          <w:rFonts w:eastAsiaTheme="minorHAnsi"/>
          <w:lang w:eastAsia="en-US"/>
        </w:rPr>
        <w:t>vities to focus on voids:</w:t>
      </w:r>
    </w:p>
    <w:p w:rsidR="00D705AC" w:rsidRPr="00D705AC" w:rsidRDefault="00D705AC" w:rsidP="00D705AC">
      <w:pPr>
        <w:pStyle w:val="Bullets"/>
        <w:rPr>
          <w:rFonts w:eastAsiaTheme="minorHAnsi"/>
          <w:lang w:eastAsia="en-US"/>
        </w:rPr>
      </w:pPr>
      <w:r w:rsidRPr="00D705AC">
        <w:rPr>
          <w:rFonts w:eastAsiaTheme="minorHAnsi"/>
          <w:lang w:eastAsia="en-US"/>
        </w:rPr>
        <w:t>We will target a level of household voids that is closely aligned to local authority vacant data.  If we miss this target we will adjust our charges to ensure that customers are not financially disadvantaged by our under performance.  We have aligned an ODI for Voids and this is set out further in Chapter 3.8.  In addition we will meter all void properties once they have been empty for 6 months, where feasible, to ensure that any future water use is promptly identified and billed.</w:t>
      </w:r>
    </w:p>
    <w:p w:rsidR="00D705AC" w:rsidRDefault="00D705AC" w:rsidP="00D705AC">
      <w:pPr>
        <w:pStyle w:val="Bullets"/>
        <w:rPr>
          <w:rFonts w:eastAsiaTheme="minorHAnsi"/>
          <w:lang w:eastAsia="en-US"/>
        </w:rPr>
      </w:pPr>
      <w:r w:rsidRPr="00D705AC">
        <w:rPr>
          <w:rFonts w:eastAsiaTheme="minorHAnsi"/>
          <w:lang w:eastAsia="en-US"/>
        </w:rPr>
        <w:t xml:space="preserve">For non-households there is a large variance in the level of voids that MOSL reports across the industry.  We expect to maintain a position of being better than the unweighted industry average. </w:t>
      </w:r>
    </w:p>
    <w:p w:rsidR="009E44A6" w:rsidRPr="00D705AC" w:rsidRDefault="009E44A6" w:rsidP="009E44A6">
      <w:pPr>
        <w:pStyle w:val="Bullets"/>
        <w:numPr>
          <w:ilvl w:val="0"/>
          <w:numId w:val="0"/>
        </w:numPr>
        <w:ind w:left="1494"/>
        <w:rPr>
          <w:rFonts w:eastAsiaTheme="minorHAnsi"/>
          <w:lang w:eastAsia="en-US"/>
        </w:rPr>
      </w:pPr>
    </w:p>
    <w:p w:rsidR="00D705AC" w:rsidRPr="00C67062" w:rsidRDefault="00D705AC" w:rsidP="00C67062">
      <w:pPr>
        <w:rPr>
          <w:rFonts w:eastAsiaTheme="minorHAnsi"/>
          <w:b/>
          <w:lang w:eastAsia="en-US"/>
        </w:rPr>
      </w:pPr>
      <w:r w:rsidRPr="00C67062">
        <w:rPr>
          <w:rFonts w:eastAsiaTheme="minorHAnsi"/>
          <w:b/>
          <w:lang w:eastAsia="en-US"/>
        </w:rPr>
        <w:t>Gap Sites</w:t>
      </w:r>
    </w:p>
    <w:p w:rsidR="00D705AC" w:rsidRPr="00D705AC" w:rsidRDefault="00D705AC" w:rsidP="00B53B38">
      <w:pPr>
        <w:spacing w:after="120"/>
        <w:rPr>
          <w:rFonts w:eastAsiaTheme="minorHAnsi"/>
          <w:lang w:eastAsia="en-US"/>
        </w:rPr>
      </w:pPr>
      <w:r w:rsidRPr="00D705AC">
        <w:rPr>
          <w:rFonts w:eastAsiaTheme="minorHAnsi"/>
          <w:lang w:eastAsia="en-US"/>
        </w:rPr>
        <w:t>We are confident that our billing database is an accurate record of properties within our area of supply.  Historic data matching activities using various data sources, external specialists and Southern Water (who provide sewerage services to our customers) have not highlighted any shortcomings with regard to putting properties into charge and maintenance of billing records.</w:t>
      </w:r>
      <w:r w:rsidR="00B53B38">
        <w:rPr>
          <w:rFonts w:eastAsiaTheme="minorHAnsi"/>
          <w:lang w:eastAsia="en-US"/>
        </w:rPr>
        <w:t xml:space="preserve">  </w:t>
      </w:r>
      <w:r w:rsidRPr="00D705AC">
        <w:rPr>
          <w:rFonts w:eastAsiaTheme="minorHAnsi"/>
          <w:lang w:eastAsia="en-US"/>
        </w:rPr>
        <w:t>Our plans for AMP7</w:t>
      </w:r>
      <w:r w:rsidR="00B53B38">
        <w:rPr>
          <w:rFonts w:eastAsiaTheme="minorHAnsi"/>
          <w:lang w:eastAsia="en-US"/>
        </w:rPr>
        <w:t>:</w:t>
      </w:r>
    </w:p>
    <w:p w:rsidR="00D705AC" w:rsidRDefault="00D705AC" w:rsidP="00C67062">
      <w:pPr>
        <w:pStyle w:val="Bullets"/>
        <w:rPr>
          <w:rFonts w:eastAsiaTheme="minorHAnsi"/>
        </w:rPr>
      </w:pPr>
      <w:r w:rsidRPr="00C67062">
        <w:rPr>
          <w:rFonts w:eastAsiaTheme="minorHAnsi"/>
        </w:rPr>
        <w:t xml:space="preserve">We will introduce a </w:t>
      </w:r>
      <w:r w:rsidR="00F61B95">
        <w:rPr>
          <w:rFonts w:eastAsiaTheme="minorHAnsi"/>
        </w:rPr>
        <w:t>‘G</w:t>
      </w:r>
      <w:r w:rsidRPr="00C67062">
        <w:rPr>
          <w:rFonts w:eastAsiaTheme="minorHAnsi"/>
        </w:rPr>
        <w:t xml:space="preserve">ap </w:t>
      </w:r>
      <w:r w:rsidR="00F61B95">
        <w:rPr>
          <w:rFonts w:eastAsiaTheme="minorHAnsi"/>
        </w:rPr>
        <w:t>S</w:t>
      </w:r>
      <w:r w:rsidRPr="00C67062">
        <w:rPr>
          <w:rFonts w:eastAsiaTheme="minorHAnsi"/>
        </w:rPr>
        <w:t>ite</w:t>
      </w:r>
      <w:r w:rsidR="00F61B95">
        <w:rPr>
          <w:rFonts w:eastAsiaTheme="minorHAnsi"/>
        </w:rPr>
        <w:t>’</w:t>
      </w:r>
      <w:r w:rsidRPr="00C67062">
        <w:rPr>
          <w:rFonts w:eastAsiaTheme="minorHAnsi"/>
        </w:rPr>
        <w:t xml:space="preserve"> incentive of £100, being approximately one year’s average household water supply charges. This will be payable for both household and non-household premises.</w:t>
      </w:r>
    </w:p>
    <w:p w:rsidR="00B53B38" w:rsidRDefault="00B53B38" w:rsidP="00B53B38">
      <w:pPr>
        <w:spacing w:after="0"/>
        <w:rPr>
          <w:rFonts w:eastAsiaTheme="minorHAnsi"/>
          <w:lang w:eastAsia="en-US"/>
        </w:rPr>
      </w:pPr>
    </w:p>
    <w:p w:rsidR="00D705AC" w:rsidRPr="00D705AC" w:rsidRDefault="00D705AC" w:rsidP="00C67062">
      <w:pPr>
        <w:rPr>
          <w:rFonts w:eastAsiaTheme="minorHAnsi"/>
          <w:lang w:eastAsia="en-US"/>
        </w:rPr>
      </w:pPr>
      <w:r w:rsidRPr="00D705AC">
        <w:rPr>
          <w:rFonts w:eastAsiaTheme="minorHAnsi"/>
          <w:lang w:eastAsia="en-US"/>
        </w:rPr>
        <w:t xml:space="preserve">Further details of our voids and </w:t>
      </w:r>
      <w:r w:rsidR="00F61B95">
        <w:rPr>
          <w:rFonts w:eastAsiaTheme="minorHAnsi"/>
          <w:lang w:eastAsia="en-US"/>
        </w:rPr>
        <w:t>‘G</w:t>
      </w:r>
      <w:r w:rsidRPr="00D705AC">
        <w:rPr>
          <w:rFonts w:eastAsiaTheme="minorHAnsi"/>
          <w:lang w:eastAsia="en-US"/>
        </w:rPr>
        <w:t xml:space="preserve">ap </w:t>
      </w:r>
      <w:r w:rsidR="00F61B95">
        <w:rPr>
          <w:rFonts w:eastAsiaTheme="minorHAnsi"/>
          <w:lang w:eastAsia="en-US"/>
        </w:rPr>
        <w:t>S</w:t>
      </w:r>
      <w:r w:rsidRPr="00D705AC">
        <w:rPr>
          <w:rFonts w:eastAsiaTheme="minorHAnsi"/>
          <w:lang w:eastAsia="en-US"/>
        </w:rPr>
        <w:t>ites</w:t>
      </w:r>
      <w:r w:rsidR="00F61B95">
        <w:rPr>
          <w:rFonts w:eastAsiaTheme="minorHAnsi"/>
          <w:lang w:eastAsia="en-US"/>
        </w:rPr>
        <w:t>’</w:t>
      </w:r>
      <w:r w:rsidRPr="00D705AC">
        <w:rPr>
          <w:rFonts w:eastAsiaTheme="minorHAnsi"/>
          <w:lang w:eastAsia="en-US"/>
        </w:rPr>
        <w:t xml:space="preserve"> commitments can be found in </w:t>
      </w:r>
      <w:r w:rsidR="004E2B76">
        <w:rPr>
          <w:rFonts w:eastAsiaTheme="minorHAnsi"/>
          <w:lang w:eastAsia="en-US"/>
        </w:rPr>
        <w:t xml:space="preserve">Chapter </w:t>
      </w:r>
      <w:r w:rsidRPr="00D705AC">
        <w:rPr>
          <w:rFonts w:eastAsiaTheme="minorHAnsi"/>
          <w:lang w:eastAsia="en-US"/>
        </w:rPr>
        <w:t>3.</w:t>
      </w:r>
      <w:r w:rsidR="00BD13AB">
        <w:rPr>
          <w:rFonts w:eastAsiaTheme="minorHAnsi"/>
          <w:lang w:eastAsia="en-US"/>
        </w:rPr>
        <w:t>9</w:t>
      </w:r>
      <w:r w:rsidRPr="00D705AC">
        <w:rPr>
          <w:rFonts w:eastAsiaTheme="minorHAnsi"/>
          <w:lang w:eastAsia="en-US"/>
        </w:rPr>
        <w:t xml:space="preserve">.2 of this plan and Appendix </w:t>
      </w:r>
      <w:r w:rsidR="00177760">
        <w:rPr>
          <w:rFonts w:eastAsiaTheme="minorHAnsi"/>
          <w:lang w:eastAsia="en-US"/>
        </w:rPr>
        <w:t>3.2.</w:t>
      </w:r>
    </w:p>
    <w:p w:rsidR="00D705AC" w:rsidRPr="00D705AC" w:rsidRDefault="00D705AC" w:rsidP="00C67062">
      <w:pPr>
        <w:pStyle w:val="Heading3"/>
        <w:rPr>
          <w:rFonts w:eastAsiaTheme="minorHAnsi"/>
          <w:lang w:eastAsia="en-US"/>
        </w:rPr>
      </w:pPr>
      <w:bookmarkStart w:id="191" w:name="_Toc523651310"/>
      <w:r w:rsidRPr="00D705AC">
        <w:rPr>
          <w:rFonts w:eastAsiaTheme="minorHAnsi"/>
          <w:lang w:eastAsia="en-US"/>
        </w:rPr>
        <w:t>Learning from the business retail market</w:t>
      </w:r>
      <w:bookmarkEnd w:id="191"/>
    </w:p>
    <w:p w:rsidR="00D705AC" w:rsidRDefault="00F269D9" w:rsidP="00C67062">
      <w:pPr>
        <w:rPr>
          <w:rFonts w:eastAsiaTheme="minorHAnsi"/>
          <w:lang w:eastAsia="en-US"/>
        </w:rPr>
      </w:pPr>
      <w:r>
        <w:rPr>
          <w:rFonts w:eastAsiaTheme="minorHAnsi"/>
          <w:lang w:eastAsia="en-US"/>
        </w:rPr>
        <w:t>W</w:t>
      </w:r>
      <w:r w:rsidR="00C67062">
        <w:rPr>
          <w:rFonts w:eastAsiaTheme="minorHAnsi"/>
          <w:lang w:eastAsia="en-US"/>
        </w:rPr>
        <w:t xml:space="preserve">e are looking to the Non-Household Retail market to see how competition drives innovation so that we can assess the benefits that can be transferred to our household customers.  We are working with Retailers on various groups, (R-mex).  To date, we have not seen evidence </w:t>
      </w:r>
      <w:r w:rsidR="00B0614F">
        <w:rPr>
          <w:rFonts w:eastAsiaTheme="minorHAnsi"/>
          <w:lang w:eastAsia="en-US"/>
        </w:rPr>
        <w:t>of transferrable innovation, but expect this to develop over time, once retailers have bedded in reliable billing processes.</w:t>
      </w:r>
    </w:p>
    <w:tbl>
      <w:tblPr>
        <w:tblStyle w:val="TableGrid22"/>
        <w:tblpPr w:leftFromText="180" w:rightFromText="180" w:vertAnchor="text" w:horzAnchor="margin" w:tblpXSpec="center" w:tblpY="1671"/>
        <w:tblW w:w="0" w:type="auto"/>
        <w:tblLook w:val="04A0" w:firstRow="1" w:lastRow="0" w:firstColumn="1" w:lastColumn="0" w:noHBand="0" w:noVBand="1"/>
      </w:tblPr>
      <w:tblGrid>
        <w:gridCol w:w="1838"/>
        <w:gridCol w:w="5245"/>
        <w:gridCol w:w="1417"/>
      </w:tblGrid>
      <w:tr w:rsidR="008326C2" w:rsidRPr="001E0DCD" w:rsidTr="00B53B38">
        <w:tc>
          <w:tcPr>
            <w:tcW w:w="1838" w:type="dxa"/>
            <w:shd w:val="clear" w:color="auto" w:fill="2E74B5" w:themeFill="accent1" w:themeFillShade="BF"/>
          </w:tcPr>
          <w:p w:rsidR="008326C2" w:rsidRPr="001E0DCD" w:rsidRDefault="008326C2" w:rsidP="00B53B38">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5245" w:type="dxa"/>
            <w:shd w:val="clear" w:color="auto" w:fill="2E74B5" w:themeFill="accent1" w:themeFillShade="BF"/>
          </w:tcPr>
          <w:p w:rsidR="008326C2" w:rsidRPr="001E0DCD" w:rsidRDefault="008326C2" w:rsidP="00B53B38">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417" w:type="dxa"/>
            <w:shd w:val="clear" w:color="auto" w:fill="2E74B5" w:themeFill="accent1" w:themeFillShade="BF"/>
          </w:tcPr>
          <w:p w:rsidR="008326C2" w:rsidRPr="001E0DCD" w:rsidRDefault="008326C2" w:rsidP="00B53B38">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8326C2" w:rsidRPr="001E0DCD" w:rsidTr="00B53B38">
        <w:tc>
          <w:tcPr>
            <w:tcW w:w="1838" w:type="dxa"/>
          </w:tcPr>
          <w:p w:rsidR="008326C2" w:rsidRPr="001E0DCD" w:rsidRDefault="008326C2" w:rsidP="00B53B38">
            <w:pPr>
              <w:tabs>
                <w:tab w:val="clear" w:pos="851"/>
              </w:tabs>
              <w:spacing w:after="0"/>
              <w:ind w:left="0"/>
              <w:jc w:val="left"/>
              <w:rPr>
                <w:rFonts w:cs="Arial"/>
                <w:sz w:val="16"/>
                <w:szCs w:val="16"/>
              </w:rPr>
            </w:pPr>
            <w:r>
              <w:rPr>
                <w:rFonts w:cs="Arial"/>
                <w:sz w:val="16"/>
                <w:szCs w:val="16"/>
              </w:rPr>
              <w:t>9.9.1.2</w:t>
            </w:r>
          </w:p>
        </w:tc>
        <w:tc>
          <w:tcPr>
            <w:tcW w:w="5245" w:type="dxa"/>
          </w:tcPr>
          <w:p w:rsidR="008326C2" w:rsidRPr="001E0DCD" w:rsidRDefault="008326C2" w:rsidP="00B53B38">
            <w:pPr>
              <w:tabs>
                <w:tab w:val="clear" w:pos="851"/>
              </w:tabs>
              <w:spacing w:after="0"/>
              <w:ind w:left="0"/>
              <w:jc w:val="left"/>
              <w:rPr>
                <w:rFonts w:cs="Arial"/>
                <w:sz w:val="16"/>
                <w:szCs w:val="16"/>
              </w:rPr>
            </w:pPr>
            <w:r>
              <w:rPr>
                <w:rFonts w:cs="Arial"/>
                <w:sz w:val="16"/>
                <w:szCs w:val="16"/>
              </w:rPr>
              <w:t>B.D Assessment Framework</w:t>
            </w:r>
          </w:p>
        </w:tc>
        <w:tc>
          <w:tcPr>
            <w:tcW w:w="1417" w:type="dxa"/>
          </w:tcPr>
          <w:p w:rsidR="008326C2" w:rsidRPr="001E0DCD" w:rsidRDefault="00BA1427" w:rsidP="00B53B38">
            <w:pPr>
              <w:tabs>
                <w:tab w:val="clear" w:pos="851"/>
              </w:tabs>
              <w:spacing w:after="0"/>
              <w:ind w:left="0"/>
              <w:jc w:val="left"/>
              <w:rPr>
                <w:rFonts w:cs="Arial"/>
                <w:sz w:val="16"/>
                <w:szCs w:val="16"/>
              </w:rPr>
            </w:pPr>
            <w:r>
              <w:rPr>
                <w:rFonts w:cs="Arial"/>
                <w:sz w:val="16"/>
                <w:szCs w:val="16"/>
              </w:rPr>
              <w:t>August 2018</w:t>
            </w:r>
          </w:p>
        </w:tc>
      </w:tr>
      <w:tr w:rsidR="008326C2" w:rsidRPr="001E0DCD" w:rsidTr="00B53B38">
        <w:tc>
          <w:tcPr>
            <w:tcW w:w="1838" w:type="dxa"/>
          </w:tcPr>
          <w:p w:rsidR="008326C2" w:rsidRDefault="008326C2" w:rsidP="00B53B38">
            <w:pPr>
              <w:tabs>
                <w:tab w:val="clear" w:pos="851"/>
              </w:tabs>
              <w:spacing w:after="0"/>
              <w:ind w:left="0"/>
              <w:jc w:val="left"/>
              <w:rPr>
                <w:rFonts w:cs="Arial"/>
                <w:sz w:val="16"/>
                <w:szCs w:val="16"/>
              </w:rPr>
            </w:pPr>
            <w:r>
              <w:rPr>
                <w:rFonts w:cs="Arial"/>
                <w:sz w:val="16"/>
                <w:szCs w:val="16"/>
              </w:rPr>
              <w:t>8.1</w:t>
            </w:r>
          </w:p>
        </w:tc>
        <w:tc>
          <w:tcPr>
            <w:tcW w:w="5245" w:type="dxa"/>
          </w:tcPr>
          <w:p w:rsidR="008326C2" w:rsidRDefault="008326C2" w:rsidP="00B53B38">
            <w:pPr>
              <w:tabs>
                <w:tab w:val="clear" w:pos="851"/>
              </w:tabs>
              <w:spacing w:after="0"/>
              <w:ind w:left="0"/>
              <w:jc w:val="left"/>
              <w:rPr>
                <w:rFonts w:cs="Arial"/>
                <w:sz w:val="16"/>
                <w:szCs w:val="16"/>
              </w:rPr>
            </w:pPr>
            <w:r>
              <w:rPr>
                <w:rFonts w:cs="Arial"/>
                <w:sz w:val="16"/>
                <w:szCs w:val="16"/>
              </w:rPr>
              <w:t>Atkins – Assurance on RCV Allocation Method</w:t>
            </w:r>
          </w:p>
        </w:tc>
        <w:tc>
          <w:tcPr>
            <w:tcW w:w="1417" w:type="dxa"/>
          </w:tcPr>
          <w:p w:rsidR="008326C2" w:rsidRDefault="008326C2" w:rsidP="00B53B38">
            <w:pPr>
              <w:tabs>
                <w:tab w:val="clear" w:pos="851"/>
              </w:tabs>
              <w:spacing w:after="0"/>
              <w:ind w:left="0"/>
              <w:jc w:val="left"/>
              <w:rPr>
                <w:rFonts w:cs="Arial"/>
                <w:sz w:val="16"/>
                <w:szCs w:val="16"/>
              </w:rPr>
            </w:pPr>
            <w:r>
              <w:rPr>
                <w:rFonts w:cs="Arial"/>
                <w:sz w:val="16"/>
                <w:szCs w:val="16"/>
              </w:rPr>
              <w:t>August 2018</w:t>
            </w:r>
          </w:p>
        </w:tc>
      </w:tr>
      <w:tr w:rsidR="008326C2" w:rsidRPr="001E0DCD" w:rsidTr="00B53B38">
        <w:tc>
          <w:tcPr>
            <w:tcW w:w="1838" w:type="dxa"/>
          </w:tcPr>
          <w:p w:rsidR="008326C2" w:rsidRDefault="008326C2" w:rsidP="00B53B38">
            <w:pPr>
              <w:tabs>
                <w:tab w:val="clear" w:pos="851"/>
              </w:tabs>
              <w:spacing w:after="0"/>
              <w:ind w:left="0"/>
              <w:jc w:val="left"/>
              <w:rPr>
                <w:rFonts w:cs="Arial"/>
                <w:sz w:val="16"/>
                <w:szCs w:val="16"/>
              </w:rPr>
            </w:pPr>
            <w:r>
              <w:rPr>
                <w:rFonts w:cs="Arial"/>
                <w:sz w:val="16"/>
                <w:szCs w:val="16"/>
              </w:rPr>
              <w:t>3.2</w:t>
            </w:r>
          </w:p>
        </w:tc>
        <w:tc>
          <w:tcPr>
            <w:tcW w:w="5245" w:type="dxa"/>
          </w:tcPr>
          <w:p w:rsidR="008326C2" w:rsidRDefault="008326C2" w:rsidP="00B53B38">
            <w:pPr>
              <w:tabs>
                <w:tab w:val="clear" w:pos="851"/>
              </w:tabs>
              <w:spacing w:after="0"/>
              <w:ind w:left="0"/>
              <w:jc w:val="left"/>
              <w:rPr>
                <w:rFonts w:cs="Arial"/>
                <w:sz w:val="16"/>
                <w:szCs w:val="16"/>
              </w:rPr>
            </w:pPr>
            <w:r>
              <w:rPr>
                <w:rFonts w:cs="Arial"/>
                <w:sz w:val="16"/>
                <w:szCs w:val="16"/>
              </w:rPr>
              <w:t>Voids and Gap sites</w:t>
            </w:r>
          </w:p>
        </w:tc>
        <w:tc>
          <w:tcPr>
            <w:tcW w:w="1417" w:type="dxa"/>
          </w:tcPr>
          <w:p w:rsidR="008326C2" w:rsidRDefault="00BA1427" w:rsidP="00B53B38">
            <w:pPr>
              <w:tabs>
                <w:tab w:val="clear" w:pos="851"/>
              </w:tabs>
              <w:spacing w:after="0"/>
              <w:ind w:left="0"/>
              <w:jc w:val="left"/>
              <w:rPr>
                <w:rFonts w:cs="Arial"/>
                <w:sz w:val="16"/>
                <w:szCs w:val="16"/>
              </w:rPr>
            </w:pPr>
            <w:r>
              <w:rPr>
                <w:rFonts w:cs="Arial"/>
                <w:sz w:val="16"/>
                <w:szCs w:val="16"/>
              </w:rPr>
              <w:t>April 2018</w:t>
            </w:r>
          </w:p>
        </w:tc>
      </w:tr>
      <w:tr w:rsidR="008326C2" w:rsidRPr="001E0DCD" w:rsidTr="00B53B38">
        <w:tc>
          <w:tcPr>
            <w:tcW w:w="1838" w:type="dxa"/>
          </w:tcPr>
          <w:p w:rsidR="008326C2" w:rsidRDefault="008326C2" w:rsidP="00B53B38">
            <w:pPr>
              <w:tabs>
                <w:tab w:val="clear" w:pos="851"/>
              </w:tabs>
              <w:spacing w:after="0"/>
              <w:ind w:left="0"/>
              <w:jc w:val="left"/>
              <w:rPr>
                <w:rFonts w:cs="Arial"/>
                <w:sz w:val="16"/>
                <w:szCs w:val="16"/>
              </w:rPr>
            </w:pPr>
            <w:r>
              <w:rPr>
                <w:rFonts w:cs="Arial"/>
                <w:sz w:val="16"/>
                <w:szCs w:val="16"/>
              </w:rPr>
              <w:t>8.2</w:t>
            </w:r>
          </w:p>
        </w:tc>
        <w:tc>
          <w:tcPr>
            <w:tcW w:w="5245" w:type="dxa"/>
          </w:tcPr>
          <w:p w:rsidR="008326C2" w:rsidRDefault="008326C2" w:rsidP="00B53B38">
            <w:pPr>
              <w:tabs>
                <w:tab w:val="clear" w:pos="851"/>
              </w:tabs>
              <w:spacing w:after="0"/>
              <w:ind w:left="0"/>
              <w:jc w:val="left"/>
              <w:rPr>
                <w:rFonts w:cs="Arial"/>
                <w:sz w:val="16"/>
                <w:szCs w:val="16"/>
              </w:rPr>
            </w:pPr>
            <w:r>
              <w:rPr>
                <w:rFonts w:cs="Arial"/>
                <w:sz w:val="16"/>
                <w:szCs w:val="16"/>
              </w:rPr>
              <w:t>Havant Thicket Overview</w:t>
            </w:r>
          </w:p>
        </w:tc>
        <w:tc>
          <w:tcPr>
            <w:tcW w:w="1417" w:type="dxa"/>
          </w:tcPr>
          <w:p w:rsidR="008326C2" w:rsidRDefault="008326C2" w:rsidP="00B53B38">
            <w:pPr>
              <w:tabs>
                <w:tab w:val="clear" w:pos="851"/>
              </w:tabs>
              <w:spacing w:after="0"/>
              <w:ind w:left="0"/>
              <w:jc w:val="left"/>
              <w:rPr>
                <w:rFonts w:cs="Arial"/>
                <w:sz w:val="16"/>
                <w:szCs w:val="16"/>
              </w:rPr>
            </w:pPr>
            <w:r>
              <w:rPr>
                <w:rFonts w:cs="Arial"/>
                <w:sz w:val="16"/>
                <w:szCs w:val="16"/>
              </w:rPr>
              <w:t>August 2018</w:t>
            </w:r>
          </w:p>
        </w:tc>
      </w:tr>
      <w:tr w:rsidR="008326C2" w:rsidRPr="001E0DCD" w:rsidTr="00B53B38">
        <w:tc>
          <w:tcPr>
            <w:tcW w:w="1838" w:type="dxa"/>
          </w:tcPr>
          <w:p w:rsidR="008326C2" w:rsidRDefault="008326C2" w:rsidP="00B53B38">
            <w:pPr>
              <w:tabs>
                <w:tab w:val="clear" w:pos="851"/>
              </w:tabs>
              <w:spacing w:after="0"/>
              <w:ind w:left="0"/>
              <w:jc w:val="left"/>
              <w:rPr>
                <w:rFonts w:cs="Arial"/>
                <w:sz w:val="16"/>
                <w:szCs w:val="16"/>
              </w:rPr>
            </w:pPr>
            <w:r>
              <w:rPr>
                <w:rFonts w:cs="Arial"/>
                <w:sz w:val="16"/>
                <w:szCs w:val="16"/>
              </w:rPr>
              <w:t>8.3</w:t>
            </w:r>
          </w:p>
        </w:tc>
        <w:tc>
          <w:tcPr>
            <w:tcW w:w="5245" w:type="dxa"/>
          </w:tcPr>
          <w:p w:rsidR="008326C2" w:rsidRDefault="008326C2" w:rsidP="00B53B38">
            <w:pPr>
              <w:tabs>
                <w:tab w:val="clear" w:pos="851"/>
              </w:tabs>
              <w:spacing w:after="0"/>
              <w:ind w:left="0"/>
              <w:jc w:val="left"/>
              <w:rPr>
                <w:rFonts w:cs="Arial"/>
                <w:sz w:val="16"/>
                <w:szCs w:val="16"/>
              </w:rPr>
            </w:pPr>
            <w:r>
              <w:rPr>
                <w:rFonts w:cs="Arial"/>
                <w:sz w:val="16"/>
                <w:szCs w:val="16"/>
              </w:rPr>
              <w:t>Commercial in Confidence – PA Consulting outline business case</w:t>
            </w:r>
          </w:p>
        </w:tc>
        <w:tc>
          <w:tcPr>
            <w:tcW w:w="1417" w:type="dxa"/>
          </w:tcPr>
          <w:p w:rsidR="008326C2" w:rsidRDefault="008326C2" w:rsidP="00B53B38">
            <w:pPr>
              <w:tabs>
                <w:tab w:val="clear" w:pos="851"/>
              </w:tabs>
              <w:spacing w:after="0"/>
              <w:ind w:left="0"/>
              <w:jc w:val="left"/>
              <w:rPr>
                <w:rFonts w:cs="Arial"/>
                <w:sz w:val="16"/>
                <w:szCs w:val="16"/>
              </w:rPr>
            </w:pPr>
            <w:r>
              <w:rPr>
                <w:rFonts w:cs="Arial"/>
                <w:sz w:val="16"/>
                <w:szCs w:val="16"/>
              </w:rPr>
              <w:t>August 2018</w:t>
            </w:r>
          </w:p>
        </w:tc>
      </w:tr>
      <w:tr w:rsidR="008326C2" w:rsidRPr="001E0DCD" w:rsidTr="00B53B38">
        <w:tc>
          <w:tcPr>
            <w:tcW w:w="1838" w:type="dxa"/>
          </w:tcPr>
          <w:p w:rsidR="008326C2" w:rsidRDefault="008326C2" w:rsidP="00B53B38">
            <w:pPr>
              <w:tabs>
                <w:tab w:val="clear" w:pos="851"/>
              </w:tabs>
              <w:spacing w:after="0"/>
              <w:ind w:left="0"/>
              <w:jc w:val="left"/>
              <w:rPr>
                <w:rFonts w:cs="Arial"/>
                <w:sz w:val="16"/>
                <w:szCs w:val="16"/>
              </w:rPr>
            </w:pPr>
            <w:r>
              <w:rPr>
                <w:rFonts w:cs="Arial"/>
                <w:sz w:val="16"/>
                <w:szCs w:val="16"/>
              </w:rPr>
              <w:t>8.4</w:t>
            </w:r>
          </w:p>
        </w:tc>
        <w:tc>
          <w:tcPr>
            <w:tcW w:w="5245" w:type="dxa"/>
          </w:tcPr>
          <w:p w:rsidR="008326C2" w:rsidRDefault="008326C2" w:rsidP="00B53B38">
            <w:pPr>
              <w:tabs>
                <w:tab w:val="clear" w:pos="851"/>
              </w:tabs>
              <w:spacing w:after="0"/>
              <w:ind w:left="0"/>
              <w:jc w:val="left"/>
              <w:rPr>
                <w:rFonts w:cs="Arial"/>
                <w:sz w:val="16"/>
                <w:szCs w:val="16"/>
              </w:rPr>
            </w:pPr>
            <w:r>
              <w:rPr>
                <w:rFonts w:cs="Arial"/>
                <w:sz w:val="16"/>
                <w:szCs w:val="16"/>
              </w:rPr>
              <w:t>Havant Thicket Costing Summary</w:t>
            </w:r>
          </w:p>
        </w:tc>
        <w:tc>
          <w:tcPr>
            <w:tcW w:w="1417" w:type="dxa"/>
          </w:tcPr>
          <w:p w:rsidR="008326C2" w:rsidRDefault="008326C2" w:rsidP="00B53B38">
            <w:pPr>
              <w:tabs>
                <w:tab w:val="clear" w:pos="851"/>
              </w:tabs>
              <w:spacing w:after="0"/>
              <w:ind w:left="0"/>
              <w:jc w:val="left"/>
              <w:rPr>
                <w:rFonts w:cs="Arial"/>
                <w:sz w:val="16"/>
                <w:szCs w:val="16"/>
              </w:rPr>
            </w:pPr>
            <w:r>
              <w:rPr>
                <w:rFonts w:cs="Arial"/>
                <w:sz w:val="16"/>
                <w:szCs w:val="16"/>
              </w:rPr>
              <w:t>August 2018</w:t>
            </w:r>
          </w:p>
        </w:tc>
      </w:tr>
      <w:tr w:rsidR="008326C2" w:rsidRPr="001E0DCD" w:rsidTr="00B53B38">
        <w:tc>
          <w:tcPr>
            <w:tcW w:w="1838" w:type="dxa"/>
          </w:tcPr>
          <w:p w:rsidR="008326C2" w:rsidRDefault="008326C2" w:rsidP="00B53B38">
            <w:pPr>
              <w:tabs>
                <w:tab w:val="clear" w:pos="851"/>
              </w:tabs>
              <w:spacing w:after="0"/>
              <w:ind w:left="0"/>
              <w:jc w:val="left"/>
              <w:rPr>
                <w:rFonts w:cs="Arial"/>
                <w:sz w:val="16"/>
                <w:szCs w:val="16"/>
              </w:rPr>
            </w:pPr>
            <w:r>
              <w:rPr>
                <w:rFonts w:cs="Arial"/>
                <w:sz w:val="16"/>
                <w:szCs w:val="16"/>
              </w:rPr>
              <w:t>9.1.3</w:t>
            </w:r>
          </w:p>
        </w:tc>
        <w:tc>
          <w:tcPr>
            <w:tcW w:w="5245" w:type="dxa"/>
          </w:tcPr>
          <w:p w:rsidR="008326C2" w:rsidRDefault="008326C2" w:rsidP="00B53B38">
            <w:pPr>
              <w:tabs>
                <w:tab w:val="clear" w:pos="851"/>
              </w:tabs>
              <w:spacing w:after="0"/>
              <w:ind w:left="0"/>
              <w:jc w:val="left"/>
              <w:rPr>
                <w:rFonts w:cs="Arial"/>
                <w:sz w:val="16"/>
                <w:szCs w:val="16"/>
              </w:rPr>
            </w:pPr>
            <w:r>
              <w:rPr>
                <w:rFonts w:cs="Arial"/>
                <w:sz w:val="16"/>
                <w:szCs w:val="16"/>
              </w:rPr>
              <w:t>Business Plan Cost Lines Table</w:t>
            </w:r>
          </w:p>
        </w:tc>
        <w:tc>
          <w:tcPr>
            <w:tcW w:w="1417" w:type="dxa"/>
          </w:tcPr>
          <w:p w:rsidR="008326C2" w:rsidRDefault="00BA1427" w:rsidP="00B53B38">
            <w:pPr>
              <w:tabs>
                <w:tab w:val="clear" w:pos="851"/>
              </w:tabs>
              <w:spacing w:after="0"/>
              <w:ind w:left="0"/>
              <w:jc w:val="left"/>
              <w:rPr>
                <w:rFonts w:cs="Arial"/>
                <w:sz w:val="16"/>
                <w:szCs w:val="16"/>
              </w:rPr>
            </w:pPr>
            <w:r>
              <w:rPr>
                <w:rFonts w:cs="Arial"/>
                <w:sz w:val="16"/>
                <w:szCs w:val="16"/>
              </w:rPr>
              <w:t>September 2018</w:t>
            </w:r>
          </w:p>
        </w:tc>
      </w:tr>
    </w:tbl>
    <w:p w:rsidR="008326C2" w:rsidRDefault="00B0614F" w:rsidP="00B53B38">
      <w:pPr>
        <w:rPr>
          <w:rFonts w:eastAsiaTheme="minorHAnsi"/>
          <w:lang w:eastAsia="en-US"/>
        </w:rPr>
      </w:pPr>
      <w:r>
        <w:rPr>
          <w:rFonts w:eastAsiaTheme="minorHAnsi"/>
          <w:lang w:eastAsia="en-US"/>
        </w:rPr>
        <w:t xml:space="preserve">We are disappointed that only 3 of </w:t>
      </w:r>
      <w:r w:rsidR="00F269D9">
        <w:rPr>
          <w:rFonts w:eastAsiaTheme="minorHAnsi"/>
          <w:lang w:eastAsia="en-US"/>
        </w:rPr>
        <w:t xml:space="preserve">the </w:t>
      </w:r>
      <w:r>
        <w:rPr>
          <w:rFonts w:eastAsiaTheme="minorHAnsi"/>
          <w:lang w:eastAsia="en-US"/>
        </w:rPr>
        <w:t>retailers in our area of supply responded to requests for customer insight to feed into our business plan.  We were expecting more feedback to be forthcoming to allow triangulation with our direct non-household engagement.</w:t>
      </w:r>
    </w:p>
    <w:p w:rsidR="00CE023A" w:rsidRPr="00453F64" w:rsidRDefault="00CE023A" w:rsidP="00B53B38">
      <w:pPr>
        <w:spacing w:after="120"/>
        <w:rPr>
          <w:rFonts w:cs="Arial"/>
          <w:color w:val="2E74B5" w:themeColor="accent1" w:themeShade="BF"/>
        </w:rPr>
      </w:pPr>
      <w:r w:rsidRPr="00453F64">
        <w:rPr>
          <w:rFonts w:cs="Arial"/>
          <w:color w:val="2E74B5" w:themeColor="accent1" w:themeShade="BF"/>
        </w:rPr>
        <w:t>Appendices relevant to this chapter</w:t>
      </w:r>
    </w:p>
    <w:p w:rsidR="008B3495" w:rsidRDefault="008B3495">
      <w:pPr>
        <w:tabs>
          <w:tab w:val="clear" w:pos="851"/>
        </w:tabs>
        <w:spacing w:after="0"/>
        <w:ind w:left="0"/>
        <w:jc w:val="left"/>
      </w:pPr>
      <w:r>
        <w:br w:type="page"/>
      </w:r>
    </w:p>
    <w:p w:rsidR="00A73A0F" w:rsidRDefault="00A73A0F" w:rsidP="0005234B">
      <w:pPr>
        <w:pStyle w:val="Heading1"/>
      </w:pPr>
      <w:bookmarkStart w:id="192" w:name="_Toc522200022"/>
      <w:bookmarkStart w:id="193" w:name="_Toc522200119"/>
      <w:bookmarkStart w:id="194" w:name="_Toc523651311"/>
      <w:r>
        <w:t>Cost Efficiency</w:t>
      </w:r>
      <w:bookmarkEnd w:id="192"/>
      <w:bookmarkEnd w:id="193"/>
      <w:bookmarkEnd w:id="194"/>
    </w:p>
    <w:p w:rsidR="009C04FC" w:rsidRPr="00332164" w:rsidRDefault="009C04FC" w:rsidP="009C04FC">
      <w:bookmarkStart w:id="195" w:name="_Toc522200023"/>
      <w:bookmarkStart w:id="196" w:name="_Toc522200120"/>
      <w:r w:rsidRPr="00332164">
        <w:t xml:space="preserve">The Board has used a number of different approaches in order to ensure that is has a plan which reflects efficient </w:t>
      </w:r>
      <w:r w:rsidR="00FE42E8">
        <w:t>Totex</w:t>
      </w:r>
      <w:r w:rsidRPr="00332164">
        <w:t xml:space="preserve"> costs and reflects best overall value for money considering customers priorities together with statutory obligations.</w:t>
      </w:r>
    </w:p>
    <w:p w:rsidR="00D456BC" w:rsidRDefault="00FE42E8" w:rsidP="00D456BC">
      <w:pPr>
        <w:pStyle w:val="Heading2"/>
      </w:pPr>
      <w:bookmarkStart w:id="197" w:name="_Toc523651312"/>
      <w:r>
        <w:t>Totex</w:t>
      </w:r>
      <w:r w:rsidR="00D456BC">
        <w:t xml:space="preserve"> Efficiency</w:t>
      </w:r>
      <w:r w:rsidR="009C45B3">
        <w:t xml:space="preserve"> (Wholesale</w:t>
      </w:r>
      <w:r w:rsidR="00E74470">
        <w:t>)</w:t>
      </w:r>
      <w:bookmarkEnd w:id="195"/>
      <w:bookmarkEnd w:id="196"/>
      <w:bookmarkEnd w:id="197"/>
    </w:p>
    <w:p w:rsidR="009C04FC" w:rsidRPr="009C04FC" w:rsidRDefault="009C04FC" w:rsidP="009C04FC">
      <w:pPr>
        <w:rPr>
          <w:b/>
          <w:color w:val="2E74B5" w:themeColor="accent1" w:themeShade="BF"/>
        </w:rPr>
      </w:pPr>
      <w:r w:rsidRPr="009C04FC">
        <w:rPr>
          <w:b/>
          <w:color w:val="2E74B5" w:themeColor="accent1" w:themeShade="BF"/>
        </w:rPr>
        <w:t xml:space="preserve">Overall </w:t>
      </w:r>
      <w:r w:rsidR="00560B22">
        <w:rPr>
          <w:b/>
          <w:color w:val="2E74B5" w:themeColor="accent1" w:themeShade="BF"/>
        </w:rPr>
        <w:t>Totex</w:t>
      </w:r>
    </w:p>
    <w:p w:rsidR="009C04FC" w:rsidRPr="00332164" w:rsidRDefault="009C04FC" w:rsidP="009C04FC">
      <w:r w:rsidRPr="00332164">
        <w:t xml:space="preserve">In AMP7 we have proposed a </w:t>
      </w:r>
      <w:r w:rsidR="00FE42E8">
        <w:t>Totex</w:t>
      </w:r>
      <w:r w:rsidRPr="00332164">
        <w:t xml:space="preserve"> programme </w:t>
      </w:r>
      <w:r w:rsidRPr="002A13EA">
        <w:t>of £</w:t>
      </w:r>
      <w:r w:rsidR="005F36E7">
        <w:t>223.9</w:t>
      </w:r>
      <w:r w:rsidRPr="002A13EA">
        <w:t>m,</w:t>
      </w:r>
      <w:r>
        <w:t xml:space="preserve"> including </w:t>
      </w:r>
      <w:r w:rsidRPr="00332164">
        <w:t>£</w:t>
      </w:r>
      <w:r>
        <w:t>6</w:t>
      </w:r>
      <w:r w:rsidR="00760118">
        <w:t>2</w:t>
      </w:r>
      <w:r w:rsidR="005F36E7">
        <w:t>.</w:t>
      </w:r>
      <w:r w:rsidR="004315FB">
        <w:t>3</w:t>
      </w:r>
      <w:r w:rsidRPr="00332164">
        <w:t>m, for Havant Thicket Winter Storage Reservoir</w:t>
      </w:r>
      <w:r w:rsidR="00760118">
        <w:t xml:space="preserve"> (HTWSR)</w:t>
      </w:r>
      <w:r w:rsidRPr="00332164">
        <w:t>.</w:t>
      </w:r>
      <w:r w:rsidR="00760118">
        <w:t xml:space="preserve">  Please note HTWSR is part of the Water Resources price control. </w:t>
      </w:r>
      <w:r w:rsidRPr="00332164">
        <w:t xml:space="preserve"> A summary of the expenditure is shown below:</w:t>
      </w:r>
    </w:p>
    <w:tbl>
      <w:tblPr>
        <w:tblStyle w:val="TableGrid66"/>
        <w:tblW w:w="9016" w:type="dxa"/>
        <w:tblInd w:w="704" w:type="dxa"/>
        <w:tblLook w:val="04A0" w:firstRow="1" w:lastRow="0" w:firstColumn="1" w:lastColumn="0" w:noHBand="0" w:noVBand="1"/>
      </w:tblPr>
      <w:tblGrid>
        <w:gridCol w:w="2835"/>
        <w:gridCol w:w="1980"/>
        <w:gridCol w:w="1947"/>
        <w:gridCol w:w="2254"/>
      </w:tblGrid>
      <w:tr w:rsidR="00F00A0D" w:rsidRPr="00F00A0D" w:rsidTr="00F00A0D">
        <w:tc>
          <w:tcPr>
            <w:tcW w:w="2835" w:type="dxa"/>
            <w:shd w:val="clear" w:color="auto" w:fill="2E74B5" w:themeFill="accent1" w:themeFillShade="BF"/>
          </w:tcPr>
          <w:p w:rsidR="009622B6" w:rsidRPr="00F00A0D" w:rsidRDefault="009622B6" w:rsidP="009622B6">
            <w:pPr>
              <w:tabs>
                <w:tab w:val="clear" w:pos="851"/>
              </w:tabs>
              <w:spacing w:before="120" w:after="60"/>
              <w:ind w:left="0"/>
              <w:jc w:val="left"/>
              <w:rPr>
                <w:rFonts w:cs="Arial"/>
                <w:b/>
                <w:color w:val="FFFFFF" w:themeColor="background1"/>
                <w:sz w:val="16"/>
                <w:szCs w:val="16"/>
              </w:rPr>
            </w:pPr>
            <w:r w:rsidRPr="00F00A0D">
              <w:rPr>
                <w:rFonts w:cs="Arial"/>
                <w:b/>
                <w:color w:val="FFFFFF" w:themeColor="background1"/>
                <w:sz w:val="16"/>
                <w:szCs w:val="16"/>
              </w:rPr>
              <w:t>Type of Expenditure</w:t>
            </w:r>
          </w:p>
        </w:tc>
        <w:tc>
          <w:tcPr>
            <w:tcW w:w="1980" w:type="dxa"/>
            <w:shd w:val="clear" w:color="auto" w:fill="2E74B5" w:themeFill="accent1" w:themeFillShade="BF"/>
          </w:tcPr>
          <w:p w:rsidR="009622B6" w:rsidRPr="00F00A0D" w:rsidRDefault="00E51D85" w:rsidP="00E51D85">
            <w:pPr>
              <w:tabs>
                <w:tab w:val="clear" w:pos="851"/>
              </w:tabs>
              <w:spacing w:before="120" w:after="60"/>
              <w:ind w:left="0"/>
              <w:jc w:val="left"/>
              <w:rPr>
                <w:rFonts w:cs="Arial"/>
                <w:b/>
                <w:color w:val="FFFFFF" w:themeColor="background1"/>
                <w:sz w:val="16"/>
                <w:szCs w:val="16"/>
              </w:rPr>
            </w:pPr>
            <w:r w:rsidRPr="00F00A0D">
              <w:rPr>
                <w:rFonts w:cs="Arial"/>
                <w:b/>
                <w:color w:val="FFFFFF" w:themeColor="background1"/>
                <w:sz w:val="16"/>
                <w:szCs w:val="16"/>
              </w:rPr>
              <w:t xml:space="preserve">Base </w:t>
            </w:r>
            <w:r w:rsidR="00560B22" w:rsidRPr="00F00A0D">
              <w:rPr>
                <w:rFonts w:cs="Arial"/>
                <w:b/>
                <w:color w:val="FFFFFF" w:themeColor="background1"/>
                <w:sz w:val="16"/>
                <w:szCs w:val="16"/>
              </w:rPr>
              <w:t>Totex</w:t>
            </w:r>
          </w:p>
        </w:tc>
        <w:tc>
          <w:tcPr>
            <w:tcW w:w="1947" w:type="dxa"/>
            <w:shd w:val="clear" w:color="auto" w:fill="2E74B5" w:themeFill="accent1" w:themeFillShade="BF"/>
          </w:tcPr>
          <w:p w:rsidR="009622B6" w:rsidRPr="00F00A0D" w:rsidRDefault="009622B6" w:rsidP="009622B6">
            <w:pPr>
              <w:tabs>
                <w:tab w:val="clear" w:pos="851"/>
              </w:tabs>
              <w:spacing w:before="120" w:after="60"/>
              <w:ind w:left="0"/>
              <w:jc w:val="left"/>
              <w:rPr>
                <w:rFonts w:cs="Arial"/>
                <w:b/>
                <w:color w:val="FFFFFF" w:themeColor="background1"/>
                <w:sz w:val="16"/>
                <w:szCs w:val="16"/>
              </w:rPr>
            </w:pPr>
            <w:r w:rsidRPr="00F00A0D">
              <w:rPr>
                <w:rFonts w:cs="Arial"/>
                <w:b/>
                <w:color w:val="FFFFFF" w:themeColor="background1"/>
                <w:sz w:val="16"/>
                <w:szCs w:val="16"/>
              </w:rPr>
              <w:t>Enhancement</w:t>
            </w:r>
          </w:p>
        </w:tc>
        <w:tc>
          <w:tcPr>
            <w:tcW w:w="2254" w:type="dxa"/>
            <w:shd w:val="clear" w:color="auto" w:fill="2E74B5" w:themeFill="accent1" w:themeFillShade="BF"/>
          </w:tcPr>
          <w:p w:rsidR="009622B6" w:rsidRPr="00F00A0D" w:rsidRDefault="009622B6" w:rsidP="009622B6">
            <w:pPr>
              <w:tabs>
                <w:tab w:val="clear" w:pos="851"/>
              </w:tabs>
              <w:spacing w:before="120" w:after="60"/>
              <w:ind w:left="0"/>
              <w:jc w:val="center"/>
              <w:rPr>
                <w:rFonts w:cs="Arial"/>
                <w:b/>
                <w:color w:val="FFFFFF" w:themeColor="background1"/>
                <w:sz w:val="16"/>
                <w:szCs w:val="16"/>
              </w:rPr>
            </w:pPr>
            <w:r w:rsidRPr="00F00A0D">
              <w:rPr>
                <w:rFonts w:cs="Arial"/>
                <w:b/>
                <w:color w:val="FFFFFF" w:themeColor="background1"/>
                <w:sz w:val="16"/>
                <w:szCs w:val="16"/>
              </w:rPr>
              <w:t>AMP7 Total</w:t>
            </w:r>
          </w:p>
        </w:tc>
      </w:tr>
      <w:tr w:rsidR="009622B6" w:rsidRPr="00F00A0D" w:rsidTr="00E51D85">
        <w:tc>
          <w:tcPr>
            <w:tcW w:w="2835" w:type="dxa"/>
          </w:tcPr>
          <w:p w:rsidR="009622B6" w:rsidRPr="00F00A0D" w:rsidRDefault="00964B14" w:rsidP="009622B6">
            <w:pPr>
              <w:tabs>
                <w:tab w:val="clear" w:pos="851"/>
              </w:tabs>
              <w:spacing w:before="120" w:after="60"/>
              <w:ind w:left="0"/>
              <w:jc w:val="left"/>
              <w:rPr>
                <w:rFonts w:cs="Arial"/>
                <w:sz w:val="16"/>
                <w:szCs w:val="16"/>
              </w:rPr>
            </w:pPr>
            <w:r>
              <w:rPr>
                <w:rFonts w:cs="Arial"/>
                <w:sz w:val="16"/>
                <w:szCs w:val="16"/>
              </w:rPr>
              <w:t>Opex</w:t>
            </w:r>
            <w:r w:rsidR="00E51D85" w:rsidRPr="00F00A0D">
              <w:rPr>
                <w:rFonts w:cs="Arial"/>
                <w:sz w:val="16"/>
                <w:szCs w:val="16"/>
              </w:rPr>
              <w:t xml:space="preserve"> (Excluding Renewals)</w:t>
            </w:r>
          </w:p>
        </w:tc>
        <w:tc>
          <w:tcPr>
            <w:tcW w:w="1980"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£90.479m</w:t>
            </w:r>
          </w:p>
        </w:tc>
        <w:tc>
          <w:tcPr>
            <w:tcW w:w="1947" w:type="dxa"/>
          </w:tcPr>
          <w:p w:rsidR="009622B6" w:rsidRPr="00F00A0D" w:rsidRDefault="00E51D85" w:rsidP="00FB482C">
            <w:pPr>
              <w:tabs>
                <w:tab w:val="clear" w:pos="851"/>
              </w:tabs>
              <w:spacing w:before="120" w:after="60"/>
              <w:ind w:left="0"/>
              <w:jc w:val="center"/>
              <w:rPr>
                <w:rFonts w:cs="Arial"/>
                <w:sz w:val="16"/>
                <w:szCs w:val="16"/>
              </w:rPr>
            </w:pPr>
            <w:r w:rsidRPr="00F00A0D">
              <w:rPr>
                <w:rFonts w:cs="Arial"/>
                <w:sz w:val="16"/>
                <w:szCs w:val="16"/>
              </w:rPr>
              <w:t>£2.095m</w:t>
            </w:r>
          </w:p>
        </w:tc>
        <w:tc>
          <w:tcPr>
            <w:tcW w:w="2254"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£92.574m</w:t>
            </w:r>
          </w:p>
        </w:tc>
      </w:tr>
      <w:tr w:rsidR="009622B6" w:rsidRPr="00F00A0D" w:rsidTr="00E51D85">
        <w:tc>
          <w:tcPr>
            <w:tcW w:w="2835" w:type="dxa"/>
          </w:tcPr>
          <w:p w:rsidR="009622B6" w:rsidRPr="00F00A0D" w:rsidRDefault="009622B6" w:rsidP="009622B6">
            <w:pPr>
              <w:tabs>
                <w:tab w:val="clear" w:pos="851"/>
              </w:tabs>
              <w:spacing w:before="120" w:after="60"/>
              <w:ind w:left="0"/>
              <w:jc w:val="left"/>
              <w:rPr>
                <w:rFonts w:cs="Arial"/>
                <w:sz w:val="16"/>
                <w:szCs w:val="16"/>
              </w:rPr>
            </w:pPr>
            <w:r w:rsidRPr="00F00A0D">
              <w:rPr>
                <w:rFonts w:cs="Arial"/>
                <w:sz w:val="16"/>
                <w:szCs w:val="16"/>
              </w:rPr>
              <w:t>Infrastructure Assets</w:t>
            </w:r>
          </w:p>
        </w:tc>
        <w:tc>
          <w:tcPr>
            <w:tcW w:w="1980"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£23.353m</w:t>
            </w:r>
          </w:p>
        </w:tc>
        <w:tc>
          <w:tcPr>
            <w:tcW w:w="1947" w:type="dxa"/>
          </w:tcPr>
          <w:p w:rsidR="009622B6" w:rsidRPr="00F00A0D" w:rsidRDefault="009622B6" w:rsidP="009622B6">
            <w:pPr>
              <w:tabs>
                <w:tab w:val="clear" w:pos="851"/>
              </w:tabs>
              <w:spacing w:before="120" w:after="60"/>
              <w:ind w:left="0"/>
              <w:jc w:val="center"/>
              <w:rPr>
                <w:rFonts w:cs="Arial"/>
                <w:sz w:val="16"/>
                <w:szCs w:val="16"/>
              </w:rPr>
            </w:pPr>
          </w:p>
        </w:tc>
        <w:tc>
          <w:tcPr>
            <w:tcW w:w="2254"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£23.353m</w:t>
            </w:r>
          </w:p>
        </w:tc>
      </w:tr>
      <w:tr w:rsidR="009622B6" w:rsidRPr="00F00A0D" w:rsidTr="00E51D85">
        <w:tc>
          <w:tcPr>
            <w:tcW w:w="2835" w:type="dxa"/>
          </w:tcPr>
          <w:p w:rsidR="009622B6" w:rsidRPr="00F00A0D" w:rsidRDefault="009622B6" w:rsidP="009622B6">
            <w:pPr>
              <w:tabs>
                <w:tab w:val="clear" w:pos="851"/>
              </w:tabs>
              <w:spacing w:before="120" w:after="60"/>
              <w:ind w:left="0"/>
              <w:jc w:val="left"/>
              <w:rPr>
                <w:rFonts w:cs="Arial"/>
                <w:sz w:val="16"/>
                <w:szCs w:val="16"/>
              </w:rPr>
            </w:pPr>
            <w:r w:rsidRPr="00F00A0D">
              <w:rPr>
                <w:rFonts w:cs="Arial"/>
                <w:sz w:val="16"/>
                <w:szCs w:val="16"/>
              </w:rPr>
              <w:t>Non-Infra Assets</w:t>
            </w:r>
          </w:p>
        </w:tc>
        <w:tc>
          <w:tcPr>
            <w:tcW w:w="1980" w:type="dxa"/>
          </w:tcPr>
          <w:p w:rsidR="009622B6" w:rsidRPr="00F00A0D" w:rsidRDefault="00E51D85" w:rsidP="00E51D85">
            <w:pPr>
              <w:tabs>
                <w:tab w:val="clear" w:pos="851"/>
              </w:tabs>
              <w:spacing w:before="120" w:after="60"/>
              <w:ind w:left="0"/>
              <w:jc w:val="center"/>
              <w:rPr>
                <w:rFonts w:cs="Arial"/>
                <w:sz w:val="16"/>
                <w:szCs w:val="16"/>
              </w:rPr>
            </w:pPr>
            <w:r w:rsidRPr="00F00A0D">
              <w:rPr>
                <w:rFonts w:cs="Arial"/>
                <w:sz w:val="16"/>
                <w:szCs w:val="16"/>
              </w:rPr>
              <w:t>£25.399m</w:t>
            </w:r>
          </w:p>
        </w:tc>
        <w:tc>
          <w:tcPr>
            <w:tcW w:w="1947" w:type="dxa"/>
          </w:tcPr>
          <w:p w:rsidR="009622B6" w:rsidRPr="00F00A0D" w:rsidRDefault="009622B6" w:rsidP="009622B6">
            <w:pPr>
              <w:tabs>
                <w:tab w:val="clear" w:pos="851"/>
              </w:tabs>
              <w:spacing w:before="120" w:after="60"/>
              <w:ind w:left="0"/>
              <w:jc w:val="center"/>
              <w:rPr>
                <w:rFonts w:cs="Arial"/>
                <w:sz w:val="16"/>
                <w:szCs w:val="16"/>
              </w:rPr>
            </w:pPr>
          </w:p>
        </w:tc>
        <w:tc>
          <w:tcPr>
            <w:tcW w:w="2254" w:type="dxa"/>
          </w:tcPr>
          <w:p w:rsidR="009622B6" w:rsidRPr="00F00A0D" w:rsidRDefault="00E51D85" w:rsidP="00A50739">
            <w:pPr>
              <w:tabs>
                <w:tab w:val="clear" w:pos="851"/>
              </w:tabs>
              <w:spacing w:before="120" w:after="60"/>
              <w:ind w:left="0"/>
              <w:jc w:val="center"/>
              <w:rPr>
                <w:rFonts w:cs="Arial"/>
                <w:sz w:val="16"/>
                <w:szCs w:val="16"/>
              </w:rPr>
            </w:pPr>
            <w:r w:rsidRPr="00F00A0D">
              <w:rPr>
                <w:rFonts w:cs="Arial"/>
                <w:sz w:val="16"/>
                <w:szCs w:val="16"/>
              </w:rPr>
              <w:t>£25.</w:t>
            </w:r>
            <w:r w:rsidR="00A50739" w:rsidRPr="00F00A0D">
              <w:rPr>
                <w:rFonts w:cs="Arial"/>
                <w:sz w:val="16"/>
                <w:szCs w:val="16"/>
              </w:rPr>
              <w:t>39</w:t>
            </w:r>
            <w:r w:rsidRPr="00F00A0D">
              <w:rPr>
                <w:rFonts w:cs="Arial"/>
                <w:sz w:val="16"/>
                <w:szCs w:val="16"/>
              </w:rPr>
              <w:t>9m</w:t>
            </w:r>
          </w:p>
        </w:tc>
      </w:tr>
      <w:tr w:rsidR="009622B6" w:rsidRPr="00F00A0D" w:rsidTr="00E51D85">
        <w:tc>
          <w:tcPr>
            <w:tcW w:w="2835" w:type="dxa"/>
          </w:tcPr>
          <w:p w:rsidR="009622B6" w:rsidRPr="00F00A0D" w:rsidRDefault="009622B6" w:rsidP="009622B6">
            <w:pPr>
              <w:tabs>
                <w:tab w:val="clear" w:pos="851"/>
              </w:tabs>
              <w:spacing w:before="120" w:after="60"/>
              <w:ind w:left="0"/>
              <w:jc w:val="left"/>
              <w:rPr>
                <w:rFonts w:cs="Arial"/>
                <w:sz w:val="16"/>
                <w:szCs w:val="16"/>
              </w:rPr>
            </w:pPr>
            <w:r w:rsidRPr="00F00A0D">
              <w:rPr>
                <w:rFonts w:cs="Arial"/>
                <w:sz w:val="16"/>
                <w:szCs w:val="16"/>
              </w:rPr>
              <w:t>W</w:t>
            </w:r>
            <w:r w:rsidR="00760118" w:rsidRPr="00F00A0D">
              <w:rPr>
                <w:rFonts w:cs="Arial"/>
                <w:sz w:val="16"/>
                <w:szCs w:val="16"/>
              </w:rPr>
              <w:t xml:space="preserve">ater </w:t>
            </w:r>
            <w:r w:rsidRPr="00F00A0D">
              <w:rPr>
                <w:rFonts w:cs="Arial"/>
                <w:sz w:val="16"/>
                <w:szCs w:val="16"/>
              </w:rPr>
              <w:t>Q</w:t>
            </w:r>
            <w:r w:rsidR="00760118" w:rsidRPr="00F00A0D">
              <w:rPr>
                <w:rFonts w:cs="Arial"/>
                <w:sz w:val="16"/>
                <w:szCs w:val="16"/>
              </w:rPr>
              <w:t>uality</w:t>
            </w:r>
            <w:r w:rsidRPr="00F00A0D">
              <w:rPr>
                <w:rFonts w:cs="Arial"/>
                <w:sz w:val="16"/>
                <w:szCs w:val="16"/>
              </w:rPr>
              <w:t xml:space="preserve"> Schemes</w:t>
            </w:r>
          </w:p>
        </w:tc>
        <w:tc>
          <w:tcPr>
            <w:tcW w:w="1980" w:type="dxa"/>
          </w:tcPr>
          <w:p w:rsidR="009622B6" w:rsidRPr="00F00A0D" w:rsidRDefault="009622B6" w:rsidP="009622B6">
            <w:pPr>
              <w:tabs>
                <w:tab w:val="clear" w:pos="851"/>
              </w:tabs>
              <w:spacing w:before="120" w:after="60"/>
              <w:ind w:left="0"/>
              <w:jc w:val="center"/>
              <w:rPr>
                <w:rFonts w:cs="Arial"/>
                <w:sz w:val="16"/>
                <w:szCs w:val="16"/>
              </w:rPr>
            </w:pPr>
          </w:p>
        </w:tc>
        <w:tc>
          <w:tcPr>
            <w:tcW w:w="1947"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£6.459m</w:t>
            </w:r>
          </w:p>
        </w:tc>
        <w:tc>
          <w:tcPr>
            <w:tcW w:w="2254"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£6.459m</w:t>
            </w:r>
          </w:p>
        </w:tc>
      </w:tr>
      <w:tr w:rsidR="009622B6" w:rsidRPr="00F00A0D" w:rsidTr="00E51D85">
        <w:tc>
          <w:tcPr>
            <w:tcW w:w="2835" w:type="dxa"/>
          </w:tcPr>
          <w:p w:rsidR="009622B6" w:rsidRPr="00F00A0D" w:rsidRDefault="009622B6" w:rsidP="009622B6">
            <w:pPr>
              <w:tabs>
                <w:tab w:val="clear" w:pos="851"/>
              </w:tabs>
              <w:spacing w:before="120" w:after="60"/>
              <w:ind w:left="0"/>
              <w:jc w:val="left"/>
              <w:rPr>
                <w:rFonts w:cs="Arial"/>
                <w:sz w:val="16"/>
                <w:szCs w:val="16"/>
              </w:rPr>
            </w:pPr>
            <w:r w:rsidRPr="00F00A0D">
              <w:rPr>
                <w:rFonts w:cs="Arial"/>
                <w:sz w:val="16"/>
                <w:szCs w:val="16"/>
              </w:rPr>
              <w:t>Resilience</w:t>
            </w:r>
          </w:p>
        </w:tc>
        <w:tc>
          <w:tcPr>
            <w:tcW w:w="1980"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£0.005</w:t>
            </w:r>
          </w:p>
        </w:tc>
        <w:tc>
          <w:tcPr>
            <w:tcW w:w="1947"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£12.224m</w:t>
            </w:r>
          </w:p>
        </w:tc>
        <w:tc>
          <w:tcPr>
            <w:tcW w:w="2254"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£12.229m</w:t>
            </w:r>
          </w:p>
        </w:tc>
      </w:tr>
      <w:tr w:rsidR="009622B6" w:rsidRPr="00F00A0D" w:rsidTr="00E51D85">
        <w:tc>
          <w:tcPr>
            <w:tcW w:w="2835" w:type="dxa"/>
          </w:tcPr>
          <w:p w:rsidR="009622B6" w:rsidRPr="00F00A0D" w:rsidRDefault="009622B6" w:rsidP="009622B6">
            <w:pPr>
              <w:tabs>
                <w:tab w:val="clear" w:pos="851"/>
              </w:tabs>
              <w:spacing w:before="120" w:after="60"/>
              <w:ind w:left="0"/>
              <w:jc w:val="left"/>
              <w:rPr>
                <w:rFonts w:cs="Arial"/>
                <w:sz w:val="16"/>
                <w:szCs w:val="16"/>
              </w:rPr>
            </w:pPr>
            <w:r w:rsidRPr="00F00A0D">
              <w:rPr>
                <w:rFonts w:cs="Arial"/>
                <w:sz w:val="16"/>
                <w:szCs w:val="16"/>
              </w:rPr>
              <w:t>New Development</w:t>
            </w:r>
          </w:p>
        </w:tc>
        <w:tc>
          <w:tcPr>
            <w:tcW w:w="1980" w:type="dxa"/>
          </w:tcPr>
          <w:p w:rsidR="009622B6" w:rsidRPr="00F00A0D" w:rsidRDefault="009622B6" w:rsidP="009622B6">
            <w:pPr>
              <w:tabs>
                <w:tab w:val="clear" w:pos="851"/>
              </w:tabs>
              <w:spacing w:before="120" w:after="60"/>
              <w:ind w:left="0"/>
              <w:jc w:val="center"/>
              <w:rPr>
                <w:rFonts w:cs="Arial"/>
                <w:sz w:val="16"/>
                <w:szCs w:val="16"/>
              </w:rPr>
            </w:pPr>
          </w:p>
        </w:tc>
        <w:tc>
          <w:tcPr>
            <w:tcW w:w="1947"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£4.922m</w:t>
            </w:r>
          </w:p>
        </w:tc>
        <w:tc>
          <w:tcPr>
            <w:tcW w:w="2254"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£4.922m</w:t>
            </w:r>
          </w:p>
        </w:tc>
      </w:tr>
      <w:tr w:rsidR="009622B6" w:rsidRPr="00F00A0D" w:rsidTr="00E51D85">
        <w:tc>
          <w:tcPr>
            <w:tcW w:w="2835" w:type="dxa"/>
          </w:tcPr>
          <w:p w:rsidR="009622B6" w:rsidRPr="00F00A0D" w:rsidRDefault="00760118" w:rsidP="009622B6">
            <w:pPr>
              <w:tabs>
                <w:tab w:val="clear" w:pos="851"/>
              </w:tabs>
              <w:spacing w:before="120" w:after="60"/>
              <w:ind w:left="0"/>
              <w:jc w:val="left"/>
              <w:rPr>
                <w:rFonts w:cs="Arial"/>
                <w:sz w:val="16"/>
                <w:szCs w:val="16"/>
              </w:rPr>
            </w:pPr>
            <w:r w:rsidRPr="00F00A0D">
              <w:rPr>
                <w:rFonts w:cs="Arial"/>
                <w:sz w:val="16"/>
                <w:szCs w:val="16"/>
              </w:rPr>
              <w:t xml:space="preserve">Environmental </w:t>
            </w:r>
            <w:r w:rsidR="009622B6" w:rsidRPr="00F00A0D">
              <w:rPr>
                <w:rFonts w:cs="Arial"/>
                <w:sz w:val="16"/>
                <w:szCs w:val="16"/>
              </w:rPr>
              <w:t>Improvements</w:t>
            </w:r>
          </w:p>
        </w:tc>
        <w:tc>
          <w:tcPr>
            <w:tcW w:w="1980"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£0.024</w:t>
            </w:r>
          </w:p>
        </w:tc>
        <w:tc>
          <w:tcPr>
            <w:tcW w:w="1947"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£2.264m</w:t>
            </w:r>
          </w:p>
        </w:tc>
        <w:tc>
          <w:tcPr>
            <w:tcW w:w="2254"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£2.288m</w:t>
            </w:r>
          </w:p>
        </w:tc>
      </w:tr>
      <w:tr w:rsidR="009622B6" w:rsidRPr="00F00A0D" w:rsidTr="00E51D85">
        <w:tc>
          <w:tcPr>
            <w:tcW w:w="2835" w:type="dxa"/>
          </w:tcPr>
          <w:p w:rsidR="009622B6" w:rsidRPr="00F00A0D" w:rsidRDefault="009622B6" w:rsidP="009622B6">
            <w:pPr>
              <w:tabs>
                <w:tab w:val="clear" w:pos="851"/>
              </w:tabs>
              <w:spacing w:before="120" w:after="60"/>
              <w:ind w:left="0"/>
              <w:jc w:val="left"/>
              <w:rPr>
                <w:rFonts w:cs="Arial"/>
                <w:sz w:val="16"/>
                <w:szCs w:val="16"/>
              </w:rPr>
            </w:pPr>
            <w:r w:rsidRPr="00F00A0D">
              <w:rPr>
                <w:rFonts w:cs="Arial"/>
                <w:sz w:val="16"/>
                <w:szCs w:val="16"/>
              </w:rPr>
              <w:t>Havant Thicket WSR</w:t>
            </w:r>
          </w:p>
        </w:tc>
        <w:tc>
          <w:tcPr>
            <w:tcW w:w="1980" w:type="dxa"/>
          </w:tcPr>
          <w:p w:rsidR="009622B6" w:rsidRPr="00F00A0D" w:rsidRDefault="009622B6" w:rsidP="009622B6">
            <w:pPr>
              <w:tabs>
                <w:tab w:val="clear" w:pos="851"/>
              </w:tabs>
              <w:spacing w:before="120" w:after="60"/>
              <w:ind w:left="0"/>
              <w:jc w:val="center"/>
              <w:rPr>
                <w:rFonts w:cs="Arial"/>
                <w:sz w:val="16"/>
                <w:szCs w:val="16"/>
              </w:rPr>
            </w:pPr>
          </w:p>
        </w:tc>
        <w:tc>
          <w:tcPr>
            <w:tcW w:w="1947" w:type="dxa"/>
          </w:tcPr>
          <w:p w:rsidR="009622B6" w:rsidRPr="00F00A0D" w:rsidRDefault="00E51D85" w:rsidP="00FB482C">
            <w:pPr>
              <w:tabs>
                <w:tab w:val="clear" w:pos="851"/>
              </w:tabs>
              <w:spacing w:before="120" w:after="60"/>
              <w:ind w:left="0"/>
              <w:jc w:val="center"/>
              <w:rPr>
                <w:rFonts w:cs="Arial"/>
                <w:sz w:val="16"/>
                <w:szCs w:val="16"/>
              </w:rPr>
            </w:pPr>
            <w:r w:rsidRPr="00F00A0D">
              <w:rPr>
                <w:rFonts w:cs="Arial"/>
                <w:sz w:val="16"/>
                <w:szCs w:val="16"/>
              </w:rPr>
              <w:t>£62.251m</w:t>
            </w:r>
          </w:p>
        </w:tc>
        <w:tc>
          <w:tcPr>
            <w:tcW w:w="2254"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£62.251m</w:t>
            </w:r>
          </w:p>
        </w:tc>
      </w:tr>
      <w:tr w:rsidR="009622B6" w:rsidRPr="00F00A0D" w:rsidTr="00E51D85">
        <w:tc>
          <w:tcPr>
            <w:tcW w:w="2835" w:type="dxa"/>
          </w:tcPr>
          <w:p w:rsidR="009622B6" w:rsidRPr="00F00A0D" w:rsidRDefault="00E51D85" w:rsidP="00E51D85">
            <w:pPr>
              <w:tabs>
                <w:tab w:val="clear" w:pos="851"/>
              </w:tabs>
              <w:spacing w:before="120" w:after="60"/>
              <w:ind w:left="0"/>
              <w:jc w:val="left"/>
              <w:rPr>
                <w:rFonts w:cs="Arial"/>
                <w:sz w:val="16"/>
                <w:szCs w:val="16"/>
              </w:rPr>
            </w:pPr>
            <w:r w:rsidRPr="00F00A0D">
              <w:rPr>
                <w:rFonts w:cs="Arial"/>
                <w:b/>
                <w:sz w:val="16"/>
                <w:szCs w:val="16"/>
              </w:rPr>
              <w:t>Less</w:t>
            </w:r>
            <w:r w:rsidRPr="00F00A0D">
              <w:rPr>
                <w:rFonts w:cs="Arial"/>
                <w:sz w:val="16"/>
                <w:szCs w:val="16"/>
              </w:rPr>
              <w:t>: Grant Contributions</w:t>
            </w:r>
          </w:p>
        </w:tc>
        <w:tc>
          <w:tcPr>
            <w:tcW w:w="1980"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(£2.969m)</w:t>
            </w:r>
          </w:p>
        </w:tc>
        <w:tc>
          <w:tcPr>
            <w:tcW w:w="1947"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(£1.446m)</w:t>
            </w:r>
          </w:p>
        </w:tc>
        <w:tc>
          <w:tcPr>
            <w:tcW w:w="2254" w:type="dxa"/>
          </w:tcPr>
          <w:p w:rsidR="009622B6"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(£4.415m)</w:t>
            </w:r>
          </w:p>
        </w:tc>
      </w:tr>
      <w:tr w:rsidR="00E51D85" w:rsidRPr="00F00A0D" w:rsidTr="00E51D85">
        <w:tc>
          <w:tcPr>
            <w:tcW w:w="2835" w:type="dxa"/>
          </w:tcPr>
          <w:p w:rsidR="009622B6" w:rsidRPr="00F00A0D" w:rsidRDefault="00E51D85" w:rsidP="00E51D85">
            <w:pPr>
              <w:tabs>
                <w:tab w:val="clear" w:pos="851"/>
              </w:tabs>
              <w:spacing w:before="120" w:after="60"/>
              <w:ind w:left="0"/>
              <w:jc w:val="left"/>
              <w:rPr>
                <w:rFonts w:cs="Arial"/>
                <w:sz w:val="16"/>
                <w:szCs w:val="16"/>
              </w:rPr>
            </w:pPr>
            <w:r w:rsidRPr="00F00A0D">
              <w:rPr>
                <w:rFonts w:cs="Arial"/>
                <w:b/>
                <w:sz w:val="16"/>
                <w:szCs w:val="16"/>
              </w:rPr>
              <w:t>Less</w:t>
            </w:r>
            <w:r w:rsidRPr="00F00A0D">
              <w:rPr>
                <w:rFonts w:cs="Arial"/>
                <w:sz w:val="16"/>
                <w:szCs w:val="16"/>
              </w:rPr>
              <w:t>: Efficiencies</w:t>
            </w:r>
          </w:p>
        </w:tc>
        <w:tc>
          <w:tcPr>
            <w:tcW w:w="1980" w:type="dxa"/>
            <w:vAlign w:val="center"/>
          </w:tcPr>
          <w:p w:rsidR="009622B6" w:rsidRPr="00F00A0D" w:rsidRDefault="00E51D85" w:rsidP="00A50739">
            <w:pPr>
              <w:tabs>
                <w:tab w:val="clear" w:pos="851"/>
              </w:tabs>
              <w:spacing w:before="120" w:after="60"/>
              <w:ind w:left="0"/>
              <w:jc w:val="center"/>
              <w:rPr>
                <w:rFonts w:cs="Arial"/>
                <w:sz w:val="16"/>
                <w:szCs w:val="16"/>
              </w:rPr>
            </w:pPr>
            <w:r w:rsidRPr="00F00A0D">
              <w:rPr>
                <w:rFonts w:cs="Arial"/>
                <w:sz w:val="16"/>
                <w:szCs w:val="16"/>
              </w:rPr>
              <w:t>(£1.11</w:t>
            </w:r>
            <w:r w:rsidR="00A50739" w:rsidRPr="00F00A0D">
              <w:rPr>
                <w:rFonts w:cs="Arial"/>
                <w:sz w:val="16"/>
                <w:szCs w:val="16"/>
              </w:rPr>
              <w:t>6</w:t>
            </w:r>
            <w:r w:rsidRPr="00F00A0D">
              <w:rPr>
                <w:rFonts w:cs="Arial"/>
                <w:sz w:val="16"/>
                <w:szCs w:val="16"/>
              </w:rPr>
              <w:t>m)</w:t>
            </w:r>
          </w:p>
        </w:tc>
        <w:tc>
          <w:tcPr>
            <w:tcW w:w="1947" w:type="dxa"/>
            <w:vAlign w:val="center"/>
          </w:tcPr>
          <w:p w:rsidR="009622B6" w:rsidRPr="00F00A0D" w:rsidRDefault="009622B6" w:rsidP="009622B6">
            <w:pPr>
              <w:tabs>
                <w:tab w:val="clear" w:pos="851"/>
              </w:tabs>
              <w:spacing w:before="120" w:after="60"/>
              <w:ind w:left="0"/>
              <w:jc w:val="center"/>
              <w:rPr>
                <w:rFonts w:cs="Arial"/>
                <w:sz w:val="16"/>
                <w:szCs w:val="16"/>
              </w:rPr>
            </w:pPr>
          </w:p>
        </w:tc>
        <w:tc>
          <w:tcPr>
            <w:tcW w:w="2254" w:type="dxa"/>
            <w:vAlign w:val="center"/>
          </w:tcPr>
          <w:p w:rsidR="009622B6" w:rsidRPr="00F00A0D" w:rsidRDefault="00A50739" w:rsidP="00A50739">
            <w:pPr>
              <w:tabs>
                <w:tab w:val="clear" w:pos="851"/>
              </w:tabs>
              <w:spacing w:before="120" w:after="60"/>
              <w:ind w:left="0"/>
              <w:jc w:val="center"/>
              <w:rPr>
                <w:rFonts w:cs="Arial"/>
                <w:sz w:val="16"/>
                <w:szCs w:val="16"/>
              </w:rPr>
            </w:pPr>
            <w:r w:rsidRPr="00F00A0D">
              <w:rPr>
                <w:rFonts w:cs="Arial"/>
                <w:sz w:val="16"/>
                <w:szCs w:val="16"/>
              </w:rPr>
              <w:t>(</w:t>
            </w:r>
            <w:r w:rsidR="00E51D85" w:rsidRPr="00F00A0D">
              <w:rPr>
                <w:rFonts w:cs="Arial"/>
                <w:sz w:val="16"/>
                <w:szCs w:val="16"/>
              </w:rPr>
              <w:t>£1.</w:t>
            </w:r>
            <w:r w:rsidRPr="00F00A0D">
              <w:rPr>
                <w:rFonts w:cs="Arial"/>
                <w:sz w:val="16"/>
                <w:szCs w:val="16"/>
              </w:rPr>
              <w:t>11</w:t>
            </w:r>
            <w:r w:rsidR="00E51D85" w:rsidRPr="00F00A0D">
              <w:rPr>
                <w:rFonts w:cs="Arial"/>
                <w:sz w:val="16"/>
                <w:szCs w:val="16"/>
              </w:rPr>
              <w:t>6</w:t>
            </w:r>
            <w:r w:rsidRPr="00F00A0D">
              <w:rPr>
                <w:rFonts w:cs="Arial"/>
                <w:sz w:val="16"/>
                <w:szCs w:val="16"/>
              </w:rPr>
              <w:t>m</w:t>
            </w:r>
            <w:r w:rsidR="00E51D85" w:rsidRPr="00F00A0D">
              <w:rPr>
                <w:rFonts w:cs="Arial"/>
                <w:sz w:val="16"/>
                <w:szCs w:val="16"/>
              </w:rPr>
              <w:t>)</w:t>
            </w:r>
          </w:p>
        </w:tc>
      </w:tr>
      <w:tr w:rsidR="00E51D85" w:rsidRPr="00F00A0D" w:rsidTr="00E51D85">
        <w:tc>
          <w:tcPr>
            <w:tcW w:w="2835" w:type="dxa"/>
          </w:tcPr>
          <w:p w:rsidR="00E51D85" w:rsidRPr="00F00A0D" w:rsidRDefault="00FE42E8" w:rsidP="00F00A0D">
            <w:pPr>
              <w:tabs>
                <w:tab w:val="clear" w:pos="851"/>
              </w:tabs>
              <w:spacing w:before="120" w:after="60"/>
              <w:ind w:left="0"/>
              <w:jc w:val="left"/>
              <w:rPr>
                <w:rFonts w:cs="Arial"/>
                <w:b/>
                <w:sz w:val="16"/>
                <w:szCs w:val="16"/>
              </w:rPr>
            </w:pPr>
            <w:r w:rsidRPr="00F00A0D">
              <w:rPr>
                <w:rFonts w:cs="Arial"/>
                <w:b/>
                <w:sz w:val="16"/>
                <w:szCs w:val="16"/>
              </w:rPr>
              <w:t>Totex</w:t>
            </w:r>
          </w:p>
        </w:tc>
        <w:tc>
          <w:tcPr>
            <w:tcW w:w="1980" w:type="dxa"/>
            <w:vAlign w:val="center"/>
          </w:tcPr>
          <w:p w:rsidR="00E51D85" w:rsidRPr="00F00A0D" w:rsidRDefault="00E51D85" w:rsidP="009622B6">
            <w:pPr>
              <w:tabs>
                <w:tab w:val="clear" w:pos="851"/>
              </w:tabs>
              <w:spacing w:before="120" w:after="60"/>
              <w:ind w:left="0"/>
              <w:jc w:val="center"/>
              <w:rPr>
                <w:rFonts w:cs="Arial"/>
                <w:sz w:val="16"/>
                <w:szCs w:val="16"/>
              </w:rPr>
            </w:pPr>
            <w:r w:rsidRPr="00F00A0D">
              <w:rPr>
                <w:rFonts w:cs="Arial"/>
                <w:sz w:val="16"/>
                <w:szCs w:val="16"/>
              </w:rPr>
              <w:t>£135.175m</w:t>
            </w:r>
          </w:p>
        </w:tc>
        <w:tc>
          <w:tcPr>
            <w:tcW w:w="1947" w:type="dxa"/>
            <w:vAlign w:val="center"/>
          </w:tcPr>
          <w:p w:rsidR="00E51D85" w:rsidRPr="00F00A0D" w:rsidRDefault="00E51D85" w:rsidP="00FB482C">
            <w:pPr>
              <w:tabs>
                <w:tab w:val="clear" w:pos="851"/>
              </w:tabs>
              <w:spacing w:before="120" w:after="60"/>
              <w:ind w:left="0"/>
              <w:jc w:val="center"/>
              <w:rPr>
                <w:rFonts w:cs="Arial"/>
                <w:sz w:val="16"/>
                <w:szCs w:val="16"/>
              </w:rPr>
            </w:pPr>
            <w:r w:rsidRPr="00F00A0D">
              <w:rPr>
                <w:rFonts w:cs="Arial"/>
                <w:sz w:val="16"/>
                <w:szCs w:val="16"/>
              </w:rPr>
              <w:t>£88.769m</w:t>
            </w:r>
          </w:p>
        </w:tc>
        <w:tc>
          <w:tcPr>
            <w:tcW w:w="2254" w:type="dxa"/>
            <w:vAlign w:val="center"/>
          </w:tcPr>
          <w:p w:rsidR="00E51D85" w:rsidRPr="00F00A0D" w:rsidRDefault="00E51D85" w:rsidP="005F36E7">
            <w:pPr>
              <w:tabs>
                <w:tab w:val="clear" w:pos="851"/>
              </w:tabs>
              <w:spacing w:before="120" w:after="60"/>
              <w:ind w:left="0"/>
              <w:jc w:val="center"/>
              <w:rPr>
                <w:rFonts w:cs="Arial"/>
                <w:sz w:val="16"/>
                <w:szCs w:val="16"/>
              </w:rPr>
            </w:pPr>
            <w:r w:rsidRPr="00F00A0D">
              <w:rPr>
                <w:rFonts w:cs="Arial"/>
                <w:sz w:val="16"/>
                <w:szCs w:val="16"/>
              </w:rPr>
              <w:t>£2</w:t>
            </w:r>
            <w:r w:rsidR="005F36E7" w:rsidRPr="00F00A0D">
              <w:rPr>
                <w:rFonts w:cs="Arial"/>
                <w:sz w:val="16"/>
                <w:szCs w:val="16"/>
              </w:rPr>
              <w:t>2</w:t>
            </w:r>
            <w:r w:rsidRPr="00F00A0D">
              <w:rPr>
                <w:rFonts w:cs="Arial"/>
                <w:sz w:val="16"/>
                <w:szCs w:val="16"/>
              </w:rPr>
              <w:t>3.944m</w:t>
            </w:r>
          </w:p>
        </w:tc>
      </w:tr>
    </w:tbl>
    <w:p w:rsidR="009C04FC" w:rsidRPr="00760118" w:rsidRDefault="009C04FC" w:rsidP="009C04FC">
      <w:pPr>
        <w:rPr>
          <w:i/>
          <w:sz w:val="16"/>
          <w:szCs w:val="16"/>
        </w:rPr>
      </w:pPr>
      <w:r w:rsidRPr="00760118">
        <w:rPr>
          <w:i/>
          <w:sz w:val="16"/>
          <w:szCs w:val="16"/>
        </w:rPr>
        <w:t>For details of the enhancements see section 9.</w:t>
      </w:r>
      <w:r w:rsidR="005522A0">
        <w:rPr>
          <w:i/>
          <w:sz w:val="16"/>
          <w:szCs w:val="16"/>
        </w:rPr>
        <w:t>3</w:t>
      </w:r>
      <w:r w:rsidR="00C22508" w:rsidRPr="00760118">
        <w:rPr>
          <w:i/>
          <w:sz w:val="16"/>
          <w:szCs w:val="16"/>
        </w:rPr>
        <w:t>.</w:t>
      </w:r>
    </w:p>
    <w:p w:rsidR="00760118" w:rsidRDefault="00760118" w:rsidP="009C04FC">
      <w:r>
        <w:t xml:space="preserve">The </w:t>
      </w:r>
      <w:r w:rsidR="00FE42E8">
        <w:t>Totex</w:t>
      </w:r>
      <w:r>
        <w:t xml:space="preserve"> plan builds on a strong track record of cost efficiency whilst delivering a high quality and resilient service to our customers.  For many years we have been considered as one of the most efficient companies by Ofwat through the whole variety of the models they have used.</w:t>
      </w:r>
    </w:p>
    <w:p w:rsidR="00760118" w:rsidRDefault="00760118" w:rsidP="009C04FC">
      <w:r>
        <w:t>We have not made any cost adjustment claims in the Wholesale Price Control, but do have significant enhancement expenditure.</w:t>
      </w:r>
    </w:p>
    <w:p w:rsidR="00760118" w:rsidRDefault="00760118" w:rsidP="009C04FC">
      <w:r>
        <w:t>In AMP6 we have made efficiency savings of 22% on our infrastructure renewals programme, 13% on large non-infrastructure schemes.</w:t>
      </w:r>
    </w:p>
    <w:p w:rsidR="009C04FC" w:rsidRPr="00332164" w:rsidRDefault="009C04FC" w:rsidP="009C04FC">
      <w:r w:rsidRPr="00332164">
        <w:t xml:space="preserve">We have approached building an efficient </w:t>
      </w:r>
      <w:r w:rsidR="00FE42E8">
        <w:t>Totex</w:t>
      </w:r>
      <w:r w:rsidRPr="00332164">
        <w:t xml:space="preserve"> plan using a range of different methods to challenge costs and efficiencies. These included;</w:t>
      </w:r>
    </w:p>
    <w:p w:rsidR="009C04FC" w:rsidRPr="00332164" w:rsidRDefault="009C04FC" w:rsidP="005F36E7">
      <w:pPr>
        <w:pStyle w:val="Bullets"/>
      </w:pPr>
      <w:r w:rsidRPr="00332164">
        <w:t>Benchmarking</w:t>
      </w:r>
    </w:p>
    <w:p w:rsidR="009C04FC" w:rsidRPr="00332164" w:rsidRDefault="009C04FC" w:rsidP="005F36E7">
      <w:pPr>
        <w:pStyle w:val="Bullets"/>
      </w:pPr>
      <w:r w:rsidRPr="00332164">
        <w:t>Use of markets and competitive processes</w:t>
      </w:r>
    </w:p>
    <w:p w:rsidR="009C04FC" w:rsidRPr="00332164" w:rsidRDefault="009C04FC" w:rsidP="005F36E7">
      <w:pPr>
        <w:pStyle w:val="Bullets"/>
      </w:pPr>
      <w:r w:rsidRPr="00332164">
        <w:t>Establishing long term collaborative partnerships with contractors</w:t>
      </w:r>
    </w:p>
    <w:p w:rsidR="009C04FC" w:rsidRPr="00332164" w:rsidRDefault="009C04FC" w:rsidP="005F36E7">
      <w:pPr>
        <w:pStyle w:val="Bullets"/>
      </w:pPr>
      <w:r w:rsidRPr="00332164">
        <w:t>Cost benefit analysis – evaluating benefits for customers</w:t>
      </w:r>
    </w:p>
    <w:p w:rsidR="009C04FC" w:rsidRPr="00332164" w:rsidRDefault="009C04FC" w:rsidP="005F36E7">
      <w:pPr>
        <w:pStyle w:val="Bullets"/>
      </w:pPr>
      <w:r w:rsidRPr="00332164">
        <w:t>Optimisation of asset interventions based on customer preferences</w:t>
      </w:r>
    </w:p>
    <w:p w:rsidR="009C04FC" w:rsidRPr="00332164" w:rsidRDefault="009C04FC" w:rsidP="005F36E7">
      <w:pPr>
        <w:pStyle w:val="Bullets"/>
      </w:pPr>
      <w:r w:rsidRPr="00332164">
        <w:t>Innovation &amp; effective use of technology</w:t>
      </w:r>
    </w:p>
    <w:p w:rsidR="009C04FC" w:rsidRPr="00332164" w:rsidRDefault="009C04FC" w:rsidP="005F36E7">
      <w:pPr>
        <w:pStyle w:val="Bullets"/>
      </w:pPr>
      <w:r w:rsidRPr="00332164">
        <w:t>Focused operational and capital delivery efficiency savings</w:t>
      </w:r>
    </w:p>
    <w:p w:rsidR="009C04FC" w:rsidRPr="00332164" w:rsidRDefault="009C04FC" w:rsidP="009C04FC">
      <w:pPr>
        <w:spacing w:after="0"/>
        <w:ind w:left="1848"/>
      </w:pPr>
    </w:p>
    <w:p w:rsidR="009C04FC" w:rsidRPr="00332164" w:rsidRDefault="009C04FC" w:rsidP="009C04FC">
      <w:r w:rsidRPr="00332164">
        <w:t xml:space="preserve">Using these different approaches has helped us to develop and challenge </w:t>
      </w:r>
      <w:r w:rsidR="00FE42E8">
        <w:t>Totex</w:t>
      </w:r>
      <w:r w:rsidRPr="00332164">
        <w:t xml:space="preserve"> and ensure the appropriate balance between </w:t>
      </w:r>
      <w:r w:rsidR="00964B14">
        <w:t>Capex</w:t>
      </w:r>
      <w:r w:rsidRPr="00332164">
        <w:t xml:space="preserve"> and </w:t>
      </w:r>
      <w:r w:rsidR="00964B14">
        <w:t>Opex</w:t>
      </w:r>
      <w:r w:rsidRPr="00332164">
        <w:t xml:space="preserve"> solutions. </w:t>
      </w:r>
    </w:p>
    <w:p w:rsidR="009C04FC" w:rsidRPr="009C04FC" w:rsidRDefault="009C04FC" w:rsidP="009C04FC">
      <w:pPr>
        <w:pStyle w:val="Heading3"/>
      </w:pPr>
      <w:bookmarkStart w:id="198" w:name="_Toc522200024"/>
      <w:bookmarkStart w:id="199" w:name="_Toc522200121"/>
      <w:bookmarkStart w:id="200" w:name="_Toc522200400"/>
      <w:bookmarkStart w:id="201" w:name="_Toc523651313"/>
      <w:r w:rsidRPr="009C04FC">
        <w:t>Benchmarking</w:t>
      </w:r>
      <w:bookmarkEnd w:id="198"/>
      <w:bookmarkEnd w:id="199"/>
      <w:bookmarkEnd w:id="200"/>
      <w:bookmarkEnd w:id="201"/>
    </w:p>
    <w:p w:rsidR="009C04FC" w:rsidRPr="00332164" w:rsidRDefault="009C04FC" w:rsidP="009C04FC">
      <w:r w:rsidRPr="00332164">
        <w:t xml:space="preserve">Benchmarking has been used at both the macro and micro levels of the </w:t>
      </w:r>
      <w:r w:rsidR="00FE42E8">
        <w:t>Totex</w:t>
      </w:r>
      <w:r w:rsidRPr="00332164">
        <w:t xml:space="preserve"> plan. In macro terms, Oxera have undertaken an extensive benchmarking of our </w:t>
      </w:r>
      <w:r w:rsidR="00FE42E8">
        <w:t>Totex</w:t>
      </w:r>
      <w:r w:rsidRPr="00332164">
        <w:t xml:space="preserve"> against other water companies using historic data and a range of the published Ofwat econometric models.  This process allowed us to cross check and challenge </w:t>
      </w:r>
      <w:r w:rsidR="00FE42E8">
        <w:t>Totex</w:t>
      </w:r>
      <w:r w:rsidRPr="00332164">
        <w:t xml:space="preserve"> across the different price controls and at varying levels of granularity. This work concluded that the Company’s proposed base </w:t>
      </w:r>
      <w:r w:rsidR="00FE42E8">
        <w:t>Totex</w:t>
      </w:r>
      <w:r w:rsidRPr="00332164">
        <w:t xml:space="preserve"> was likely to benchmark in the upper quartile across a range of different models on an aggregated and disaggregated basis.</w:t>
      </w:r>
      <w:r w:rsidR="008326C2">
        <w:t xml:space="preserve">  See Appendix 9.12.</w:t>
      </w:r>
    </w:p>
    <w:p w:rsidR="009C04FC" w:rsidRPr="00332164" w:rsidRDefault="009C04FC" w:rsidP="009C04FC">
      <w:r w:rsidRPr="00332164">
        <w:t xml:space="preserve">Benchmarking has also been used in the build-up of costs for individual segments, where appropriate, the 53 individual segments of the business plan can be seen in </w:t>
      </w:r>
      <w:r w:rsidRPr="00332164">
        <w:rPr>
          <w:rFonts w:cs="Arial"/>
        </w:rPr>
        <w:t xml:space="preserve">the overall </w:t>
      </w:r>
      <w:r w:rsidR="00964B14">
        <w:rPr>
          <w:rFonts w:cs="Arial"/>
        </w:rPr>
        <w:t>Capex</w:t>
      </w:r>
      <w:r w:rsidRPr="00332164">
        <w:rPr>
          <w:rFonts w:cs="Arial"/>
        </w:rPr>
        <w:t xml:space="preserve"> plan spreadsheet </w:t>
      </w:r>
      <w:r w:rsidR="003B0E72">
        <w:rPr>
          <w:rFonts w:cs="Arial"/>
        </w:rPr>
        <w:t>Appendix 9.1.3</w:t>
      </w:r>
      <w:r w:rsidRPr="00332164">
        <w:rPr>
          <w:rFonts w:cs="Arial"/>
        </w:rPr>
        <w:t xml:space="preserve">. Each area has been robustly challenged and is considered to provide an efficient and deliverable approach providing value to </w:t>
      </w:r>
      <w:r>
        <w:rPr>
          <w:rFonts w:cs="Arial"/>
        </w:rPr>
        <w:t>our</w:t>
      </w:r>
      <w:r w:rsidRPr="00332164">
        <w:rPr>
          <w:rFonts w:cs="Arial"/>
        </w:rPr>
        <w:t xml:space="preserve"> customers. Costs have been triangulated wherever possible in each segment of the plan using multiple sources. </w:t>
      </w:r>
      <w:r w:rsidR="00F00A0D">
        <w:rPr>
          <w:rFonts w:cs="Arial"/>
        </w:rPr>
        <w:t xml:space="preserve"> </w:t>
      </w:r>
      <w:r w:rsidRPr="00332164">
        <w:rPr>
          <w:rFonts w:cs="Arial"/>
        </w:rPr>
        <w:t xml:space="preserve">There are no areas of the plan where costs have come from a single source, all areas have as a minimum been checked against at least one other source. </w:t>
      </w:r>
      <w:r w:rsidRPr="00332164">
        <w:t>This has been done using a number of methods:</w:t>
      </w:r>
    </w:p>
    <w:p w:rsidR="009C04FC" w:rsidRPr="00332164" w:rsidRDefault="009C04FC" w:rsidP="009C04FC">
      <w:pPr>
        <w:pStyle w:val="Bullets"/>
      </w:pPr>
      <w:r w:rsidRPr="00332164">
        <w:t>Using rates from long term competitively tendered collaborative partnerships with contractors</w:t>
      </w:r>
      <w:r w:rsidR="00F9476A">
        <w:t xml:space="preserve"> established in 2015</w:t>
      </w:r>
      <w:r w:rsidRPr="00332164">
        <w:t>.</w:t>
      </w:r>
    </w:p>
    <w:p w:rsidR="009C04FC" w:rsidRPr="00332164" w:rsidRDefault="009C04FC" w:rsidP="009C04FC">
      <w:pPr>
        <w:pStyle w:val="Bullets"/>
      </w:pPr>
      <w:r w:rsidRPr="00332164">
        <w:t xml:space="preserve">Triangulation of costs, using MARM modelling, bottom up cost build ups and MEAV% comparisons – see </w:t>
      </w:r>
      <w:r w:rsidR="003B0E72">
        <w:t>Appendix 9.0 WAP01 Section 7</w:t>
      </w:r>
    </w:p>
    <w:p w:rsidR="009C04FC" w:rsidRPr="00332164" w:rsidRDefault="009C04FC" w:rsidP="009C04FC">
      <w:pPr>
        <w:pStyle w:val="Bullets"/>
      </w:pPr>
      <w:r w:rsidRPr="00332164">
        <w:t>Assessments using SPONS (MEICA and Civil information)</w:t>
      </w:r>
    </w:p>
    <w:p w:rsidR="009C04FC" w:rsidRPr="00332164" w:rsidRDefault="009C04FC" w:rsidP="009C04FC">
      <w:pPr>
        <w:pStyle w:val="Bullets"/>
      </w:pPr>
      <w:r w:rsidRPr="00332164">
        <w:t>Supplier, contractor and consultant quotations</w:t>
      </w:r>
    </w:p>
    <w:p w:rsidR="009C04FC" w:rsidRPr="00332164" w:rsidRDefault="009C04FC" w:rsidP="009C04FC">
      <w:pPr>
        <w:ind w:left="1575"/>
        <w:contextualSpacing/>
      </w:pPr>
    </w:p>
    <w:p w:rsidR="009C04FC" w:rsidRPr="009C04FC" w:rsidRDefault="009C04FC" w:rsidP="009C04FC">
      <w:pPr>
        <w:rPr>
          <w:i/>
        </w:rPr>
      </w:pPr>
      <w:r w:rsidRPr="00332164">
        <w:t>This work has been collated and verified using an indep</w:t>
      </w:r>
      <w:r>
        <w:t>endent QS and audited by Atkins who made the following statement:</w:t>
      </w:r>
      <w:r w:rsidRPr="00D40467">
        <w:t xml:space="preserve"> </w:t>
      </w:r>
      <w:r w:rsidRPr="009C04FC">
        <w:rPr>
          <w:i/>
        </w:rPr>
        <w:t>‘Overall we consider that the proposed capital programme is a realistic representation of investment requirements to maintain a sustainable asset base. There is good evidence of cost challenge and deferral, and an appropriate framework of explanatory documentation and associated audit trails.’</w:t>
      </w:r>
    </w:p>
    <w:p w:rsidR="009C04FC" w:rsidRPr="00E47839" w:rsidRDefault="009C04FC" w:rsidP="009C04FC">
      <w:pPr>
        <w:pStyle w:val="Heading3"/>
      </w:pPr>
      <w:bookmarkStart w:id="202" w:name="_Toc522200025"/>
      <w:bookmarkStart w:id="203" w:name="_Toc522200122"/>
      <w:bookmarkStart w:id="204" w:name="_Toc522200401"/>
      <w:bookmarkStart w:id="205" w:name="_Toc523651314"/>
      <w:r w:rsidRPr="00E47839">
        <w:t>Use of Markets and Competitive Processes</w:t>
      </w:r>
      <w:r w:rsidRPr="00E47839">
        <w:tab/>
        <w:t xml:space="preserve"> and innovative delivery models</w:t>
      </w:r>
      <w:bookmarkEnd w:id="202"/>
      <w:bookmarkEnd w:id="203"/>
      <w:bookmarkEnd w:id="204"/>
      <w:bookmarkEnd w:id="205"/>
    </w:p>
    <w:p w:rsidR="009C04FC" w:rsidRPr="00332164" w:rsidRDefault="009C04FC" w:rsidP="009C04FC">
      <w:r w:rsidRPr="00332164">
        <w:t xml:space="preserve">Throughout AMP6 and during the preparation of the Business Plan, the Company has strived to introduce greater efficiencies and innovative approaches that have enhanced resilience and improved the service delivered to customers, whilst being cost effective and enhancing the environment. In preparation for delivering AMP6 capital schemes, the Company reviewed how it proposed to award the £64m capital programme.  An award winning, 2017 IACCM </w:t>
      </w:r>
      <w:r w:rsidRPr="00332164">
        <w:rPr>
          <w:rFonts w:cs="Arial"/>
        </w:rPr>
        <w:t>award for public sector innovation and reform</w:t>
      </w:r>
      <w:r w:rsidRPr="00332164">
        <w:t xml:space="preserve">, new contracting approach was developed which delivered a step change in efficiency for the Infrastructure and Non-Infrastructure programme of works. </w:t>
      </w:r>
    </w:p>
    <w:p w:rsidR="009C04FC" w:rsidRPr="00332164" w:rsidRDefault="009C04FC" w:rsidP="009C04FC">
      <w:r w:rsidRPr="00332164">
        <w:rPr>
          <w:rFonts w:cs="Arial"/>
        </w:rPr>
        <w:t>This strategy has taken a holistic view of how value can been delivered through strategic partnerships with contracting companies and the supply chain, supported by clear, open and fair contracts</w:t>
      </w:r>
      <w:r w:rsidR="00DD5B9D">
        <w:rPr>
          <w:rFonts w:cs="Arial"/>
        </w:rPr>
        <w:t xml:space="preserve">, </w:t>
      </w:r>
      <w:r w:rsidRPr="00332164">
        <w:rPr>
          <w:rFonts w:cs="Arial"/>
        </w:rPr>
        <w:t xml:space="preserve">which are linked to the company’s business plan commitments and </w:t>
      </w:r>
      <w:r w:rsidR="00240A2B">
        <w:rPr>
          <w:rFonts w:cs="Arial"/>
        </w:rPr>
        <w:t>ODIs</w:t>
      </w:r>
      <w:r w:rsidRPr="00332164">
        <w:rPr>
          <w:rFonts w:cs="Arial"/>
        </w:rPr>
        <w:t>, ensuring that all parties’ objectives are aligned</w:t>
      </w:r>
      <w:r w:rsidRPr="00332164">
        <w:t>. The new approach focussed on three key areas: -</w:t>
      </w:r>
    </w:p>
    <w:p w:rsidR="009C04FC" w:rsidRPr="00332164" w:rsidRDefault="009C04FC" w:rsidP="00AD245E">
      <w:pPr>
        <w:pStyle w:val="Bullets"/>
      </w:pPr>
      <w:r w:rsidRPr="00332164">
        <w:t>Infrastructure Renewals</w:t>
      </w:r>
    </w:p>
    <w:p w:rsidR="009C04FC" w:rsidRPr="00332164" w:rsidRDefault="009C04FC" w:rsidP="00AD245E">
      <w:pPr>
        <w:pStyle w:val="Bullets"/>
      </w:pPr>
      <w:r w:rsidRPr="00332164">
        <w:t>Large non-infrastructure Schemes exceeding £1.0m value</w:t>
      </w:r>
    </w:p>
    <w:p w:rsidR="009C04FC" w:rsidRDefault="009C04FC" w:rsidP="00AD245E">
      <w:pPr>
        <w:pStyle w:val="Bullets"/>
      </w:pPr>
      <w:r w:rsidRPr="00332164">
        <w:t xml:space="preserve">Small non-infrastructure schemes grouped into a framework valued </w:t>
      </w:r>
      <w:r w:rsidRPr="0086743D">
        <w:t>at £7.5m</w:t>
      </w:r>
    </w:p>
    <w:p w:rsidR="009C04FC" w:rsidRPr="00332164" w:rsidRDefault="009C04FC" w:rsidP="009C04FC">
      <w:pPr>
        <w:spacing w:after="0"/>
        <w:ind w:left="1854" w:hanging="360"/>
      </w:pPr>
    </w:p>
    <w:p w:rsidR="009C04FC" w:rsidRPr="00332164" w:rsidRDefault="009C04FC" w:rsidP="009C04FC">
      <w:pPr>
        <w:rPr>
          <w:color w:val="000000" w:themeColor="text1"/>
        </w:rPr>
      </w:pPr>
      <w:r w:rsidRPr="00332164">
        <w:rPr>
          <w:color w:val="000000" w:themeColor="text1"/>
        </w:rPr>
        <w:t>In the following paragraphs we will show how we have achieved efficiencies in A</w:t>
      </w:r>
      <w:r w:rsidR="00F9476A">
        <w:rPr>
          <w:color w:val="000000" w:themeColor="text1"/>
        </w:rPr>
        <w:t>MP</w:t>
      </w:r>
      <w:r w:rsidRPr="00332164">
        <w:rPr>
          <w:color w:val="000000" w:themeColor="text1"/>
        </w:rPr>
        <w:t xml:space="preserve">6 and how we have learnt from these activities in order to support and enhance our AMP7 performance. </w:t>
      </w:r>
    </w:p>
    <w:p w:rsidR="009C04FC" w:rsidRPr="00332164" w:rsidRDefault="009C04FC" w:rsidP="009C04FC">
      <w:pPr>
        <w:rPr>
          <w:b/>
          <w:color w:val="000000"/>
        </w:rPr>
      </w:pPr>
      <w:r w:rsidRPr="00332164">
        <w:rPr>
          <w:b/>
          <w:color w:val="000000"/>
        </w:rPr>
        <w:t>Infrastructure Renewals</w:t>
      </w:r>
    </w:p>
    <w:p w:rsidR="009C04FC" w:rsidRDefault="009C04FC" w:rsidP="009C04FC">
      <w:r w:rsidRPr="00332164">
        <w:t>A competitively tendered mains renewals contract to deliver a co-located collaborative, innovative customer focused contract, capable of delivering the Company’s outcomes was awarded in 2015.  The contract delivered a proven increase in customer satisfaction,</w:t>
      </w:r>
      <w:r>
        <w:t xml:space="preserve"> </w:t>
      </w:r>
      <w:r w:rsidRPr="00E928A5">
        <w:rPr>
          <w:rFonts w:cs="Arial"/>
        </w:rPr>
        <w:t xml:space="preserve">&gt;80% of </w:t>
      </w:r>
      <w:r>
        <w:rPr>
          <w:rFonts w:cs="Arial"/>
        </w:rPr>
        <w:t>customers affected by mains renewal work rat</w:t>
      </w:r>
      <w:r w:rsidR="005F36E7">
        <w:rPr>
          <w:rFonts w:cs="Arial"/>
        </w:rPr>
        <w:t>ing</w:t>
      </w:r>
      <w:r>
        <w:rPr>
          <w:rFonts w:cs="Arial"/>
        </w:rPr>
        <w:t xml:space="preserve"> the </w:t>
      </w:r>
      <w:r w:rsidRPr="00E928A5">
        <w:rPr>
          <w:rFonts w:cs="Arial"/>
        </w:rPr>
        <w:t>work delive</w:t>
      </w:r>
      <w:r>
        <w:rPr>
          <w:rFonts w:cs="Arial"/>
        </w:rPr>
        <w:t xml:space="preserve">red as either excellent or good, </w:t>
      </w:r>
      <w:r w:rsidRPr="00332164">
        <w:t>whilst increasing the use of ‘no dig’ technology aimed at reducing disruption to customers, local businesses and road users</w:t>
      </w:r>
      <w:r w:rsidR="00F9476A">
        <w:t xml:space="preserve">.  This has </w:t>
      </w:r>
      <w:r w:rsidRPr="00332164">
        <w:t>resulted in a total saving of £6.3</w:t>
      </w:r>
      <w:r w:rsidR="009B7E2C">
        <w:t>m</w:t>
      </w:r>
      <w:r w:rsidR="005F36E7">
        <w:t>,</w:t>
      </w:r>
      <w:r w:rsidRPr="00332164">
        <w:t xml:space="preserve"> for the AMP, a 22% saving</w:t>
      </w:r>
      <w:r w:rsidR="00F9476A">
        <w:t xml:space="preserve"> relative to the Final Determination 2014</w:t>
      </w:r>
      <w:r w:rsidRPr="00332164">
        <w:t xml:space="preserve">. </w:t>
      </w:r>
    </w:p>
    <w:p w:rsidR="009C04FC" w:rsidRPr="00332164" w:rsidRDefault="009C04FC" w:rsidP="009C04FC">
      <w:r w:rsidRPr="00332164">
        <w:t>An enhanced version of this contract is being developed to deliver the AMP7 renewals programme and the unit contractor rates used are based on the competitively tendered rates incurred in AMP6</w:t>
      </w:r>
    </w:p>
    <w:p w:rsidR="009C04FC" w:rsidRPr="00332164" w:rsidRDefault="009C04FC" w:rsidP="009C04FC">
      <w:r w:rsidRPr="00332164">
        <w:t>The innovative deterioration modelling undertaken by the Water Research Centre (WR</w:t>
      </w:r>
      <w:r w:rsidR="00F9476A">
        <w:t>c</w:t>
      </w:r>
      <w:r w:rsidRPr="00332164">
        <w:t>) and a local network modelling company considered a range of eight scenarios to maintain stable bursts, reducing leakage and water quality improvements.  The Atkins optimisation tool was utilised to select the scenario representing the best value for our customers.</w:t>
      </w:r>
    </w:p>
    <w:p w:rsidR="009C04FC" w:rsidRPr="00332164" w:rsidRDefault="009C04FC" w:rsidP="009C04FC">
      <w:pPr>
        <w:tabs>
          <w:tab w:val="left" w:pos="6105"/>
        </w:tabs>
        <w:rPr>
          <w:b/>
        </w:rPr>
      </w:pPr>
      <w:r w:rsidRPr="00332164">
        <w:rPr>
          <w:b/>
        </w:rPr>
        <w:t>Non-infrastructure schemes exceeding £1.0m</w:t>
      </w:r>
      <w:r w:rsidRPr="00332164">
        <w:rPr>
          <w:b/>
        </w:rPr>
        <w:tab/>
      </w:r>
    </w:p>
    <w:p w:rsidR="009C04FC" w:rsidRPr="00332164" w:rsidRDefault="009C04FC" w:rsidP="009C04FC">
      <w:r w:rsidRPr="00332164">
        <w:t>The Company had three large schemes to deliver in the AMP6 period: -</w:t>
      </w:r>
    </w:p>
    <w:p w:rsidR="009C04FC" w:rsidRPr="00332164" w:rsidRDefault="009C04FC" w:rsidP="009C04FC">
      <w:pPr>
        <w:spacing w:after="0"/>
        <w:ind w:left="1848" w:hanging="357"/>
      </w:pPr>
      <w:r w:rsidRPr="00332164">
        <w:t>Farlington</w:t>
      </w:r>
      <w:r w:rsidR="00240A2B">
        <w:t xml:space="preserve"> WTW</w:t>
      </w:r>
      <w:r w:rsidRPr="00332164">
        <w:t xml:space="preserve"> Membrane Replacement &amp; Wash Water Recovery</w:t>
      </w:r>
    </w:p>
    <w:p w:rsidR="009C04FC" w:rsidRPr="00332164" w:rsidRDefault="009C04FC" w:rsidP="009C04FC">
      <w:pPr>
        <w:spacing w:after="0"/>
        <w:ind w:left="1848" w:hanging="357"/>
      </w:pPr>
      <w:r w:rsidRPr="00332164">
        <w:t>Westergate WTW UV Plant</w:t>
      </w:r>
    </w:p>
    <w:p w:rsidR="009C04FC" w:rsidRPr="00332164" w:rsidRDefault="009C04FC" w:rsidP="009C04FC">
      <w:pPr>
        <w:spacing w:after="0"/>
        <w:ind w:left="1848" w:hanging="357"/>
      </w:pPr>
      <w:r w:rsidRPr="00332164">
        <w:t>Eastergate WTW UV Plant</w:t>
      </w:r>
    </w:p>
    <w:p w:rsidR="009C04FC" w:rsidRPr="00332164" w:rsidRDefault="009C04FC" w:rsidP="009C04FC">
      <w:pPr>
        <w:spacing w:after="0"/>
        <w:ind w:left="1848"/>
      </w:pPr>
    </w:p>
    <w:p w:rsidR="009C04FC" w:rsidRPr="00332164" w:rsidRDefault="009C04FC" w:rsidP="009C04FC">
      <w:r w:rsidRPr="00332164">
        <w:t>An innovative collaborative contract utilising the early involvement of the procurement chain to design and build a combined package of schemes resulted in a cost saving of £1.4m against a scheme of £11.0m, a 13% saving.</w:t>
      </w:r>
      <w:r w:rsidR="00AD245E">
        <w:t xml:space="preserve">  The contracts included Pain/Gain sharing arrangements.</w:t>
      </w:r>
      <w:r w:rsidRPr="00332164">
        <w:t xml:space="preserve">  This innovative contract arrangement was not free of problems; however, lessons learnt have been applied to the preparation of similar contracts in the remained of AMP6 and for the future approach in AMP7.</w:t>
      </w:r>
    </w:p>
    <w:p w:rsidR="009C04FC" w:rsidRPr="00332164" w:rsidRDefault="009C04FC" w:rsidP="009C04FC">
      <w:pPr>
        <w:rPr>
          <w:b/>
          <w:color w:val="000000"/>
        </w:rPr>
      </w:pPr>
      <w:r w:rsidRPr="00332164">
        <w:rPr>
          <w:b/>
          <w:color w:val="000000"/>
        </w:rPr>
        <w:t xml:space="preserve">Non Infrastructure Asset Renewal Small </w:t>
      </w:r>
      <w:r w:rsidR="00240A2B">
        <w:rPr>
          <w:b/>
          <w:color w:val="000000"/>
        </w:rPr>
        <w:t>W</w:t>
      </w:r>
      <w:r w:rsidRPr="00332164">
        <w:rPr>
          <w:b/>
          <w:color w:val="000000"/>
        </w:rPr>
        <w:t>orks</w:t>
      </w:r>
    </w:p>
    <w:p w:rsidR="009C04FC" w:rsidRPr="00332164" w:rsidRDefault="009C04FC" w:rsidP="009C04FC">
      <w:r w:rsidRPr="00332164">
        <w:t xml:space="preserve">This work consists of a large number of low value, low complexity items or maintenance activities, which in previous AMPs were delivered through multiple separate contracts. </w:t>
      </w:r>
    </w:p>
    <w:p w:rsidR="009C04FC" w:rsidRPr="00332164" w:rsidRDefault="009C04FC" w:rsidP="009C04FC">
      <w:r w:rsidRPr="00332164">
        <w:t xml:space="preserve">Following a series of meetings, and supplier days, with the procurement chain, an innovative approach was formulated where complimentary contracting skills were brought together with the desire to develop an alliance collaborative framework contract with a pain/gain relationship tying contractors to a single objective to deliver efficiencies through innovative design and construction solutions.  Whilst initially </w:t>
      </w:r>
      <w:r w:rsidR="005F36E7">
        <w:t xml:space="preserve">it was </w:t>
      </w:r>
      <w:r w:rsidRPr="00332164">
        <w:t xml:space="preserve">highly problematic bringing together a collective delivery framework, the arrangement is on programme to deliver between 5-10% efficiencies on </w:t>
      </w:r>
      <w:r w:rsidRPr="006936AA">
        <w:t>£7.5m</w:t>
      </w:r>
      <w:r w:rsidRPr="00332164">
        <w:t xml:space="preserve"> of schemes.  Significant lessons have been learnt and are included in a similar contract proposed for AMP7.</w:t>
      </w:r>
    </w:p>
    <w:p w:rsidR="009C04FC" w:rsidRPr="00332164" w:rsidRDefault="009C04FC" w:rsidP="009C04FC">
      <w:pPr>
        <w:rPr>
          <w:b/>
          <w:color w:val="000000"/>
        </w:rPr>
      </w:pPr>
      <w:r w:rsidRPr="00332164">
        <w:rPr>
          <w:b/>
          <w:color w:val="000000"/>
        </w:rPr>
        <w:t>Havant Thicket Winter Storage Reservoir</w:t>
      </w:r>
    </w:p>
    <w:p w:rsidR="009C04FC" w:rsidRPr="00332164" w:rsidRDefault="009C04FC" w:rsidP="009C04FC">
      <w:r w:rsidRPr="00332164">
        <w:t xml:space="preserve">As part of developing HTWSR the Company has been through an extensive process of assessing the most cost efficient approach including a detailed consideration of a DPC approach and a thorough assessment of risk using Atkins “easy risk” product which uses </w:t>
      </w:r>
      <w:r w:rsidR="00DD0D72">
        <w:t>M</w:t>
      </w:r>
      <w:r w:rsidRPr="00332164">
        <w:t>onte</w:t>
      </w:r>
      <w:r w:rsidR="00DD0D72">
        <w:t>-C</w:t>
      </w:r>
      <w:r w:rsidRPr="00332164">
        <w:t>arlo simulation</w:t>
      </w:r>
      <w:r w:rsidR="00AD245E">
        <w:t xml:space="preserve"> to quantify the risks associated with design and construction</w:t>
      </w:r>
      <w:r w:rsidRPr="00332164">
        <w:t>.</w:t>
      </w:r>
      <w:r w:rsidR="00AD245E">
        <w:t xml:space="preserve">  This costs included have been benchmarked against similar schemes including Cheddar 2 and Abberton Reservoirs.</w:t>
      </w:r>
      <w:r w:rsidRPr="00332164">
        <w:t xml:space="preserve">  This is set out i</w:t>
      </w:r>
      <w:r>
        <w:t>n further detail in Chapter 8.1</w:t>
      </w:r>
      <w:r w:rsidRPr="00332164">
        <w:t>.</w:t>
      </w:r>
    </w:p>
    <w:p w:rsidR="009C04FC" w:rsidRPr="009C04FC" w:rsidRDefault="009C04FC" w:rsidP="009C04FC">
      <w:pPr>
        <w:pStyle w:val="Heading3"/>
      </w:pPr>
      <w:bookmarkStart w:id="206" w:name="_Toc522200026"/>
      <w:bookmarkStart w:id="207" w:name="_Toc522200123"/>
      <w:bookmarkStart w:id="208" w:name="_Toc522200402"/>
      <w:bookmarkStart w:id="209" w:name="_Toc523651315"/>
      <w:r w:rsidRPr="009C04FC">
        <w:t>Optimisation of Approaches</w:t>
      </w:r>
      <w:bookmarkEnd w:id="206"/>
      <w:bookmarkEnd w:id="207"/>
      <w:bookmarkEnd w:id="208"/>
      <w:bookmarkEnd w:id="209"/>
      <w:r w:rsidRPr="009C04FC">
        <w:t xml:space="preserve"> </w:t>
      </w:r>
    </w:p>
    <w:p w:rsidR="001772BB" w:rsidRPr="00BB6B88" w:rsidRDefault="001772BB" w:rsidP="001772BB">
      <w:r>
        <w:t xml:space="preserve">Customer optimisation – </w:t>
      </w:r>
      <w:r w:rsidRPr="00BB6B88">
        <w:t>The Company developed, in association with Atkins, an optimisation tool (OT) for the investment programme, which has been used to evaluate proposed AMP7 capital expenditure in terms of value delivered for our customers.</w:t>
      </w:r>
    </w:p>
    <w:p w:rsidR="001772BB" w:rsidRPr="00BB6B88" w:rsidRDefault="001772BB" w:rsidP="001772BB">
      <w:r w:rsidRPr="00BB6B88">
        <w:t>The optimisation tool was utilised to evaluate the weighting of expenditure of the following areas of capital expenditure.</w:t>
      </w:r>
    </w:p>
    <w:p w:rsidR="001772BB" w:rsidRPr="00BB6B88" w:rsidRDefault="001772BB" w:rsidP="001772BB">
      <w:pPr>
        <w:tabs>
          <w:tab w:val="clear" w:pos="851"/>
          <w:tab w:val="left" w:pos="1701"/>
        </w:tabs>
        <w:spacing w:after="0"/>
        <w:ind w:left="1701"/>
      </w:pPr>
      <w:r w:rsidRPr="00BB6B88">
        <w:t>Infrastructure Assets</w:t>
      </w:r>
    </w:p>
    <w:p w:rsidR="001772BB" w:rsidRPr="00BB6B88" w:rsidRDefault="001772BB" w:rsidP="001772BB">
      <w:pPr>
        <w:tabs>
          <w:tab w:val="clear" w:pos="851"/>
          <w:tab w:val="left" w:pos="1701"/>
        </w:tabs>
        <w:spacing w:after="0"/>
        <w:ind w:left="1701"/>
      </w:pPr>
      <w:r w:rsidRPr="00BB6B88">
        <w:t>Non-infrastructure Assets</w:t>
      </w:r>
    </w:p>
    <w:p w:rsidR="001772BB" w:rsidRPr="00BB6B88" w:rsidRDefault="001772BB" w:rsidP="001772BB">
      <w:pPr>
        <w:tabs>
          <w:tab w:val="clear" w:pos="851"/>
          <w:tab w:val="left" w:pos="1701"/>
        </w:tabs>
        <w:spacing w:after="0"/>
        <w:ind w:left="1701"/>
      </w:pPr>
      <w:r w:rsidRPr="00BB6B88">
        <w:t>Water Quality Schemes</w:t>
      </w:r>
    </w:p>
    <w:p w:rsidR="001772BB" w:rsidRDefault="001772BB" w:rsidP="001772BB">
      <w:pPr>
        <w:tabs>
          <w:tab w:val="clear" w:pos="851"/>
          <w:tab w:val="left" w:pos="1701"/>
        </w:tabs>
        <w:spacing w:after="0"/>
        <w:ind w:left="1701"/>
      </w:pPr>
      <w:r w:rsidRPr="00BB6B88">
        <w:t>Resilience</w:t>
      </w:r>
    </w:p>
    <w:p w:rsidR="001772BB" w:rsidRPr="00BB6B88" w:rsidRDefault="001772BB" w:rsidP="001772BB">
      <w:pPr>
        <w:tabs>
          <w:tab w:val="clear" w:pos="851"/>
          <w:tab w:val="left" w:pos="1701"/>
        </w:tabs>
        <w:spacing w:after="0"/>
        <w:ind w:left="1701"/>
      </w:pPr>
    </w:p>
    <w:p w:rsidR="001772BB" w:rsidRPr="00BB6B88" w:rsidRDefault="001772BB" w:rsidP="001772BB">
      <w:pPr>
        <w:rPr>
          <w:rFonts w:cs="Arial"/>
        </w:rPr>
      </w:pPr>
      <w:r w:rsidRPr="00BB6B88">
        <w:rPr>
          <w:rFonts w:cs="Arial"/>
        </w:rPr>
        <w:t xml:space="preserve">We wanted to understand how investment in the companies assets could be aligned with customer priorities and feedback, gathered during </w:t>
      </w:r>
      <w:r w:rsidR="00240A2B">
        <w:rPr>
          <w:rFonts w:cs="Arial"/>
        </w:rPr>
        <w:t>engagement.</w:t>
      </w:r>
      <w:r w:rsidRPr="00BB6B88">
        <w:rPr>
          <w:rFonts w:cs="Arial"/>
        </w:rPr>
        <w:t xml:space="preserve"> The optimisation tool evaluates the impact each planned asset intervention has on the company’s 7 </w:t>
      </w:r>
      <w:r w:rsidR="009B7E2C">
        <w:rPr>
          <w:rFonts w:cs="Arial"/>
        </w:rPr>
        <w:t>O</w:t>
      </w:r>
      <w:r w:rsidRPr="00BB6B88">
        <w:rPr>
          <w:rFonts w:cs="Arial"/>
        </w:rPr>
        <w:t>utcomes, this is done by answering 28 separate questions which assess the impact each asset intervention will have. This also compares the cost and benefit of all interventions, further details on this tool are i</w:t>
      </w:r>
      <w:r w:rsidR="003B0E72">
        <w:rPr>
          <w:rFonts w:cs="Arial"/>
        </w:rPr>
        <w:t>ncluded in A</w:t>
      </w:r>
      <w:r w:rsidRPr="00BB6B88">
        <w:rPr>
          <w:rFonts w:cs="Arial"/>
        </w:rPr>
        <w:t xml:space="preserve">ppendix </w:t>
      </w:r>
      <w:r w:rsidR="003B0E72">
        <w:rPr>
          <w:rFonts w:cs="Arial"/>
        </w:rPr>
        <w:t>9.0 WAP40 Section 5.</w:t>
      </w:r>
    </w:p>
    <w:p w:rsidR="001772BB" w:rsidRPr="00BB6B88" w:rsidRDefault="001772BB" w:rsidP="001772BB">
      <w:pPr>
        <w:rPr>
          <w:rFonts w:cs="Arial"/>
        </w:rPr>
      </w:pPr>
      <w:r w:rsidRPr="00BB6B88">
        <w:rPr>
          <w:rFonts w:cs="Arial"/>
        </w:rPr>
        <w:t xml:space="preserve">Following </w:t>
      </w:r>
      <w:r w:rsidR="00240A2B">
        <w:rPr>
          <w:rFonts w:cs="Arial"/>
        </w:rPr>
        <w:t xml:space="preserve">engagement </w:t>
      </w:r>
      <w:r w:rsidRPr="00BB6B88">
        <w:rPr>
          <w:rFonts w:cs="Arial"/>
        </w:rPr>
        <w:t>with our customers</w:t>
      </w:r>
      <w:r w:rsidR="00AD245E">
        <w:rPr>
          <w:rFonts w:cs="Arial"/>
        </w:rPr>
        <w:t>,</w:t>
      </w:r>
      <w:r w:rsidRPr="00BB6B88">
        <w:rPr>
          <w:rFonts w:cs="Arial"/>
        </w:rPr>
        <w:t xml:space="preserve"> weightings were applied to </w:t>
      </w:r>
      <w:r w:rsidR="00F9476A">
        <w:rPr>
          <w:rFonts w:cs="Arial"/>
        </w:rPr>
        <w:t xml:space="preserve">5 of </w:t>
      </w:r>
      <w:r w:rsidRPr="00BB6B88">
        <w:rPr>
          <w:rFonts w:cs="Arial"/>
        </w:rPr>
        <w:t>the 7 outcomes (</w:t>
      </w:r>
      <w:r w:rsidR="00240A2B">
        <w:rPr>
          <w:rFonts w:cs="Arial"/>
        </w:rPr>
        <w:t>being recognised by the community as a good corporate citizen and recognised by stakeholders as having a culture of Health and Safety were excluded</w:t>
      </w:r>
      <w:r w:rsidRPr="00BB6B88">
        <w:rPr>
          <w:rFonts w:cs="Arial"/>
        </w:rPr>
        <w:t>):</w:t>
      </w:r>
    </w:p>
    <w:p w:rsidR="001772BB" w:rsidRPr="00BB6B88" w:rsidRDefault="001772BB" w:rsidP="001772BB">
      <w:pPr>
        <w:rPr>
          <w:rFonts w:cs="Arial"/>
        </w:rPr>
      </w:pPr>
      <w:r w:rsidRPr="00BB6B88">
        <w:rPr>
          <w:rFonts w:cs="Arial"/>
        </w:rPr>
        <w:t>These weightings have been applied to the OT assessment which has been used to select the final investment levels included in the 53 areas based on the value provided by these schemes as assessed by our customers for AMP7.</w:t>
      </w:r>
    </w:p>
    <w:p w:rsidR="001772BB" w:rsidRPr="00BB6B88" w:rsidRDefault="001772BB" w:rsidP="00F9476A">
      <w:r w:rsidRPr="00BB6B88">
        <w:t>The Atkins optimisation tool was not utilised for expenditure on the following items:-</w:t>
      </w:r>
    </w:p>
    <w:p w:rsidR="001772BB" w:rsidRPr="00BB6B88" w:rsidRDefault="001772BB" w:rsidP="00F9476A">
      <w:pPr>
        <w:pStyle w:val="Bullets"/>
      </w:pPr>
      <w:r w:rsidRPr="00BB6B88">
        <w:t>New housing developments</w:t>
      </w:r>
    </w:p>
    <w:p w:rsidR="001772BB" w:rsidRPr="00BB6B88" w:rsidRDefault="001772BB" w:rsidP="00F9476A">
      <w:pPr>
        <w:pStyle w:val="Bullets"/>
      </w:pPr>
      <w:r w:rsidRPr="00BB6B88">
        <w:t>WINEP and ecological improvements</w:t>
      </w:r>
    </w:p>
    <w:p w:rsidR="001772BB" w:rsidRPr="00BB6B88" w:rsidRDefault="001772BB" w:rsidP="00F9476A">
      <w:pPr>
        <w:pStyle w:val="Bullets"/>
      </w:pPr>
      <w:r w:rsidRPr="00BB6B88">
        <w:t>Enhancements</w:t>
      </w:r>
    </w:p>
    <w:p w:rsidR="001772BB" w:rsidRDefault="001772BB" w:rsidP="00F9476A">
      <w:pPr>
        <w:pStyle w:val="Bullets"/>
      </w:pPr>
      <w:r w:rsidRPr="00BB6B88">
        <w:t>Havant Thicket Winter Storage Reservoir</w:t>
      </w:r>
    </w:p>
    <w:p w:rsidR="001772BB" w:rsidRPr="00BB6B88" w:rsidRDefault="001772BB" w:rsidP="001772BB">
      <w:pPr>
        <w:tabs>
          <w:tab w:val="clear" w:pos="851"/>
          <w:tab w:val="left" w:pos="1701"/>
        </w:tabs>
        <w:spacing w:after="0"/>
        <w:ind w:left="1701"/>
      </w:pPr>
    </w:p>
    <w:p w:rsidR="001772BB" w:rsidRPr="00BB6B88" w:rsidRDefault="001772BB" w:rsidP="001772BB">
      <w:r w:rsidRPr="00BB6B88">
        <w:t xml:space="preserve">Expenditure in these categories was established by our need to comply with statutory obligations with solutions identified by engineering optioneering to deliver the most cost beneficial solution in terms of </w:t>
      </w:r>
      <w:r w:rsidR="00560B22">
        <w:t>Totex</w:t>
      </w:r>
      <w:r w:rsidRPr="00BB6B88">
        <w:t>.</w:t>
      </w:r>
    </w:p>
    <w:p w:rsidR="009C04FC" w:rsidRPr="003E1258" w:rsidRDefault="009C04FC" w:rsidP="0081766C">
      <w:pPr>
        <w:rPr>
          <w:rFonts w:cs="Arial"/>
          <w:b/>
        </w:rPr>
      </w:pPr>
      <w:r w:rsidRPr="003E1258">
        <w:rPr>
          <w:rFonts w:cs="Arial"/>
          <w:b/>
        </w:rPr>
        <w:t>Non</w:t>
      </w:r>
      <w:r>
        <w:rPr>
          <w:rFonts w:cs="Arial"/>
          <w:b/>
        </w:rPr>
        <w:t>-</w:t>
      </w:r>
      <w:r w:rsidRPr="003E1258">
        <w:rPr>
          <w:rFonts w:cs="Arial"/>
          <w:b/>
        </w:rPr>
        <w:t>infrastructure optimisation</w:t>
      </w:r>
    </w:p>
    <w:p w:rsidR="001772BB" w:rsidRPr="00332164" w:rsidRDefault="001772BB" w:rsidP="001772BB">
      <w:pPr>
        <w:rPr>
          <w:rFonts w:eastAsia="Times"/>
        </w:rPr>
      </w:pPr>
      <w:r w:rsidRPr="00332164">
        <w:t>Non Infrastructure expenditure includes a top-down</w:t>
      </w:r>
      <w:r w:rsidR="00F9476A">
        <w:t xml:space="preserve"> and</w:t>
      </w:r>
      <w:r w:rsidRPr="00332164">
        <w:t xml:space="preserve"> bottom-up approach, similar to that used in AMP6. The top down approach utilises Mouchel’s Asset Renewal Model (MARM), which is a forward looking method for determining the </w:t>
      </w:r>
      <w:r w:rsidR="00964B14">
        <w:t>Capex</w:t>
      </w:r>
      <w:r w:rsidRPr="00332164">
        <w:t>/</w:t>
      </w:r>
      <w:r w:rsidR="00964B14">
        <w:t>Opex</w:t>
      </w:r>
      <w:r w:rsidRPr="00332164">
        <w:t xml:space="preserve"> balance together with the level of total investment required to maintain assets in the next AMP and beyond.</w:t>
      </w:r>
    </w:p>
    <w:p w:rsidR="001772BB" w:rsidRPr="00332164" w:rsidRDefault="001772BB" w:rsidP="001772BB">
      <w:pPr>
        <w:rPr>
          <w:rFonts w:eastAsia="Times"/>
        </w:rPr>
      </w:pPr>
      <w:r w:rsidRPr="00332164">
        <w:rPr>
          <w:rFonts w:eastAsia="Times"/>
        </w:rPr>
        <w:t>MARM has been used to model 10 scenarios of differing risk appetite and asset deferral (sweat</w:t>
      </w:r>
      <w:r>
        <w:rPr>
          <w:rFonts w:eastAsia="Times"/>
        </w:rPr>
        <w:t>, i.e. the amount an asset is used beyond its recommended de</w:t>
      </w:r>
      <w:r w:rsidR="00240A2B">
        <w:rPr>
          <w:rFonts w:eastAsia="Times"/>
        </w:rPr>
        <w:t>s</w:t>
      </w:r>
      <w:r>
        <w:rPr>
          <w:rFonts w:eastAsia="Times"/>
        </w:rPr>
        <w:t>ign life</w:t>
      </w:r>
      <w:r w:rsidRPr="00332164">
        <w:rPr>
          <w:rFonts w:eastAsia="Times"/>
        </w:rPr>
        <w:t>), simulated over a 18 year period from 2017 to 2034 (AMP6 to AMP9). The MARM output also provides a benchmark for levels of capital maintenance, by predicting the number of asset failures, along with the likely impact on operational reliability.</w:t>
      </w:r>
    </w:p>
    <w:p w:rsidR="001772BB" w:rsidRPr="006936AA" w:rsidRDefault="001772BB" w:rsidP="001772BB">
      <w:pPr>
        <w:rPr>
          <w:rFonts w:cs="Arial"/>
        </w:rPr>
      </w:pPr>
      <w:r w:rsidRPr="00332164">
        <w:rPr>
          <w:rFonts w:eastAsia="Times"/>
        </w:rPr>
        <w:t>The optimisation tool has been used to select the MARM scenario</w:t>
      </w:r>
      <w:r w:rsidR="00DD5B9D">
        <w:rPr>
          <w:rFonts w:eastAsia="Times"/>
        </w:rPr>
        <w:t>,</w:t>
      </w:r>
      <w:r w:rsidRPr="00332164">
        <w:rPr>
          <w:rFonts w:eastAsia="Times"/>
        </w:rPr>
        <w:t xml:space="preserve"> which best represents </w:t>
      </w:r>
      <w:r w:rsidRPr="006936AA">
        <w:rPr>
          <w:rFonts w:eastAsia="Times" w:cs="Arial"/>
        </w:rPr>
        <w:t>the requirements best value for our customers.</w:t>
      </w:r>
      <w:r w:rsidRPr="006936AA">
        <w:rPr>
          <w:rFonts w:cs="Arial"/>
          <w:highlight w:val="yellow"/>
        </w:rPr>
        <w:t xml:space="preserve">  </w:t>
      </w:r>
    </w:p>
    <w:p w:rsidR="001772BB" w:rsidRPr="006936AA" w:rsidRDefault="001772BB" w:rsidP="001772BB">
      <w:pPr>
        <w:rPr>
          <w:rFonts w:cs="Arial"/>
        </w:rPr>
      </w:pPr>
      <w:r w:rsidRPr="006936AA">
        <w:rPr>
          <w:rFonts w:cs="Arial"/>
        </w:rPr>
        <w:t xml:space="preserve">The bottom up approach then matched the expenditure proposed by the </w:t>
      </w:r>
      <w:r>
        <w:rPr>
          <w:rFonts w:cs="Arial"/>
        </w:rPr>
        <w:t xml:space="preserve">selected </w:t>
      </w:r>
      <w:r w:rsidRPr="006936AA">
        <w:rPr>
          <w:rFonts w:cs="Arial"/>
        </w:rPr>
        <w:t>MARM scenario with actual evidence of asset conditions. Information gained from the Company’s 25</w:t>
      </w:r>
      <w:r w:rsidR="00F9476A">
        <w:rPr>
          <w:rFonts w:cs="Arial"/>
        </w:rPr>
        <w:t xml:space="preserve"> </w:t>
      </w:r>
      <w:r w:rsidRPr="006936AA">
        <w:rPr>
          <w:rFonts w:cs="Arial"/>
        </w:rPr>
        <w:t>y</w:t>
      </w:r>
      <w:r w:rsidR="00F9476A">
        <w:rPr>
          <w:rFonts w:cs="Arial"/>
        </w:rPr>
        <w:t>ear</w:t>
      </w:r>
      <w:r w:rsidRPr="006936AA">
        <w:rPr>
          <w:rFonts w:cs="Arial"/>
        </w:rPr>
        <w:t xml:space="preserve"> rolling programme combined with comprehensive survey information received from operatives, technicians and engineers on the condition of assets at all sites both now and their anticipated condition at the end of AMP7.</w:t>
      </w:r>
    </w:p>
    <w:p w:rsidR="001772BB" w:rsidRDefault="001772BB" w:rsidP="001772BB">
      <w:pPr>
        <w:rPr>
          <w:color w:val="4472C4"/>
          <w:highlight w:val="yellow"/>
        </w:rPr>
      </w:pPr>
      <w:r w:rsidRPr="006936AA">
        <w:rPr>
          <w:rFonts w:cs="Arial"/>
        </w:rPr>
        <w:t xml:space="preserve">Using both </w:t>
      </w:r>
      <w:r w:rsidR="00F9476A">
        <w:rPr>
          <w:rFonts w:cs="Arial"/>
        </w:rPr>
        <w:t xml:space="preserve">approaches </w:t>
      </w:r>
      <w:r w:rsidRPr="006936AA">
        <w:rPr>
          <w:rFonts w:cs="Arial"/>
        </w:rPr>
        <w:t xml:space="preserve">to inform the Company rather than dictate the requirements means an objective decision can be reached on the level of expenditure, the risk being taken and the expected level of outage </w:t>
      </w:r>
      <w:r w:rsidR="005F36E7">
        <w:rPr>
          <w:rFonts w:cs="Arial"/>
        </w:rPr>
        <w:t>in the future</w:t>
      </w:r>
      <w:r w:rsidRPr="006936AA">
        <w:rPr>
          <w:rFonts w:cs="Arial"/>
        </w:rPr>
        <w:t xml:space="preserve">.  </w:t>
      </w:r>
    </w:p>
    <w:p w:rsidR="009C04FC" w:rsidRPr="0081766C" w:rsidRDefault="009C04FC" w:rsidP="0081766C">
      <w:pPr>
        <w:rPr>
          <w:b/>
        </w:rPr>
      </w:pPr>
      <w:r w:rsidRPr="0081766C">
        <w:rPr>
          <w:b/>
        </w:rPr>
        <w:t>Infrastructure optimisation</w:t>
      </w:r>
    </w:p>
    <w:p w:rsidR="001772BB" w:rsidRPr="00332164" w:rsidRDefault="001772BB" w:rsidP="001772BB">
      <w:r>
        <w:t>We have</w:t>
      </w:r>
      <w:r w:rsidRPr="00332164">
        <w:t xml:space="preserve"> worked closely with WRc and Hydro</w:t>
      </w:r>
      <w:r w:rsidR="00F9476A">
        <w:t>C</w:t>
      </w:r>
      <w:r w:rsidRPr="00332164">
        <w:t>o to develop an enhanced version of the AMP6 risk based approach used to model mains renewals for AMP7. The primary driver is still maintaining stable bursts but leakage, water quality, customer service, criticality of mains and overall network performance are also now considered.</w:t>
      </w:r>
    </w:p>
    <w:p w:rsidR="001772BB" w:rsidRDefault="001772BB" w:rsidP="001772BB">
      <w:r w:rsidRPr="00ED4896">
        <w:t>8 scenarios have been developed which include different drive</w:t>
      </w:r>
      <w:r w:rsidR="00F9476A">
        <w:t>r</w:t>
      </w:r>
      <w:r w:rsidRPr="00ED4896">
        <w:t>s, these include stable bursts, reducing leakage, removing PVC mains and reducing PAH risk. The optimisation tool has been used to select the scenario</w:t>
      </w:r>
      <w:r w:rsidR="00DD5B9D">
        <w:t>,</w:t>
      </w:r>
      <w:r w:rsidRPr="00ED4896">
        <w:t xml:space="preserve"> which represent the best value for our customers.</w:t>
      </w:r>
    </w:p>
    <w:p w:rsidR="009C04FC" w:rsidRPr="0081766C" w:rsidRDefault="009C04FC" w:rsidP="0081766C">
      <w:pPr>
        <w:rPr>
          <w:rFonts w:cs="Arial"/>
          <w:b/>
          <w:bCs/>
        </w:rPr>
      </w:pPr>
      <w:r w:rsidRPr="0081766C">
        <w:rPr>
          <w:rFonts w:cs="Arial"/>
          <w:b/>
          <w:bCs/>
        </w:rPr>
        <w:t xml:space="preserve">Water </w:t>
      </w:r>
      <w:r w:rsidR="00AD245E">
        <w:rPr>
          <w:rFonts w:cs="Arial"/>
          <w:b/>
          <w:bCs/>
        </w:rPr>
        <w:t>Q</w:t>
      </w:r>
      <w:r w:rsidRPr="0081766C">
        <w:rPr>
          <w:rFonts w:cs="Arial"/>
          <w:b/>
          <w:bCs/>
        </w:rPr>
        <w:t xml:space="preserve">uality </w:t>
      </w:r>
      <w:r w:rsidR="00AD245E">
        <w:rPr>
          <w:rFonts w:cs="Arial"/>
          <w:b/>
          <w:bCs/>
        </w:rPr>
        <w:t>s</w:t>
      </w:r>
      <w:r w:rsidRPr="0081766C">
        <w:rPr>
          <w:rFonts w:cs="Arial"/>
          <w:b/>
          <w:bCs/>
        </w:rPr>
        <w:t>chemes</w:t>
      </w:r>
    </w:p>
    <w:p w:rsidR="001772BB" w:rsidRDefault="001772BB" w:rsidP="001772BB">
      <w:r>
        <w:t>We have</w:t>
      </w:r>
      <w:r w:rsidRPr="00332164">
        <w:t xml:space="preserve"> worked with Atkins to develop various options for the 5 water quality schemes </w:t>
      </w:r>
      <w:r w:rsidRPr="005532C2">
        <w:t xml:space="preserve">which have been included in AMP7, due to deteriorating water quality. The options have been evaluated using the optimisation tool and CBA (the CBA appraised the </w:t>
      </w:r>
      <w:r w:rsidR="00964B14">
        <w:t>Opex</w:t>
      </w:r>
      <w:r w:rsidRPr="005532C2">
        <w:t xml:space="preserve"> and </w:t>
      </w:r>
      <w:r w:rsidR="00964B14">
        <w:t>Capex</w:t>
      </w:r>
      <w:r w:rsidRPr="005532C2">
        <w:t xml:space="preserve"> costs over the lifetime of the assets, and selected the most cost effective solutions)</w:t>
      </w:r>
      <w:r w:rsidRPr="00332164">
        <w:t xml:space="preserve"> and the best value options for our customers have been included in the </w:t>
      </w:r>
      <w:r w:rsidR="005F36E7">
        <w:t>B</w:t>
      </w:r>
      <w:r w:rsidRPr="00332164">
        <w:t xml:space="preserve">usiness </w:t>
      </w:r>
      <w:r w:rsidR="005F36E7">
        <w:t>P</w:t>
      </w:r>
      <w:r w:rsidRPr="00332164">
        <w:t>lan</w:t>
      </w:r>
      <w:r w:rsidR="00AD245E">
        <w:t xml:space="preserve">.  The proposals in the Business Plan </w:t>
      </w:r>
      <w:r w:rsidRPr="00332164">
        <w:t>have</w:t>
      </w:r>
      <w:r>
        <w:t xml:space="preserve"> been supported by the DWI, which are included in </w:t>
      </w:r>
      <w:r w:rsidR="003B0E72">
        <w:t>A</w:t>
      </w:r>
      <w:r>
        <w:t xml:space="preserve">ppendix </w:t>
      </w:r>
      <w:r w:rsidR="003B0E72">
        <w:t>9.10 (9.10.1 to 9.10.10)</w:t>
      </w:r>
      <w:r w:rsidRPr="003B0E72">
        <w:t>.</w:t>
      </w:r>
    </w:p>
    <w:p w:rsidR="001772BB" w:rsidRPr="001772BB" w:rsidRDefault="001772BB" w:rsidP="001772BB">
      <w:pPr>
        <w:rPr>
          <w:b/>
        </w:rPr>
      </w:pPr>
      <w:bookmarkStart w:id="210" w:name="_Toc522200027"/>
      <w:bookmarkStart w:id="211" w:name="_Toc522200124"/>
      <w:bookmarkStart w:id="212" w:name="_Toc522200403"/>
      <w:r w:rsidRPr="001772BB">
        <w:rPr>
          <w:b/>
        </w:rPr>
        <w:t>Resilience schemes</w:t>
      </w:r>
    </w:p>
    <w:p w:rsidR="001772BB" w:rsidRPr="00332164" w:rsidRDefault="001772BB" w:rsidP="001772BB">
      <w:pPr>
        <w:rPr>
          <w:rFonts w:eastAsia="Times"/>
        </w:rPr>
      </w:pPr>
      <w:r>
        <w:t>W</w:t>
      </w:r>
      <w:r w:rsidRPr="00332164">
        <w:t>orking closely with Serv</w:t>
      </w:r>
      <w:r w:rsidR="009B7E2C">
        <w:t>e</w:t>
      </w:r>
      <w:r w:rsidRPr="00332164">
        <w:t>lec,</w:t>
      </w:r>
      <w:r>
        <w:t xml:space="preserve"> we</w:t>
      </w:r>
      <w:r w:rsidRPr="00332164">
        <w:t xml:space="preserve"> have conducted extensive modelling and evaluation of the companies supply and distribution systems in terms of both its long and short term resilience to outages. 7 schemes have been highlighted for inclusion for AMP7, t</w:t>
      </w:r>
      <w:r w:rsidRPr="00332164">
        <w:rPr>
          <w:rFonts w:eastAsia="Times"/>
        </w:rPr>
        <w:t>he schemes were evaluated using the optimisation tool and CBA</w:t>
      </w:r>
      <w:r>
        <w:rPr>
          <w:rFonts w:eastAsia="Times"/>
        </w:rPr>
        <w:t xml:space="preserve"> </w:t>
      </w:r>
      <w:r w:rsidRPr="005532C2">
        <w:t xml:space="preserve">(the CBA appraised the </w:t>
      </w:r>
      <w:r w:rsidR="00964B14">
        <w:t>Opex</w:t>
      </w:r>
      <w:r w:rsidRPr="005532C2">
        <w:t xml:space="preserve"> and </w:t>
      </w:r>
      <w:r w:rsidR="00964B14">
        <w:t>Capex</w:t>
      </w:r>
      <w:r w:rsidRPr="005532C2">
        <w:t xml:space="preserve"> costs over the lifetime of the assets, and selected the most cost effective solutions)</w:t>
      </w:r>
      <w:r w:rsidRPr="00332164">
        <w:rPr>
          <w:rFonts w:eastAsia="Times"/>
        </w:rPr>
        <w:t>. This resulted in the selection of 4 schemes for inclusion in the business plan.</w:t>
      </w:r>
    </w:p>
    <w:p w:rsidR="001772BB" w:rsidRPr="001772BB" w:rsidRDefault="001772BB" w:rsidP="001772BB">
      <w:pPr>
        <w:rPr>
          <w:b/>
        </w:rPr>
      </w:pPr>
      <w:r w:rsidRPr="001772BB">
        <w:rPr>
          <w:b/>
        </w:rPr>
        <w:t xml:space="preserve">Catchment </w:t>
      </w:r>
      <w:r w:rsidR="00240A2B">
        <w:rPr>
          <w:b/>
        </w:rPr>
        <w:t>M</w:t>
      </w:r>
      <w:r w:rsidRPr="001772BB">
        <w:rPr>
          <w:b/>
        </w:rPr>
        <w:t>anagement</w:t>
      </w:r>
      <w:r w:rsidR="00AD245E">
        <w:rPr>
          <w:b/>
        </w:rPr>
        <w:t xml:space="preserve"> (Operating Cost Solution)</w:t>
      </w:r>
    </w:p>
    <w:p w:rsidR="001772BB" w:rsidRPr="0063589E" w:rsidRDefault="001772BB" w:rsidP="001772BB">
      <w:r w:rsidRPr="0063589E">
        <w:t xml:space="preserve">A cost benefit assessment of the various options was undertaken which showed that the proposed </w:t>
      </w:r>
      <w:r w:rsidR="00964B14">
        <w:t>Opex</w:t>
      </w:r>
      <w:r w:rsidRPr="0063589E">
        <w:t xml:space="preserve"> approach, included in the </w:t>
      </w:r>
      <w:r w:rsidR="00240A2B">
        <w:t>B</w:t>
      </w:r>
      <w:r w:rsidRPr="0063589E">
        <w:t xml:space="preserve">usiness </w:t>
      </w:r>
      <w:r w:rsidR="00240A2B">
        <w:t>P</w:t>
      </w:r>
      <w:r w:rsidRPr="0063589E">
        <w:t>lan, is more efficient than an end of pipe solution. This solution also enhances biodiversity and is therefore aligned to customer preferences to enhance the environment and ecosystems.</w:t>
      </w:r>
    </w:p>
    <w:p w:rsidR="001772BB" w:rsidRPr="0063589E" w:rsidRDefault="001772BB" w:rsidP="001772BB">
      <w:r w:rsidRPr="0063589E">
        <w:t xml:space="preserve">Appendix </w:t>
      </w:r>
      <w:r w:rsidR="003B0E72">
        <w:t>9.0 WAP</w:t>
      </w:r>
      <w:r w:rsidR="006A22EF">
        <w:t>A</w:t>
      </w:r>
      <w:r w:rsidR="003B0E72">
        <w:t>0</w:t>
      </w:r>
      <w:r w:rsidRPr="0063589E">
        <w:t xml:space="preserve"> includes further details on how the individual areas of expenditure have been created and optimised</w:t>
      </w:r>
      <w:r w:rsidR="003B0E72">
        <w:t>.  There is significantly more information available on how the wholesale asset plan has been developed, as shown in the document structure, Appendix 9.1.2 and</w:t>
      </w:r>
      <w:r w:rsidR="006A22EF">
        <w:t xml:space="preserve"> documentation</w:t>
      </w:r>
      <w:r w:rsidR="003B0E72">
        <w:t xml:space="preserve"> provided separately.</w:t>
      </w:r>
    </w:p>
    <w:p w:rsidR="009C04FC" w:rsidRPr="0081766C" w:rsidRDefault="009C04FC" w:rsidP="0081766C">
      <w:pPr>
        <w:pStyle w:val="Heading3"/>
      </w:pPr>
      <w:bookmarkStart w:id="213" w:name="_Toc523651316"/>
      <w:r w:rsidRPr="0081766C">
        <w:t>Efficient use of Technology</w:t>
      </w:r>
      <w:bookmarkEnd w:id="210"/>
      <w:bookmarkEnd w:id="211"/>
      <w:bookmarkEnd w:id="212"/>
      <w:bookmarkEnd w:id="213"/>
    </w:p>
    <w:p w:rsidR="001772BB" w:rsidRPr="00332164" w:rsidRDefault="001772BB" w:rsidP="001772BB">
      <w:bookmarkStart w:id="214" w:name="_Toc522200028"/>
      <w:bookmarkStart w:id="215" w:name="_Toc522200125"/>
      <w:bookmarkStart w:id="216" w:name="_Toc522200404"/>
      <w:r w:rsidRPr="00332164">
        <w:t>We have a principle of using technology effectively to better understand, operate and develop the Company’s activities to deliver a cost effective, resilient and efficient service to customers.</w:t>
      </w:r>
    </w:p>
    <w:p w:rsidR="00ED732A" w:rsidRDefault="001772BB" w:rsidP="001772BB">
      <w:r w:rsidRPr="00332164">
        <w:t>Summarised below are some examples of technology used to drive efficiency in our business activities;</w:t>
      </w:r>
    </w:p>
    <w:p w:rsidR="00ED732A" w:rsidRDefault="00ED732A">
      <w:pPr>
        <w:tabs>
          <w:tab w:val="clear" w:pos="851"/>
        </w:tabs>
        <w:spacing w:after="0"/>
        <w:ind w:left="0"/>
        <w:jc w:val="left"/>
      </w:pPr>
      <w:r>
        <w:br w:type="page"/>
      </w:r>
    </w:p>
    <w:p w:rsidR="001772BB" w:rsidRPr="00332164" w:rsidRDefault="001772BB" w:rsidP="001772BB">
      <w:pPr>
        <w:rPr>
          <w:b/>
        </w:rPr>
      </w:pPr>
      <w:r w:rsidRPr="00332164">
        <w:rPr>
          <w:b/>
        </w:rPr>
        <w:t>Enhanced data</w:t>
      </w:r>
    </w:p>
    <w:p w:rsidR="001772BB" w:rsidRPr="00332164" w:rsidRDefault="001772BB" w:rsidP="001772BB">
      <w:r w:rsidRPr="00332164">
        <w:t>Ove</w:t>
      </w:r>
      <w:r w:rsidR="00F9476A">
        <w:t>r</w:t>
      </w:r>
      <w:r w:rsidRPr="00332164">
        <w:t xml:space="preserve"> the past 3 years we have developed and implemented a comprehensive business wide works and asset management system.  This allows for the collection, interrogation and examination of considerable amounts of data on all aspects of business performance.  This has allowed us to implement improvements in how the company maintains and operates its assets. The data provided has been widely used within the </w:t>
      </w:r>
      <w:r w:rsidR="005F36E7">
        <w:t>B</w:t>
      </w:r>
      <w:r w:rsidRPr="00332164">
        <w:t xml:space="preserve">usiness </w:t>
      </w:r>
      <w:r w:rsidR="005F36E7">
        <w:t>P</w:t>
      </w:r>
      <w:r w:rsidRPr="00332164">
        <w:t xml:space="preserve">lan for AMP7 </w:t>
      </w:r>
      <w:r>
        <w:t>and in particular enhanced asset condition and performance data has been utilised to predict non infrastructure asset performance under various investment levels. T</w:t>
      </w:r>
      <w:r w:rsidRPr="00332164">
        <w:t>his system will be continually developed and improved to ensure the company is making decisions using the best available data.</w:t>
      </w:r>
    </w:p>
    <w:p w:rsidR="001772BB" w:rsidRPr="00332164" w:rsidRDefault="001772BB" w:rsidP="001772BB">
      <w:pPr>
        <w:rPr>
          <w:b/>
        </w:rPr>
      </w:pPr>
      <w:r w:rsidRPr="00332164">
        <w:rPr>
          <w:b/>
        </w:rPr>
        <w:t>Artificial intelligence &amp; neural networks</w:t>
      </w:r>
    </w:p>
    <w:p w:rsidR="001772BB" w:rsidRPr="00332164" w:rsidRDefault="001772BB" w:rsidP="001772BB">
      <w:r w:rsidRPr="00332164">
        <w:t>Since 2016, we have been using Flow</w:t>
      </w:r>
      <w:r w:rsidR="00B21B84">
        <w:t>S</w:t>
      </w:r>
      <w:r w:rsidRPr="00332164">
        <w:t xml:space="preserve">ure, an innovative software product that detects anomalies in data to predict and avoid leakage in our water network. This is powered by Servelec Technologies’ artificial neural network technology Datective. </w:t>
      </w:r>
    </w:p>
    <w:p w:rsidR="001772BB" w:rsidRPr="00332164" w:rsidRDefault="001772BB" w:rsidP="001772BB">
      <w:r w:rsidRPr="00332164">
        <w:t>The FlowSure software was initially developed by Servelec Technologies in collaboration with the University of Sheffield and following a six-month successful competitive trial has been implemented by us. It is currently used alongside traditional leakage software to handle the large quantities of data obtained from flow and pressure sensors</w:t>
      </w:r>
      <w:r w:rsidR="00F9476A">
        <w:t xml:space="preserve"> in our network</w:t>
      </w:r>
      <w:r w:rsidRPr="00332164">
        <w:t>. Through Flow</w:t>
      </w:r>
      <w:r w:rsidR="00B21B84">
        <w:t>S</w:t>
      </w:r>
      <w:r w:rsidRPr="00332164">
        <w:t>ure we have achieved earlier awareness of bursts, thus reducing leakage and interruptions to customers. We are continuing to develop Flow</w:t>
      </w:r>
      <w:r w:rsidR="00B21B84">
        <w:t>S</w:t>
      </w:r>
      <w:r w:rsidRPr="00332164">
        <w:t xml:space="preserve">ure’s effectiveness by increasing the number of flow and pressure sensors on our network to allow more bursts to be detected. </w:t>
      </w:r>
    </w:p>
    <w:p w:rsidR="001772BB" w:rsidRPr="00332164" w:rsidRDefault="001772BB" w:rsidP="001772BB">
      <w:r>
        <w:t xml:space="preserve">Periods of leak detection in AMP6 have been challenging due to extreme weather conditions, flooding, </w:t>
      </w:r>
      <w:r w:rsidR="00F9476A">
        <w:t xml:space="preserve">the </w:t>
      </w:r>
      <w:r>
        <w:t>freeze thaw and drought of 2018. Our Flow</w:t>
      </w:r>
      <w:r w:rsidR="00240A2B">
        <w:t>S</w:t>
      </w:r>
      <w:r>
        <w:t xml:space="preserve">ure software has assisted in the detection and future development of neural technology will be essential to hit our challenging 15% leakage reduction. We therefore propose to develop real time network monitoring using neural technology to predict and </w:t>
      </w:r>
      <w:r w:rsidR="00240A2B">
        <w:t xml:space="preserve">identify </w:t>
      </w:r>
      <w:r>
        <w:t xml:space="preserve">leakage together with delivering pumping efficiencies reducing cost and carbon impacts. Through </w:t>
      </w:r>
      <w:r w:rsidRPr="00332164">
        <w:t xml:space="preserve">integrating data from pressure management valves, pumps and hydraulic models with flow and pressure data, it is envisaged that advanced analytics and machine learning techniques will be used to help make better operational decisions. This will help to extend asset life, reduce future capital investment, improve water quality, reduce water loss and reduce energy consumption. </w:t>
      </w:r>
    </w:p>
    <w:p w:rsidR="001772BB" w:rsidRPr="00332164" w:rsidRDefault="001772BB" w:rsidP="001772BB">
      <w:pPr>
        <w:rPr>
          <w:b/>
        </w:rPr>
      </w:pPr>
      <w:r w:rsidRPr="00332164">
        <w:rPr>
          <w:b/>
        </w:rPr>
        <w:t>Leakage</w:t>
      </w:r>
    </w:p>
    <w:p w:rsidR="001772BB" w:rsidRPr="00332164" w:rsidRDefault="001772BB" w:rsidP="001772BB">
      <w:r w:rsidRPr="00332164">
        <w:t xml:space="preserve">As set out further in the “Innovation” </w:t>
      </w:r>
      <w:r w:rsidR="00BD13AB">
        <w:t xml:space="preserve">Chapter 7 </w:t>
      </w:r>
      <w:r w:rsidRPr="00332164">
        <w:t>we are developing a highly innovative and technologically advanced way of targeting leakage through a network of noise loggers coupled with low cost “Internet of Things” data network technology.  This will drive significant efficiency in terms of both the cost of operating the network and reduction in detection time and cost for leakage.  The planning and design of this system has already commenced and it will be in place early in AMP7 to ensure that the benefits are fully realised in the period.</w:t>
      </w:r>
    </w:p>
    <w:p w:rsidR="001772BB" w:rsidRPr="00332164" w:rsidRDefault="00240A2B" w:rsidP="001772BB">
      <w:pPr>
        <w:rPr>
          <w:b/>
        </w:rPr>
      </w:pPr>
      <w:r>
        <w:rPr>
          <w:b/>
        </w:rPr>
        <w:t xml:space="preserve">SMART </w:t>
      </w:r>
      <w:r w:rsidR="001772BB" w:rsidRPr="00332164">
        <w:rPr>
          <w:b/>
        </w:rPr>
        <w:t>Meters</w:t>
      </w:r>
    </w:p>
    <w:p w:rsidR="001772BB" w:rsidRPr="00332164" w:rsidRDefault="001772BB" w:rsidP="001772BB">
      <w:r>
        <w:t>We</w:t>
      </w:r>
      <w:r w:rsidRPr="00332164">
        <w:t xml:space="preserve"> are working closely with meter manufacturers </w:t>
      </w:r>
      <w:r w:rsidR="005F36E7">
        <w:t xml:space="preserve">to </w:t>
      </w:r>
      <w:r w:rsidRPr="00332164">
        <w:t>sourc</w:t>
      </w:r>
      <w:r w:rsidR="005F36E7">
        <w:t>e</w:t>
      </w:r>
      <w:r w:rsidRPr="00332164">
        <w:t xml:space="preserve"> an advanced </w:t>
      </w:r>
      <w:r w:rsidR="005F36E7">
        <w:t xml:space="preserve">SMART </w:t>
      </w:r>
      <w:r w:rsidRPr="00332164">
        <w:t xml:space="preserve">meter to be installed as a trial in AMP7.  Whilst this trail is currently aimed at increasing meter optants, if successful it will be rolled out more widely supporting our long-term vision of establishing a fully connected network. The use of </w:t>
      </w:r>
      <w:r w:rsidR="005F36E7">
        <w:t xml:space="preserve">SMART </w:t>
      </w:r>
      <w:r w:rsidRPr="00332164">
        <w:t>meters will also enable our customers to view usage data in real time, and specifically address their biggest concern re opting for a meter, that they will incur high charges for water lost through an unknown leak on their supply pipe.</w:t>
      </w:r>
    </w:p>
    <w:p w:rsidR="009C04FC" w:rsidRPr="0081766C" w:rsidRDefault="009C04FC" w:rsidP="0081766C">
      <w:pPr>
        <w:pStyle w:val="Heading3"/>
      </w:pPr>
      <w:bookmarkStart w:id="217" w:name="_Toc523651317"/>
      <w:r w:rsidRPr="0081766C">
        <w:t>Targeted Efficiency Savings</w:t>
      </w:r>
      <w:bookmarkEnd w:id="214"/>
      <w:bookmarkEnd w:id="215"/>
      <w:bookmarkEnd w:id="216"/>
      <w:bookmarkEnd w:id="217"/>
    </w:p>
    <w:p w:rsidR="001772BB" w:rsidRDefault="001772BB" w:rsidP="001772BB">
      <w:r w:rsidRPr="00332164">
        <w:t xml:space="preserve">In addition to ensuring efficient costs on a scheme by scheme basis, the company has also included </w:t>
      </w:r>
      <w:r w:rsidR="00DD5B9D">
        <w:t>0.5</w:t>
      </w:r>
      <w:r w:rsidRPr="00DD5B9D">
        <w:t>%</w:t>
      </w:r>
      <w:r w:rsidRPr="00332164">
        <w:t xml:space="preserve"> targeted levels of cumulative efficiency which will drive further business efficiency over the period of the AMP.</w:t>
      </w:r>
    </w:p>
    <w:p w:rsidR="00AD245E" w:rsidRPr="00332164" w:rsidRDefault="00AD245E" w:rsidP="001772BB">
      <w:r>
        <w:t>We will continue with our collaborative approach to capital schemes, and our major non-infrastructure contact will include Pain/Gain sharing arrangements.</w:t>
      </w:r>
    </w:p>
    <w:p w:rsidR="001772BB" w:rsidRPr="00332164" w:rsidRDefault="001772BB" w:rsidP="001772BB">
      <w:r>
        <w:t>We</w:t>
      </w:r>
      <w:r w:rsidRPr="00332164">
        <w:t xml:space="preserve"> will look to achieve efficiencies in both </w:t>
      </w:r>
      <w:r w:rsidR="00964B14">
        <w:t>Opex</w:t>
      </w:r>
      <w:r>
        <w:t xml:space="preserve"> and </w:t>
      </w:r>
      <w:r w:rsidR="00964B14">
        <w:t>Capex</w:t>
      </w:r>
      <w:r w:rsidRPr="00332164">
        <w:t>, by working more efficiently through the adoption of technology to assist the day to day running of the business</w:t>
      </w:r>
      <w:r w:rsidR="00AD245E">
        <w:t xml:space="preserve">.  For capital expenditure, we will use </w:t>
      </w:r>
      <w:r w:rsidRPr="00332164">
        <w:t>the most cost effective way of managing and delivering projects, particularly in combining schemes together for delivery if it is shown to be more efficient.</w:t>
      </w:r>
      <w:r>
        <w:t xml:space="preserve"> </w:t>
      </w:r>
      <w:r w:rsidR="00AD245E">
        <w:t xml:space="preserve"> </w:t>
      </w:r>
      <w:r>
        <w:t xml:space="preserve">Examples of this approach which are currently being examined are the </w:t>
      </w:r>
      <w:r w:rsidR="00B21B84">
        <w:t>Supply and Production Optimisation Project (</w:t>
      </w:r>
      <w:r>
        <w:t>SPORT</w:t>
      </w:r>
      <w:r w:rsidR="00B21B84">
        <w:t>)</w:t>
      </w:r>
      <w:r>
        <w:t xml:space="preserve">, which will automate the control of our treatment works to deliver efficiencies. This approach is also being used to combat the reality of an ageing workforce which is nearing retirement age, providing an opportunity to implement automated systems allowing a reduced number of operators in future, so reducing </w:t>
      </w:r>
      <w:r w:rsidR="00964B14">
        <w:t>Opex</w:t>
      </w:r>
      <w:r>
        <w:t xml:space="preserve"> costs.</w:t>
      </w:r>
    </w:p>
    <w:p w:rsidR="001772BB" w:rsidRPr="00BB6B88" w:rsidRDefault="001772BB" w:rsidP="001772BB">
      <w:pPr>
        <w:rPr>
          <w:rFonts w:cs="Arial"/>
          <w:iCs/>
        </w:rPr>
      </w:pPr>
      <w:r w:rsidRPr="00BB6B88">
        <w:rPr>
          <w:rFonts w:cs="Arial"/>
          <w:iCs/>
        </w:rPr>
        <w:t xml:space="preserve">Staff and </w:t>
      </w:r>
      <w:r w:rsidR="00BD13AB">
        <w:rPr>
          <w:rFonts w:cs="Arial"/>
          <w:iCs/>
        </w:rPr>
        <w:t>e</w:t>
      </w:r>
      <w:r w:rsidRPr="00BB6B88">
        <w:rPr>
          <w:rFonts w:cs="Arial"/>
          <w:iCs/>
        </w:rPr>
        <w:t xml:space="preserve">lectricity costs are two of the largest elements of </w:t>
      </w:r>
      <w:r w:rsidR="00964B14">
        <w:rPr>
          <w:rFonts w:cs="Arial"/>
          <w:iCs/>
        </w:rPr>
        <w:t>Opex</w:t>
      </w:r>
      <w:r w:rsidR="00BD13AB">
        <w:rPr>
          <w:rFonts w:cs="Arial"/>
          <w:iCs/>
        </w:rPr>
        <w:t xml:space="preserve"> </w:t>
      </w:r>
      <w:r w:rsidRPr="00BB6B88">
        <w:rPr>
          <w:rFonts w:cs="Arial"/>
          <w:iCs/>
        </w:rPr>
        <w:t xml:space="preserve">at </w:t>
      </w:r>
      <w:r w:rsidRPr="00BD13AB">
        <w:rPr>
          <w:rFonts w:cs="Arial"/>
          <w:iCs/>
        </w:rPr>
        <w:t>£7</w:t>
      </w:r>
      <w:r w:rsidR="00BD13AB" w:rsidRPr="00BD13AB">
        <w:rPr>
          <w:rFonts w:cs="Arial"/>
          <w:iCs/>
        </w:rPr>
        <w:t>.4</w:t>
      </w:r>
      <w:r w:rsidRPr="00BD13AB">
        <w:rPr>
          <w:rFonts w:cs="Arial"/>
          <w:iCs/>
        </w:rPr>
        <w:t>m</w:t>
      </w:r>
      <w:r w:rsidRPr="00BB6B88">
        <w:rPr>
          <w:rFonts w:cs="Arial"/>
          <w:iCs/>
        </w:rPr>
        <w:t xml:space="preserve"> and £</w:t>
      </w:r>
      <w:r w:rsidR="00BD13AB">
        <w:rPr>
          <w:rFonts w:cs="Arial"/>
          <w:iCs/>
        </w:rPr>
        <w:t>3.6</w:t>
      </w:r>
      <w:r w:rsidRPr="00BB6B88">
        <w:rPr>
          <w:rFonts w:cs="Arial"/>
          <w:iCs/>
        </w:rPr>
        <w:t>m respectively</w:t>
      </w:r>
      <w:r w:rsidR="00BD13AB">
        <w:rPr>
          <w:rFonts w:cs="Arial"/>
          <w:iCs/>
        </w:rPr>
        <w:t xml:space="preserve">.  A further £5.7m of staff costs is included in </w:t>
      </w:r>
      <w:r w:rsidR="00964B14">
        <w:rPr>
          <w:rFonts w:cs="Arial"/>
          <w:iCs/>
        </w:rPr>
        <w:t>Capex</w:t>
      </w:r>
      <w:r w:rsidRPr="00BB6B88">
        <w:rPr>
          <w:rFonts w:cs="Arial"/>
          <w:iCs/>
        </w:rPr>
        <w:t>.</w:t>
      </w:r>
      <w:r w:rsidR="00BD13AB">
        <w:rPr>
          <w:rFonts w:cs="Arial"/>
          <w:iCs/>
        </w:rPr>
        <w:t xml:space="preserve"> </w:t>
      </w:r>
      <w:r w:rsidRPr="00BB6B88">
        <w:rPr>
          <w:rFonts w:cs="Arial"/>
          <w:iCs/>
        </w:rPr>
        <w:t xml:space="preserve"> We have programmes in place to reduce expenditure in these areas and in the case of staff costs address the issue of our ag</w:t>
      </w:r>
      <w:r w:rsidR="00240A2B">
        <w:rPr>
          <w:rFonts w:cs="Arial"/>
          <w:iCs/>
        </w:rPr>
        <w:t>e</w:t>
      </w:r>
      <w:r w:rsidRPr="00BB6B88">
        <w:rPr>
          <w:rFonts w:cs="Arial"/>
          <w:iCs/>
        </w:rPr>
        <w:t>ing work force.</w:t>
      </w:r>
    </w:p>
    <w:p w:rsidR="001772BB" w:rsidRPr="00BB6B88" w:rsidRDefault="001772BB" w:rsidP="00C2402B">
      <w:pPr>
        <w:pStyle w:val="ListParagraph"/>
        <w:numPr>
          <w:ilvl w:val="0"/>
          <w:numId w:val="28"/>
        </w:numPr>
        <w:spacing w:after="240" w:line="240" w:lineRule="auto"/>
        <w:contextualSpacing w:val="0"/>
        <w:jc w:val="both"/>
        <w:rPr>
          <w:rFonts w:ascii="Arial" w:hAnsi="Arial" w:cs="Arial"/>
          <w:iCs/>
          <w:sz w:val="24"/>
          <w:szCs w:val="24"/>
        </w:rPr>
      </w:pPr>
      <w:r w:rsidRPr="00BB6B88">
        <w:rPr>
          <w:rFonts w:ascii="Arial" w:hAnsi="Arial" w:cs="Arial"/>
          <w:iCs/>
          <w:sz w:val="24"/>
          <w:szCs w:val="24"/>
        </w:rPr>
        <w:t>Staff Costs. – In the Supply department</w:t>
      </w:r>
      <w:r w:rsidR="00240A2B">
        <w:rPr>
          <w:rFonts w:ascii="Arial" w:hAnsi="Arial" w:cs="Arial"/>
          <w:iCs/>
          <w:sz w:val="24"/>
          <w:szCs w:val="24"/>
        </w:rPr>
        <w:t>,</w:t>
      </w:r>
      <w:r w:rsidRPr="00BB6B88">
        <w:rPr>
          <w:rFonts w:ascii="Arial" w:hAnsi="Arial" w:cs="Arial"/>
          <w:iCs/>
          <w:sz w:val="24"/>
          <w:szCs w:val="24"/>
        </w:rPr>
        <w:t xml:space="preserve"> which manages our sources and water treatment works</w:t>
      </w:r>
      <w:r w:rsidR="00240A2B">
        <w:rPr>
          <w:rFonts w:ascii="Arial" w:hAnsi="Arial" w:cs="Arial"/>
          <w:iCs/>
          <w:sz w:val="24"/>
          <w:szCs w:val="24"/>
        </w:rPr>
        <w:t>,</w:t>
      </w:r>
      <w:r w:rsidRPr="00BB6B88">
        <w:rPr>
          <w:rFonts w:ascii="Arial" w:hAnsi="Arial" w:cs="Arial"/>
          <w:iCs/>
          <w:sz w:val="24"/>
          <w:szCs w:val="24"/>
        </w:rPr>
        <w:t xml:space="preserve"> there is a high proportion of individuals who will retire in the next few years. We are looking at automation, which if successful will reduce the number of individuals in the dept</w:t>
      </w:r>
      <w:r>
        <w:rPr>
          <w:rFonts w:ascii="Arial" w:hAnsi="Arial" w:cs="Arial"/>
          <w:iCs/>
          <w:sz w:val="24"/>
          <w:szCs w:val="24"/>
        </w:rPr>
        <w:t>.</w:t>
      </w:r>
    </w:p>
    <w:p w:rsidR="001772BB" w:rsidRPr="00BB6B88" w:rsidRDefault="001772BB" w:rsidP="00C2402B">
      <w:pPr>
        <w:pStyle w:val="ListParagraph"/>
        <w:numPr>
          <w:ilvl w:val="0"/>
          <w:numId w:val="28"/>
        </w:numPr>
        <w:spacing w:after="240" w:line="240" w:lineRule="auto"/>
        <w:contextualSpacing w:val="0"/>
        <w:jc w:val="both"/>
        <w:rPr>
          <w:rFonts w:ascii="Arial" w:hAnsi="Arial" w:cs="Arial"/>
          <w:iCs/>
          <w:sz w:val="24"/>
          <w:szCs w:val="24"/>
        </w:rPr>
      </w:pPr>
      <w:r w:rsidRPr="00BB6B88">
        <w:rPr>
          <w:rFonts w:ascii="Arial" w:hAnsi="Arial" w:cs="Arial"/>
          <w:iCs/>
          <w:sz w:val="24"/>
          <w:szCs w:val="24"/>
        </w:rPr>
        <w:t xml:space="preserve">Electricity Costs. – We have begun a programme to optimise the </w:t>
      </w:r>
      <w:r>
        <w:rPr>
          <w:rFonts w:ascii="Arial" w:hAnsi="Arial" w:cs="Arial"/>
          <w:iCs/>
          <w:sz w:val="24"/>
          <w:szCs w:val="24"/>
        </w:rPr>
        <w:t>operation of our treatment works</w:t>
      </w:r>
      <w:r w:rsidRPr="00BB6B88">
        <w:rPr>
          <w:rFonts w:ascii="Arial" w:hAnsi="Arial" w:cs="Arial"/>
          <w:iCs/>
          <w:sz w:val="24"/>
          <w:szCs w:val="24"/>
        </w:rPr>
        <w:t>.</w:t>
      </w:r>
      <w:r w:rsidR="00560D99">
        <w:rPr>
          <w:rFonts w:ascii="Arial" w:hAnsi="Arial" w:cs="Arial"/>
          <w:iCs/>
          <w:sz w:val="24"/>
          <w:szCs w:val="24"/>
        </w:rPr>
        <w:t xml:space="preserve">  We have employed consultants who have made a number of recommendations. </w:t>
      </w:r>
      <w:r w:rsidRPr="00BB6B88">
        <w:rPr>
          <w:rFonts w:ascii="Arial" w:hAnsi="Arial" w:cs="Arial"/>
          <w:iCs/>
          <w:sz w:val="24"/>
          <w:szCs w:val="24"/>
        </w:rPr>
        <w:t xml:space="preserve"> Our target is to reduce electricity consumption by 3%. This programme referred to as SPORT is at an early stage and </w:t>
      </w:r>
      <w:r>
        <w:rPr>
          <w:rFonts w:ascii="Arial" w:hAnsi="Arial" w:cs="Arial"/>
          <w:iCs/>
          <w:sz w:val="24"/>
          <w:szCs w:val="24"/>
        </w:rPr>
        <w:t xml:space="preserve">whilst trail projects have indicated this level of saving is achievable </w:t>
      </w:r>
      <w:r w:rsidRPr="00BB6B88">
        <w:rPr>
          <w:rFonts w:ascii="Arial" w:hAnsi="Arial" w:cs="Arial"/>
          <w:iCs/>
          <w:sz w:val="24"/>
          <w:szCs w:val="24"/>
        </w:rPr>
        <w:t>it is not possible t</w:t>
      </w:r>
      <w:r>
        <w:rPr>
          <w:rFonts w:ascii="Arial" w:hAnsi="Arial" w:cs="Arial"/>
          <w:iCs/>
          <w:sz w:val="24"/>
          <w:szCs w:val="24"/>
        </w:rPr>
        <w:t>o say whether the target saving</w:t>
      </w:r>
      <w:r w:rsidRPr="00BB6B88">
        <w:rPr>
          <w:rFonts w:ascii="Arial" w:hAnsi="Arial" w:cs="Arial"/>
          <w:iCs/>
          <w:sz w:val="24"/>
          <w:szCs w:val="24"/>
        </w:rPr>
        <w:t>s</w:t>
      </w:r>
      <w:r>
        <w:rPr>
          <w:rFonts w:ascii="Arial" w:hAnsi="Arial" w:cs="Arial"/>
          <w:iCs/>
          <w:sz w:val="24"/>
          <w:szCs w:val="24"/>
        </w:rPr>
        <w:t xml:space="preserve"> will be achievable at all sites.</w:t>
      </w:r>
    </w:p>
    <w:p w:rsidR="001772BB" w:rsidRDefault="001772BB" w:rsidP="00C2402B">
      <w:pPr>
        <w:pStyle w:val="ListParagraph"/>
        <w:numPr>
          <w:ilvl w:val="0"/>
          <w:numId w:val="28"/>
        </w:numPr>
        <w:spacing w:after="240" w:line="240" w:lineRule="auto"/>
        <w:contextualSpacing w:val="0"/>
        <w:jc w:val="both"/>
        <w:rPr>
          <w:rFonts w:ascii="Arial" w:hAnsi="Arial" w:cs="Arial"/>
          <w:iCs/>
          <w:sz w:val="24"/>
          <w:szCs w:val="24"/>
        </w:rPr>
      </w:pPr>
      <w:r w:rsidRPr="00BB6B88">
        <w:rPr>
          <w:rFonts w:ascii="Arial" w:hAnsi="Arial" w:cs="Arial"/>
          <w:iCs/>
          <w:sz w:val="24"/>
          <w:szCs w:val="24"/>
        </w:rPr>
        <w:t>We have invested in “Lean</w:t>
      </w:r>
      <w:r w:rsidR="00B21B84">
        <w:rPr>
          <w:rFonts w:ascii="Arial" w:hAnsi="Arial" w:cs="Arial"/>
          <w:iCs/>
          <w:sz w:val="24"/>
          <w:szCs w:val="24"/>
        </w:rPr>
        <w:t xml:space="preserve"> Six Sigma</w:t>
      </w:r>
      <w:r w:rsidRPr="00BB6B88">
        <w:rPr>
          <w:rFonts w:ascii="Arial" w:hAnsi="Arial" w:cs="Arial"/>
          <w:iCs/>
          <w:sz w:val="24"/>
          <w:szCs w:val="24"/>
        </w:rPr>
        <w:t>” training for a number of staff who now have Green and Yellow belts. In the first instance this will allow small improvements in operating costs, but as individuals become more proficient we would expect to see this have larger impact</w:t>
      </w:r>
      <w:r w:rsidR="00F9476A">
        <w:rPr>
          <w:rFonts w:ascii="Arial" w:hAnsi="Arial" w:cs="Arial"/>
          <w:iCs/>
          <w:sz w:val="24"/>
          <w:szCs w:val="24"/>
        </w:rPr>
        <w:t>s</w:t>
      </w:r>
      <w:r w:rsidRPr="00BB6B88">
        <w:rPr>
          <w:rFonts w:ascii="Arial" w:hAnsi="Arial" w:cs="Arial"/>
          <w:iCs/>
          <w:sz w:val="24"/>
          <w:szCs w:val="24"/>
        </w:rPr>
        <w:t xml:space="preserve"> on the business.</w:t>
      </w:r>
    </w:p>
    <w:p w:rsidR="00A05BD7" w:rsidRDefault="00A05BD7" w:rsidP="00C2402B">
      <w:pPr>
        <w:pStyle w:val="ListParagraph"/>
        <w:numPr>
          <w:ilvl w:val="0"/>
          <w:numId w:val="28"/>
        </w:numPr>
        <w:spacing w:after="240" w:line="240" w:lineRule="auto"/>
        <w:contextualSpacing w:val="0"/>
        <w:jc w:val="both"/>
        <w:rPr>
          <w:rFonts w:ascii="Arial" w:hAnsi="Arial" w:cs="Arial"/>
          <w:iCs/>
          <w:sz w:val="24"/>
          <w:szCs w:val="24"/>
        </w:rPr>
      </w:pPr>
      <w:r>
        <w:rPr>
          <w:rFonts w:ascii="Arial" w:hAnsi="Arial" w:cs="Arial"/>
          <w:iCs/>
          <w:sz w:val="24"/>
          <w:szCs w:val="24"/>
        </w:rPr>
        <w:t>With costs generally</w:t>
      </w:r>
      <w:r w:rsidR="00240A2B">
        <w:rPr>
          <w:rFonts w:ascii="Arial" w:hAnsi="Arial" w:cs="Arial"/>
          <w:iCs/>
          <w:sz w:val="24"/>
          <w:szCs w:val="24"/>
        </w:rPr>
        <w:t>,</w:t>
      </w:r>
      <w:r>
        <w:rPr>
          <w:rFonts w:ascii="Arial" w:hAnsi="Arial" w:cs="Arial"/>
          <w:iCs/>
          <w:sz w:val="24"/>
          <w:szCs w:val="24"/>
        </w:rPr>
        <w:t xml:space="preserve"> and in particular staff costs, we aim to offset any real cost </w:t>
      </w:r>
      <w:r w:rsidR="007A3AB3">
        <w:rPr>
          <w:rFonts w:ascii="Arial" w:hAnsi="Arial" w:cs="Arial"/>
          <w:iCs/>
          <w:sz w:val="24"/>
          <w:szCs w:val="24"/>
        </w:rPr>
        <w:t>increases with gains.  Remuneration is not linked to inflation, but what we can afford to maintain a highly skilled workforce.  In the last two years wage awards were less than CPI.  We have a number of incentive mechanisms that reward performance against objectives.</w:t>
      </w:r>
    </w:p>
    <w:p w:rsidR="001772BB" w:rsidRPr="00F9476A" w:rsidRDefault="001772BB" w:rsidP="00F9476A">
      <w:r w:rsidRPr="00F9476A">
        <w:t xml:space="preserve">Through these examples of initiatives we are taking we would hope to reduce operating cost and achieve the overall </w:t>
      </w:r>
      <w:r w:rsidR="00FE42E8">
        <w:t>Totex</w:t>
      </w:r>
      <w:r w:rsidRPr="00F9476A">
        <w:t xml:space="preserve"> efficiency target referred to above at </w:t>
      </w:r>
      <w:r w:rsidR="00DD5B9D" w:rsidRPr="00F9476A">
        <w:t>0.5</w:t>
      </w:r>
      <w:r w:rsidRPr="00F9476A">
        <w:t>%</w:t>
      </w:r>
      <w:r w:rsidR="00DD5B9D" w:rsidRPr="00F9476A">
        <w:t xml:space="preserve"> per annum</w:t>
      </w:r>
      <w:r w:rsidRPr="00F9476A">
        <w:rPr>
          <w:i/>
        </w:rPr>
        <w:t>.</w:t>
      </w:r>
    </w:p>
    <w:p w:rsidR="001772BB" w:rsidRPr="001772BB" w:rsidRDefault="001772BB" w:rsidP="001772BB">
      <w:pPr>
        <w:rPr>
          <w:b/>
        </w:rPr>
      </w:pPr>
      <w:r w:rsidRPr="001772BB">
        <w:rPr>
          <w:b/>
        </w:rPr>
        <w:t>Procurement of operational materials</w:t>
      </w:r>
    </w:p>
    <w:p w:rsidR="001772BB" w:rsidRPr="00332164" w:rsidRDefault="001772BB" w:rsidP="001772BB">
      <w:r w:rsidRPr="00332164">
        <w:t>We have established a joint arrangement with SES</w:t>
      </w:r>
      <w:r w:rsidR="00240A2B">
        <w:t xml:space="preserve"> </w:t>
      </w:r>
      <w:r w:rsidRPr="00332164">
        <w:t>W</w:t>
      </w:r>
      <w:r w:rsidR="00240A2B">
        <w:t>ater</w:t>
      </w:r>
      <w:r w:rsidRPr="00332164">
        <w:t xml:space="preserve"> to increase our purchasing power and enable procurement efficiencies.</w:t>
      </w:r>
      <w:r w:rsidR="00971429">
        <w:t xml:space="preserve">  The arrangement works well as we are both of similar size, culture and face similar issues. </w:t>
      </w:r>
      <w:r w:rsidRPr="00332164">
        <w:t xml:space="preserve"> We each contribute to the costs of a </w:t>
      </w:r>
      <w:r w:rsidR="00971429">
        <w:t>P</w:t>
      </w:r>
      <w:r w:rsidRPr="00332164">
        <w:t xml:space="preserve">rocurement </w:t>
      </w:r>
      <w:r w:rsidR="00971429">
        <w:t>O</w:t>
      </w:r>
      <w:r w:rsidRPr="00332164">
        <w:t>fficer and have taken great care to ensure we comply with competition law.</w:t>
      </w:r>
    </w:p>
    <w:p w:rsidR="001772BB" w:rsidRPr="001772BB" w:rsidRDefault="001772BB" w:rsidP="001772BB">
      <w:pPr>
        <w:rPr>
          <w:b/>
        </w:rPr>
      </w:pPr>
      <w:r w:rsidRPr="001772BB">
        <w:rPr>
          <w:b/>
        </w:rPr>
        <w:t>Pension Costs</w:t>
      </w:r>
    </w:p>
    <w:p w:rsidR="001772BB" w:rsidRDefault="001772BB" w:rsidP="001772BB">
      <w:pPr>
        <w:rPr>
          <w:rFonts w:cs="Arial"/>
        </w:rPr>
      </w:pPr>
      <w:r w:rsidRPr="00894F85">
        <w:rPr>
          <w:rFonts w:cs="Arial"/>
        </w:rPr>
        <w:t>The Company operates a historical defined benefit pension scheme</w:t>
      </w:r>
      <w:r>
        <w:rPr>
          <w:rFonts w:cs="Arial"/>
        </w:rPr>
        <w:t xml:space="preserve"> (DB)</w:t>
      </w:r>
      <w:r w:rsidRPr="00894F85">
        <w:rPr>
          <w:rFonts w:cs="Arial"/>
        </w:rPr>
        <w:t xml:space="preserve">.  This was closed to new employees in 2011 but remains open to accrual for existing members.  </w:t>
      </w:r>
      <w:r>
        <w:rPr>
          <w:rFonts w:cs="Arial"/>
        </w:rPr>
        <w:t xml:space="preserve">Other employees have access to a defined contribution scheme (DC). </w:t>
      </w:r>
    </w:p>
    <w:p w:rsidR="001772BB" w:rsidRDefault="001772BB" w:rsidP="001772BB">
      <w:pPr>
        <w:rPr>
          <w:rFonts w:cs="Arial"/>
        </w:rPr>
      </w:pPr>
      <w:r w:rsidRPr="00894F85">
        <w:rPr>
          <w:rFonts w:cs="Arial"/>
        </w:rPr>
        <w:t>As part of the business planning process we have obtained a 2018 actuarial valuation which demonstrates that the scheme remains in an overall surplus position of £12.5m</w:t>
      </w:r>
      <w:r>
        <w:rPr>
          <w:rFonts w:cs="Arial"/>
        </w:rPr>
        <w:t xml:space="preserve"> – we have never included any element in our previous Business Plans for pension deficit recovery</w:t>
      </w:r>
      <w:r w:rsidRPr="00894F85">
        <w:rPr>
          <w:rFonts w:cs="Arial"/>
        </w:rPr>
        <w:t xml:space="preserve">.  </w:t>
      </w:r>
    </w:p>
    <w:p w:rsidR="001772BB" w:rsidRDefault="001772BB" w:rsidP="001772BB">
      <w:pPr>
        <w:rPr>
          <w:rFonts w:cs="Arial"/>
        </w:rPr>
      </w:pPr>
      <w:r w:rsidRPr="00894F85">
        <w:rPr>
          <w:rFonts w:cs="Arial"/>
        </w:rPr>
        <w:t>The Company an</w:t>
      </w:r>
      <w:r>
        <w:rPr>
          <w:rFonts w:cs="Arial"/>
        </w:rPr>
        <w:t>d the pension T</w:t>
      </w:r>
      <w:r w:rsidRPr="00894F85">
        <w:rPr>
          <w:rFonts w:cs="Arial"/>
        </w:rPr>
        <w:t>rustees</w:t>
      </w:r>
      <w:r>
        <w:rPr>
          <w:rFonts w:cs="Arial"/>
        </w:rPr>
        <w:t>,</w:t>
      </w:r>
      <w:r w:rsidRPr="00894F85">
        <w:rPr>
          <w:rFonts w:cs="Arial"/>
        </w:rPr>
        <w:t xml:space="preserve"> in recent years</w:t>
      </w:r>
      <w:r>
        <w:rPr>
          <w:rFonts w:cs="Arial"/>
        </w:rPr>
        <w:t>,</w:t>
      </w:r>
      <w:r w:rsidRPr="00894F85">
        <w:rPr>
          <w:rFonts w:cs="Arial"/>
        </w:rPr>
        <w:t xml:space="preserve"> have </w:t>
      </w:r>
      <w:r>
        <w:rPr>
          <w:rFonts w:cs="Arial"/>
        </w:rPr>
        <w:t>taken active steps</w:t>
      </w:r>
      <w:r w:rsidRPr="00894F85">
        <w:rPr>
          <w:rFonts w:cs="Arial"/>
        </w:rPr>
        <w:t xml:space="preserve"> to reduce risk in the scheme and in particular to match the balance and profile of assets and liabilities.  We continue to work with the Trustees to agree future funding requirements and to </w:t>
      </w:r>
      <w:r>
        <w:rPr>
          <w:rFonts w:cs="Arial"/>
        </w:rPr>
        <w:t>continue to reduce exposure in the scheme.</w:t>
      </w:r>
      <w:r w:rsidRPr="00894F85">
        <w:rPr>
          <w:rFonts w:cs="Arial"/>
        </w:rPr>
        <w:t xml:space="preserve"> </w:t>
      </w:r>
    </w:p>
    <w:p w:rsidR="001772BB" w:rsidRDefault="001772BB" w:rsidP="001772BB">
      <w:r>
        <w:rPr>
          <w:rFonts w:cs="Arial"/>
        </w:rPr>
        <w:t xml:space="preserve">Although we recognise that there will continue to be pressure on ongoing funding levels for the DB scheme we have included only modest total increase in combined pension costs within </w:t>
      </w:r>
      <w:r w:rsidR="00560B22">
        <w:rPr>
          <w:rFonts w:cs="Arial"/>
        </w:rPr>
        <w:t>Totex</w:t>
      </w:r>
      <w:r>
        <w:rPr>
          <w:rFonts w:cs="Arial"/>
        </w:rPr>
        <w:t>. This is because the number of active DB members falls over the period of the AMP due to retirements and is replaced by employees in the less costly DC scheme.  By the end of the AMP we expect the absolute level of combined pension contributions to be consistent with PR14 levels</w:t>
      </w:r>
    </w:p>
    <w:p w:rsidR="001772BB" w:rsidRPr="001772BB" w:rsidRDefault="001772BB" w:rsidP="001772BB">
      <w:pPr>
        <w:rPr>
          <w:b/>
        </w:rPr>
      </w:pPr>
      <w:r w:rsidRPr="001772BB">
        <w:rPr>
          <w:b/>
        </w:rPr>
        <w:t>Reinvestment of Savings</w:t>
      </w:r>
    </w:p>
    <w:p w:rsidR="001772BB" w:rsidRPr="00332164" w:rsidRDefault="001772BB" w:rsidP="001772BB">
      <w:r w:rsidRPr="00332164">
        <w:t>The infrastructure and non-infrastructure contracts have delivered significant savings, which have been reinvested to deliver</w:t>
      </w:r>
      <w:r w:rsidR="00240A2B">
        <w:t xml:space="preserve"> </w:t>
      </w:r>
      <w:r w:rsidRPr="00332164">
        <w:t>a number of improvement to operations and services to customers</w:t>
      </w:r>
      <w:r w:rsidR="00240A2B">
        <w:t>:</w:t>
      </w:r>
      <w:r w:rsidRPr="00332164">
        <w:t>-</w:t>
      </w:r>
    </w:p>
    <w:p w:rsidR="001772BB" w:rsidRPr="00332164" w:rsidRDefault="001772BB" w:rsidP="005F36E7">
      <w:pPr>
        <w:pStyle w:val="Bullets"/>
      </w:pPr>
      <w:r w:rsidRPr="00332164">
        <w:t>Enhanced Leakage Detection Activities</w:t>
      </w:r>
    </w:p>
    <w:p w:rsidR="001772BB" w:rsidRPr="00332164" w:rsidRDefault="001772BB" w:rsidP="005F36E7">
      <w:pPr>
        <w:pStyle w:val="Bullets"/>
      </w:pPr>
      <w:r w:rsidRPr="00332164">
        <w:t>Work &amp; Asset Management ERP Package (IFS)</w:t>
      </w:r>
    </w:p>
    <w:p w:rsidR="001772BB" w:rsidRPr="00332164" w:rsidRDefault="001772BB" w:rsidP="005F36E7">
      <w:pPr>
        <w:pStyle w:val="Bullets"/>
      </w:pPr>
      <w:r w:rsidRPr="00332164">
        <w:t>Supply &amp; Production Optimisation Project (SPORT)</w:t>
      </w:r>
    </w:p>
    <w:p w:rsidR="001772BB" w:rsidRPr="00332164" w:rsidRDefault="001772BB" w:rsidP="005F36E7">
      <w:pPr>
        <w:pStyle w:val="Bullets"/>
      </w:pPr>
      <w:r w:rsidRPr="00332164">
        <w:t>Bedhampton Waste Tip Recycling Projects</w:t>
      </w:r>
    </w:p>
    <w:p w:rsidR="001772BB" w:rsidRDefault="001772BB" w:rsidP="005F36E7">
      <w:pPr>
        <w:pStyle w:val="Bullets"/>
      </w:pPr>
      <w:r w:rsidRPr="00332164">
        <w:t xml:space="preserve">Bedhampton </w:t>
      </w:r>
      <w:r>
        <w:t>Springs resilience study</w:t>
      </w:r>
    </w:p>
    <w:p w:rsidR="001772BB" w:rsidRDefault="001772BB" w:rsidP="001772BB">
      <w:pPr>
        <w:tabs>
          <w:tab w:val="clear" w:pos="851"/>
          <w:tab w:val="left" w:pos="1701"/>
        </w:tabs>
        <w:spacing w:after="0"/>
        <w:ind w:left="1701"/>
      </w:pPr>
    </w:p>
    <w:p w:rsidR="00F35240" w:rsidRDefault="00F30667" w:rsidP="00F30667">
      <w:pPr>
        <w:pStyle w:val="Heading3"/>
      </w:pPr>
      <w:bookmarkStart w:id="218" w:name="_Toc523651318"/>
      <w:r>
        <w:t>Risks to Cost Efficiency</w:t>
      </w:r>
      <w:bookmarkEnd w:id="218"/>
    </w:p>
    <w:p w:rsidR="00F35240" w:rsidRDefault="00F30667" w:rsidP="00F35240">
      <w:r>
        <w:t>The South East will see a considerable infrastructure programme over the coming years.  This will put pressure on the availability of contract staff and in usage rates.</w:t>
      </w:r>
    </w:p>
    <w:p w:rsidR="00F30667" w:rsidRDefault="00F30667" w:rsidP="00F35240">
      <w:r>
        <w:t>Our infrastructure renewals contract is indexed by COPI and there is a risk it will be different from CPI.</w:t>
      </w:r>
    </w:p>
    <w:p w:rsidR="00F30667" w:rsidRPr="00332164" w:rsidRDefault="00F30667" w:rsidP="00F35240">
      <w:r>
        <w:t>However, in this Plan, we have not assumed any real cost increases as a result of these matters and that they will be absorbed in our 0.5% annual efficiency gain.</w:t>
      </w:r>
    </w:p>
    <w:p w:rsidR="009C04FC" w:rsidRPr="00B75C73" w:rsidRDefault="009C04FC" w:rsidP="0081766C">
      <w:pPr>
        <w:pStyle w:val="Heading2"/>
      </w:pPr>
      <w:bookmarkStart w:id="219" w:name="_Toc522200405"/>
      <w:bookmarkStart w:id="220" w:name="_Toc523651319"/>
      <w:r w:rsidRPr="00B75C73">
        <w:t>Retail Efficiency</w:t>
      </w:r>
      <w:bookmarkEnd w:id="219"/>
      <w:bookmarkEnd w:id="220"/>
    </w:p>
    <w:p w:rsidR="000707F8" w:rsidRDefault="000707F8" w:rsidP="000707F8">
      <w:pPr>
        <w:pStyle w:val="Heading3"/>
      </w:pPr>
      <w:bookmarkStart w:id="221" w:name="_Toc522200030"/>
      <w:bookmarkStart w:id="222" w:name="_Toc522200127"/>
      <w:bookmarkStart w:id="223" w:name="_Toc523651320"/>
      <w:bookmarkStart w:id="224" w:name="_Toc522200407"/>
      <w:r>
        <w:t>Bad Debt</w:t>
      </w:r>
      <w:bookmarkEnd w:id="221"/>
      <w:bookmarkEnd w:id="222"/>
      <w:bookmarkEnd w:id="223"/>
    </w:p>
    <w:p w:rsidR="000707F8" w:rsidRDefault="000707F8" w:rsidP="000707F8">
      <w:r w:rsidRPr="00E30C4C">
        <w:t xml:space="preserve">Bad debt has a significant impact on the retail division, as it has all the costs and consequences of bad debt across the whole bill, applied to a relatively small price control. </w:t>
      </w:r>
    </w:p>
    <w:p w:rsidR="000707F8" w:rsidRDefault="000707F8" w:rsidP="000707F8">
      <w:r>
        <w:t xml:space="preserve">We have a very low cost to serve, which reflects high levels of efficiency within our retail division.  However, </w:t>
      </w:r>
      <w:r w:rsidR="00560D99">
        <w:t xml:space="preserve">the </w:t>
      </w:r>
      <w:r>
        <w:t xml:space="preserve">proposed modelling approach to bad debt does not reflect our efficiency.  </w:t>
      </w:r>
      <w:r w:rsidR="00F269D9">
        <w:t xml:space="preserve">Ofwat’s </w:t>
      </w:r>
      <w:r>
        <w:t xml:space="preserve">modelling disadvantages us as:- </w:t>
      </w:r>
    </w:p>
    <w:p w:rsidR="000707F8" w:rsidRDefault="000707F8" w:rsidP="000707F8">
      <w:pPr>
        <w:pStyle w:val="Bullets"/>
      </w:pPr>
      <w:r>
        <w:t xml:space="preserve">We have a uniquely low bill.  </w:t>
      </w:r>
      <w:r w:rsidR="00560D99">
        <w:t xml:space="preserve">Ofwat’s </w:t>
      </w:r>
      <w:r>
        <w:t>models look at average bill size, which works to our detriment.</w:t>
      </w:r>
    </w:p>
    <w:p w:rsidR="000707F8" w:rsidRDefault="00F269D9" w:rsidP="000707F8">
      <w:pPr>
        <w:pStyle w:val="Bullets"/>
      </w:pPr>
      <w:r>
        <w:t xml:space="preserve">Ofwat’s </w:t>
      </w:r>
      <w:r w:rsidR="000707F8">
        <w:t>model combines debt costs and debt provision</w:t>
      </w:r>
    </w:p>
    <w:p w:rsidR="000707F8" w:rsidRDefault="000707F8" w:rsidP="000707F8">
      <w:pPr>
        <w:pStyle w:val="Bullets"/>
        <w:numPr>
          <w:ilvl w:val="0"/>
          <w:numId w:val="0"/>
        </w:numPr>
        <w:ind w:left="1494"/>
      </w:pPr>
    </w:p>
    <w:p w:rsidR="000707F8" w:rsidRDefault="000707F8" w:rsidP="000707F8">
      <w:r>
        <w:t>This adversely impacts on us compared to when they are modelled separately.</w:t>
      </w:r>
    </w:p>
    <w:p w:rsidR="000707F8" w:rsidRDefault="000707F8" w:rsidP="000707F8">
      <w:r>
        <w:t xml:space="preserve">In </w:t>
      </w:r>
      <w:r w:rsidRPr="005F36E7">
        <w:t xml:space="preserve">Appendix </w:t>
      </w:r>
      <w:r w:rsidR="005F36E7">
        <w:t>9.13</w:t>
      </w:r>
      <w:r>
        <w:t xml:space="preserve"> we have a report prepared for us by Oxera that explores these issues in detail.</w:t>
      </w:r>
    </w:p>
    <w:p w:rsidR="000707F8" w:rsidRDefault="000707F8" w:rsidP="000707F8">
      <w:pPr>
        <w:rPr>
          <w:b/>
        </w:rPr>
      </w:pPr>
      <w:r>
        <w:rPr>
          <w:b/>
        </w:rPr>
        <w:t>Industry Performance Comparison</w:t>
      </w:r>
    </w:p>
    <w:p w:rsidR="000707F8" w:rsidRPr="00E30C4C" w:rsidRDefault="000707F8" w:rsidP="000707F8">
      <w:r w:rsidRPr="00E30C4C">
        <w:t xml:space="preserve">Comparing debt across the industry to assess relative efficiency is challenging. Ofwat seeks to model bad debt by adding </w:t>
      </w:r>
      <w:r w:rsidR="00F269D9">
        <w:t xml:space="preserve">debt recovery costs </w:t>
      </w:r>
      <w:r w:rsidRPr="00E30C4C">
        <w:t>to the annual change in provision. However, provisioning policies are not consistent and therefore comparison is not, in our view, truly valid.  We consider that the number of customers in debt drives our costs, rather than our provisioning policies. Our uniquely low, single service, bill makes modelling our debt management performance with other water companies unreliable.</w:t>
      </w:r>
    </w:p>
    <w:p w:rsidR="000707F8" w:rsidRDefault="000707F8" w:rsidP="000707F8">
      <w:pPr>
        <w:rPr>
          <w:b/>
        </w:rPr>
      </w:pPr>
      <w:r>
        <w:rPr>
          <w:b/>
        </w:rPr>
        <w:t>Factors influencing Bad Debt costs and Levels</w:t>
      </w:r>
    </w:p>
    <w:p w:rsidR="000707F8" w:rsidRPr="00E30C4C" w:rsidRDefault="000707F8" w:rsidP="000707F8">
      <w:pPr>
        <w:pStyle w:val="Bullets"/>
        <w:rPr>
          <w:b/>
        </w:rPr>
      </w:pPr>
      <w:r w:rsidRPr="00A92B85">
        <w:rPr>
          <w:b/>
        </w:rPr>
        <w:t xml:space="preserve">Bill Size. </w:t>
      </w:r>
      <w:r w:rsidRPr="00E30C4C">
        <w:t xml:space="preserve">Whilst we are proud of the fact that our bill is the most affordable in the industry, our bill size, and the fact that it is for our services only, creates a unique challenge for us. Tackling new arrears early is well understood as best practice in managing debt.  However, a customer on our minimum charge may have a weekly payment of £1.45.  There is no cost effective way of chasing such arrears and, when we have experimented with trying to manage really low arrears, customer criticism can be received as they think our contact is not proportionate given the sums concerned. </w:t>
      </w:r>
      <w:r>
        <w:t xml:space="preserve"> Whilst we take debt very seriously, we do accept customers view that chasing very small debts can seem disproportionate.</w:t>
      </w:r>
    </w:p>
    <w:p w:rsidR="000707F8" w:rsidRPr="00A92B85" w:rsidRDefault="000707F8" w:rsidP="000707F8">
      <w:pPr>
        <w:pStyle w:val="Bullets"/>
        <w:rPr>
          <w:b/>
        </w:rPr>
      </w:pPr>
      <w:r w:rsidRPr="00A92B85">
        <w:rPr>
          <w:b/>
        </w:rPr>
        <w:t xml:space="preserve">Deprivation. </w:t>
      </w:r>
      <w:r w:rsidRPr="00E30C4C">
        <w:t xml:space="preserve">There is a clear link between deprivation and debt.  This is clearly apparent when the two are modelled together.  Based on fuel poverty data from 2015, levels of deprivation within our area of supply </w:t>
      </w:r>
      <w:r>
        <w:t>a</w:t>
      </w:r>
      <w:r w:rsidRPr="00E30C4C">
        <w:t>r</w:t>
      </w:r>
      <w:r>
        <w:t>e</w:t>
      </w:r>
      <w:r w:rsidRPr="00E30C4C">
        <w:t xml:space="preserve"> 10.5%, close to the national average of 11% for the country as a whole, and higher than the South East average of 9.4%.  We use deprivation and debt mapping data to focus our affordability and vulnerability activities.</w:t>
      </w:r>
    </w:p>
    <w:p w:rsidR="000707F8" w:rsidRPr="00A92B85" w:rsidRDefault="000707F8" w:rsidP="000707F8">
      <w:pPr>
        <w:pStyle w:val="Bullets"/>
        <w:rPr>
          <w:b/>
        </w:rPr>
      </w:pPr>
      <w:r w:rsidRPr="00A92B85">
        <w:rPr>
          <w:b/>
        </w:rPr>
        <w:t xml:space="preserve">Facilitating Payment. </w:t>
      </w:r>
      <w:r w:rsidRPr="00A92B85">
        <w:t>Making our bill easy to pay is achieved by maximising free payment channels and minimising acceptable payment levels where genuine hardship exists. Maintaining contact with customers and them continuing to make payment, however modest, is the key to long-term debt management.</w:t>
      </w:r>
    </w:p>
    <w:p w:rsidR="000707F8" w:rsidRPr="00790505" w:rsidRDefault="000707F8" w:rsidP="000707F8">
      <w:pPr>
        <w:pStyle w:val="Bullets"/>
        <w:rPr>
          <w:b/>
        </w:rPr>
      </w:pPr>
      <w:r w:rsidRPr="00A92B85">
        <w:rPr>
          <w:b/>
        </w:rPr>
        <w:t xml:space="preserve">Know your customer. </w:t>
      </w:r>
      <w:r w:rsidRPr="00E30C4C">
        <w:t>We are focusing heavily at increasing the data that we collect when customers first register with us. This including the use of specialist software to confirm customer’s address, to enable Direct Debit to be set up immediately.  Better information not only has benefits in debt management, but also vulnerability.</w:t>
      </w:r>
    </w:p>
    <w:p w:rsidR="000707F8" w:rsidRPr="00A92B85" w:rsidRDefault="000707F8" w:rsidP="000707F8">
      <w:pPr>
        <w:pStyle w:val="Bullets"/>
        <w:numPr>
          <w:ilvl w:val="0"/>
          <w:numId w:val="0"/>
        </w:numPr>
        <w:ind w:left="1491"/>
        <w:rPr>
          <w:b/>
        </w:rPr>
      </w:pPr>
    </w:p>
    <w:p w:rsidR="000707F8" w:rsidRDefault="000707F8" w:rsidP="000707F8">
      <w:r w:rsidRPr="00A92B85">
        <w:rPr>
          <w:b/>
        </w:rPr>
        <w:t xml:space="preserve">Employing Best Practice.  </w:t>
      </w:r>
      <w:r w:rsidRPr="00E30C4C">
        <w:t>Maximising our performance can only be achieved by understanding and constantly reviewing best practice.  This means, active involvement in industry forums, working collaboratively with support agencies and other stakeholders, utilising experts to review our working practices and our messaging within billing correspondence, website and social media.</w:t>
      </w:r>
    </w:p>
    <w:p w:rsidR="000707F8" w:rsidRDefault="000707F8" w:rsidP="000707F8">
      <w:r>
        <w:rPr>
          <w:b/>
        </w:rPr>
        <w:t>Improving our debt performance</w:t>
      </w:r>
    </w:p>
    <w:p w:rsidR="000707F8" w:rsidRDefault="000707F8" w:rsidP="000707F8">
      <w:r>
        <w:t xml:space="preserve">Debt is a challenge.  We need to be sensitive and accommodating to those with affordability issues, as covered in </w:t>
      </w:r>
      <w:r w:rsidRPr="005F36E7">
        <w:t>Chapter 5.1</w:t>
      </w:r>
      <w:r>
        <w:t>.  However, not all customers that don’t pay, can’t afford to pay.</w:t>
      </w:r>
    </w:p>
    <w:p w:rsidR="000707F8" w:rsidRDefault="000707F8" w:rsidP="000707F8">
      <w:r>
        <w:t>Our strategy is to move to more targeted recovery actions, finding lower cost ways to handle early arrears in a collaborative rather than adversarial way.  We believe the days of the red reminder are numbered and that we need to move to actively engag</w:t>
      </w:r>
      <w:r w:rsidR="005F36E7">
        <w:t>ing</w:t>
      </w:r>
      <w:r>
        <w:t xml:space="preserve"> with these customers.</w:t>
      </w:r>
    </w:p>
    <w:p w:rsidR="000707F8" w:rsidRPr="00790505" w:rsidRDefault="000707F8" w:rsidP="000707F8">
      <w:r>
        <w:t>Innovation and technology will be the key to low cost engagement and recovery.  We are working on redesigning our communication and the use of SMS messages to act as a reminder, using data to making messaging well targeted.  We are working with a consultant to look at how we can use software to better focus our efforts by tailoring strategies to individual customers rather than a one size fits all approach.</w:t>
      </w:r>
      <w:r w:rsidR="0025314F">
        <w:t xml:space="preserve">  We have recently undertaken a review with industry consultants and have identified areas of debt management activity</w:t>
      </w:r>
      <w:r w:rsidR="00691309">
        <w:t>,</w:t>
      </w:r>
      <w:r w:rsidR="0025314F">
        <w:t xml:space="preserve"> which will be actioned in PR19.</w:t>
      </w:r>
    </w:p>
    <w:p w:rsidR="009C04FC" w:rsidRPr="0081766C" w:rsidRDefault="009C04FC" w:rsidP="00F269D9">
      <w:pPr>
        <w:pStyle w:val="Heading3"/>
      </w:pPr>
      <w:bookmarkStart w:id="225" w:name="_Toc523651321"/>
      <w:r w:rsidRPr="0081766C">
        <w:t>Input Price Pressures</w:t>
      </w:r>
      <w:bookmarkEnd w:id="224"/>
      <w:r w:rsidR="00240A2B">
        <w:t xml:space="preserve"> (IPP)</w:t>
      </w:r>
      <w:bookmarkEnd w:id="225"/>
    </w:p>
    <w:p w:rsidR="001772BB" w:rsidRPr="00332164" w:rsidRDefault="001772BB" w:rsidP="001772BB">
      <w:bookmarkStart w:id="226" w:name="_Toc522200408"/>
      <w:r w:rsidRPr="00332164">
        <w:t>We are seeking an allowance for Input Price Pressures of 1% per annum.</w:t>
      </w:r>
    </w:p>
    <w:p w:rsidR="001772BB" w:rsidRPr="00332164" w:rsidRDefault="001772BB" w:rsidP="001772BB">
      <w:r w:rsidRPr="00332164">
        <w:t>At PR14, given our low cost to serve and efficiency, we were allowed an IPP adjustment.</w:t>
      </w:r>
    </w:p>
    <w:p w:rsidR="001772BB" w:rsidRPr="00332164" w:rsidRDefault="001772BB" w:rsidP="001772BB">
      <w:r w:rsidRPr="00332164">
        <w:t xml:space="preserve">We appointed experts to assess what future Input Price Pressures may be and to what extent they may be offset against efficiencies.  Accordingly, we appointed Oxera to assess this over the coming AMP.  Their report is in Appendix </w:t>
      </w:r>
      <w:r w:rsidR="005F36E7">
        <w:t>9.14</w:t>
      </w:r>
      <w:r w:rsidRPr="005F36E7">
        <w:t>.</w:t>
      </w:r>
      <w:r w:rsidRPr="00332164">
        <w:t xml:space="preserve">  Oxera concluded that costs are expected to rise faster than productivity improvements by 1% to 1.5% per annum.  We will challenge ourselves to maximise efficiency by employing innovative cost saving solutions, and are therefore seeking to recover the lower end of their predicted range with an adjustment of 1% per annum.</w:t>
      </w:r>
    </w:p>
    <w:p w:rsidR="001772BB" w:rsidRPr="00332164" w:rsidRDefault="001772BB" w:rsidP="001772BB">
      <w:r w:rsidRPr="00332164">
        <w:t>Beyond the technical economic case that Oxera presents, we would add the following comments:-</w:t>
      </w:r>
    </w:p>
    <w:p w:rsidR="001772BB" w:rsidRPr="00332164" w:rsidRDefault="001772BB" w:rsidP="00F269D9">
      <w:pPr>
        <w:pStyle w:val="Bullets"/>
      </w:pPr>
      <w:r w:rsidRPr="00332164">
        <w:t>We need sufficient funding to run an efficient retail operation, but one that still has the capacity to provide a personal service for our customers at times of vulnerability and offers choice to our diverse customer base in terms of communication and payment channels.</w:t>
      </w:r>
    </w:p>
    <w:p w:rsidR="001772BB" w:rsidRPr="00332164" w:rsidRDefault="001772BB" w:rsidP="00F269D9">
      <w:pPr>
        <w:pStyle w:val="Bullets"/>
      </w:pPr>
      <w:r w:rsidRPr="00332164">
        <w:t>We should not be forced into making economic decisions that drive all customers to the lowest cost to serve models, if this is not their preference.  Our customers cannot vote with their feet if they do not like our preferred contact channels, so we must continue to provide a wide variety of contact methods and payment options.</w:t>
      </w:r>
    </w:p>
    <w:p w:rsidR="001772BB" w:rsidRDefault="001772BB" w:rsidP="00F269D9">
      <w:pPr>
        <w:pStyle w:val="Bullets"/>
      </w:pPr>
      <w:r w:rsidRPr="00332164">
        <w:t xml:space="preserve">Reliable water services in the future will rely heavily on changing customer behaviours to reduce Per Capita Consumption, especially in an </w:t>
      </w:r>
      <w:r>
        <w:t>area</w:t>
      </w:r>
      <w:r w:rsidRPr="00332164">
        <w:t xml:space="preserve"> such as ours with a high unmetered population and as a company that, uniquely in the South East, does not have the severe water stress status that allows us to make a case to compulsorily  meter all customers.  The retail business has a key role to play in changing behaviours and engaging more on this issue, which, even if done efficiently, will require greater resource than historically.</w:t>
      </w:r>
    </w:p>
    <w:p w:rsidR="00F269D9" w:rsidRDefault="00F269D9" w:rsidP="00F269D9">
      <w:pPr>
        <w:pStyle w:val="Bullets"/>
        <w:numPr>
          <w:ilvl w:val="0"/>
          <w:numId w:val="0"/>
        </w:numPr>
        <w:ind w:left="1494"/>
      </w:pPr>
    </w:p>
    <w:p w:rsidR="00F269D9" w:rsidRDefault="00F269D9" w:rsidP="00F269D9">
      <w:r>
        <w:t>Whilst we are not able to offset input price pressures, once factored in at the above level, we do predict that we can show efficiency gains.  These will be achieved by outsourcing our bill printing, which will make postage discounts available to us, and through a move to e-billing and cost beneficial self serve options.</w:t>
      </w:r>
    </w:p>
    <w:p w:rsidR="009C04FC" w:rsidRPr="0081766C" w:rsidRDefault="009C04FC" w:rsidP="00FB34F1">
      <w:pPr>
        <w:pStyle w:val="Heading2"/>
      </w:pPr>
      <w:bookmarkStart w:id="227" w:name="_Toc523651322"/>
      <w:r w:rsidRPr="0081766C">
        <w:t>Cost Efficiency – Enhancements expe</w:t>
      </w:r>
      <w:r w:rsidR="00F9476A">
        <w:t>nditure</w:t>
      </w:r>
      <w:bookmarkEnd w:id="226"/>
      <w:bookmarkEnd w:id="227"/>
    </w:p>
    <w:p w:rsidR="00ED732A" w:rsidRDefault="00123182" w:rsidP="00E97298">
      <w:r w:rsidRPr="00332164">
        <w:t>The Company’s enhancement expenditure relates to improvements in the capacity or quality of service beyond current levels.  This expenditure has been driven by statutory requirements, drinking water requirements and enhanced resilience. In support o</w:t>
      </w:r>
      <w:r>
        <w:t>f enhancements, the Company has</w:t>
      </w:r>
      <w:r w:rsidRPr="00332164">
        <w:t xml:space="preserve"> submit</w:t>
      </w:r>
      <w:r w:rsidR="00EE23E4">
        <w:t>t</w:t>
      </w:r>
      <w:r>
        <w:t>ed</w:t>
      </w:r>
      <w:r w:rsidRPr="00332164">
        <w:t xml:space="preserve"> a series of additional papers in line with Ofwat’s Cost Ad</w:t>
      </w:r>
      <w:r>
        <w:t xml:space="preserve">justment Claim proforma, included in </w:t>
      </w:r>
      <w:r w:rsidR="00BD13AB">
        <w:t>A</w:t>
      </w:r>
      <w:r>
        <w:t xml:space="preserve">ppendix </w:t>
      </w:r>
      <w:r w:rsidR="007D7444">
        <w:t>9.11 (9.11.1-17)</w:t>
      </w:r>
      <w:r>
        <w:t>. Values included are capital expenditure only, unless stated otherwise.</w:t>
      </w:r>
    </w:p>
    <w:p w:rsidR="00ED732A" w:rsidRDefault="00ED732A">
      <w:pPr>
        <w:tabs>
          <w:tab w:val="clear" w:pos="851"/>
        </w:tabs>
        <w:spacing w:after="0"/>
        <w:ind w:left="0"/>
        <w:jc w:val="left"/>
      </w:pPr>
      <w:r>
        <w:br w:type="page"/>
      </w:r>
    </w:p>
    <w:tbl>
      <w:tblPr>
        <w:tblStyle w:val="TableGrid482"/>
        <w:tblW w:w="9214" w:type="dxa"/>
        <w:tblInd w:w="704" w:type="dxa"/>
        <w:tblLook w:val="04A0" w:firstRow="1" w:lastRow="0" w:firstColumn="1" w:lastColumn="0" w:noHBand="0" w:noVBand="1"/>
      </w:tblPr>
      <w:tblGrid>
        <w:gridCol w:w="3969"/>
        <w:gridCol w:w="5245"/>
      </w:tblGrid>
      <w:tr w:rsidR="00123182" w:rsidRPr="00123182" w:rsidTr="00E97298">
        <w:tc>
          <w:tcPr>
            <w:tcW w:w="3969" w:type="dxa"/>
            <w:shd w:val="clear" w:color="auto" w:fill="2E74B5" w:themeFill="accent1" w:themeFillShade="BF"/>
          </w:tcPr>
          <w:p w:rsidR="00123182" w:rsidRPr="00123182" w:rsidRDefault="00123182" w:rsidP="00123182">
            <w:pPr>
              <w:autoSpaceDE w:val="0"/>
              <w:autoSpaceDN w:val="0"/>
              <w:adjustRightInd w:val="0"/>
              <w:spacing w:after="0"/>
              <w:ind w:left="0"/>
              <w:jc w:val="center"/>
              <w:rPr>
                <w:rFonts w:cs="Arial"/>
                <w:b/>
                <w:color w:val="FFFFFF" w:themeColor="background1"/>
                <w:sz w:val="16"/>
                <w:szCs w:val="16"/>
              </w:rPr>
            </w:pPr>
            <w:r w:rsidRPr="00123182">
              <w:rPr>
                <w:rFonts w:cs="Arial"/>
                <w:b/>
                <w:color w:val="FFFFFF" w:themeColor="background1"/>
                <w:sz w:val="16"/>
                <w:szCs w:val="16"/>
              </w:rPr>
              <w:t>Havant Thicket Winter Storage Reservoir</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highlight w:val="yellow"/>
              </w:rPr>
            </w:pPr>
            <w:r w:rsidRPr="00123182">
              <w:rPr>
                <w:rFonts w:cs="Arial"/>
                <w:b/>
                <w:color w:val="FFFFFF" w:themeColor="background1"/>
                <w:sz w:val="16"/>
                <w:szCs w:val="16"/>
              </w:rPr>
              <w:t>Value: £6</w:t>
            </w:r>
            <w:r w:rsidR="00BD13AB">
              <w:rPr>
                <w:rFonts w:cs="Arial"/>
                <w:b/>
                <w:color w:val="FFFFFF" w:themeColor="background1"/>
                <w:sz w:val="16"/>
                <w:szCs w:val="16"/>
              </w:rPr>
              <w:t>2</w:t>
            </w:r>
            <w:r w:rsidRPr="00123182">
              <w:rPr>
                <w:rFonts w:cs="Arial"/>
                <w:b/>
                <w:color w:val="FFFFFF" w:themeColor="background1"/>
                <w:sz w:val="16"/>
                <w:szCs w:val="16"/>
              </w:rPr>
              <w:t>.2</w:t>
            </w:r>
            <w:r w:rsidR="00BD13AB">
              <w:rPr>
                <w:rFonts w:cs="Arial"/>
                <w:b/>
                <w:color w:val="FFFFFF" w:themeColor="background1"/>
                <w:sz w:val="16"/>
                <w:szCs w:val="16"/>
              </w:rPr>
              <w:t>5</w:t>
            </w:r>
            <w:r w:rsidRPr="00123182">
              <w:rPr>
                <w:rFonts w:cs="Arial"/>
                <w:b/>
                <w:color w:val="FFFFFF" w:themeColor="background1"/>
                <w:sz w:val="16"/>
                <w:szCs w:val="16"/>
              </w:rPr>
              <w:t>m</w:t>
            </w:r>
          </w:p>
        </w:tc>
      </w:tr>
      <w:tr w:rsidR="00123182" w:rsidRPr="00123182" w:rsidTr="00E97298">
        <w:tc>
          <w:tcPr>
            <w:tcW w:w="3969"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 xml:space="preserve">Driver: SWS’s dWRMP19 includes a new 21Ml/d bulk supply from </w:t>
            </w:r>
            <w:r w:rsidR="00C22508">
              <w:rPr>
                <w:rFonts w:cs="Arial"/>
                <w:sz w:val="16"/>
                <w:szCs w:val="16"/>
              </w:rPr>
              <w:t>PW</w:t>
            </w:r>
            <w:r w:rsidRPr="00123182">
              <w:rPr>
                <w:rFonts w:cs="Arial"/>
                <w:sz w:val="16"/>
                <w:szCs w:val="16"/>
              </w:rPr>
              <w:t xml:space="preserve"> in response to sustainability reductions to SWS’s abstraction licences on the Lower Itchen, River Test and Candover Stream.</w:t>
            </w:r>
          </w:p>
        </w:tc>
        <w:tc>
          <w:tcPr>
            <w:tcW w:w="5245"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Enhancement: D</w:t>
            </w:r>
            <w:r w:rsidRPr="00123182">
              <w:rPr>
                <w:rFonts w:cs="Arial"/>
                <w:sz w:val="16"/>
                <w:szCs w:val="16"/>
              </w:rPr>
              <w:t xml:space="preserve">evelopment of a winter storage reservoir at Havant Thicket, for completion by 2029. The reservoir will support a major transfer of water from </w:t>
            </w:r>
            <w:r w:rsidR="00C22508">
              <w:rPr>
                <w:rFonts w:cs="Arial"/>
                <w:sz w:val="16"/>
                <w:szCs w:val="16"/>
              </w:rPr>
              <w:t>PW</w:t>
            </w:r>
            <w:r w:rsidRPr="00123182">
              <w:rPr>
                <w:rFonts w:cs="Arial"/>
                <w:sz w:val="16"/>
                <w:szCs w:val="16"/>
              </w:rPr>
              <w:t>’s area to SWS, in up to a 1:200 year drought.</w:t>
            </w:r>
          </w:p>
        </w:tc>
      </w:tr>
      <w:tr w:rsidR="00123182" w:rsidRPr="00123182" w:rsidTr="00E97298">
        <w:tc>
          <w:tcPr>
            <w:tcW w:w="9214" w:type="dxa"/>
            <w:gridSpan w:val="2"/>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Support: Southern Water and local authorities. Preferred option arising out of WRSE</w:t>
            </w:r>
          </w:p>
        </w:tc>
      </w:tr>
      <w:tr w:rsidR="00123182" w:rsidRPr="00123182" w:rsidTr="00E97298">
        <w:tc>
          <w:tcPr>
            <w:tcW w:w="3969" w:type="dxa"/>
            <w:shd w:val="clear" w:color="auto" w:fill="2E74B5" w:themeFill="accent1" w:themeFillShade="BF"/>
          </w:tcPr>
          <w:p w:rsidR="00123182" w:rsidRPr="00123182" w:rsidRDefault="00123182" w:rsidP="00123182">
            <w:pPr>
              <w:spacing w:after="0"/>
              <w:ind w:left="0"/>
              <w:jc w:val="center"/>
              <w:rPr>
                <w:rFonts w:cs="Arial"/>
                <w:b/>
                <w:color w:val="FFFFFF" w:themeColor="background1"/>
                <w:sz w:val="16"/>
                <w:szCs w:val="16"/>
              </w:rPr>
            </w:pPr>
            <w:r w:rsidRPr="00123182">
              <w:rPr>
                <w:rFonts w:cs="Arial"/>
                <w:b/>
                <w:color w:val="FFFFFF" w:themeColor="background1"/>
                <w:sz w:val="16"/>
                <w:szCs w:val="16"/>
              </w:rPr>
              <w:t>RP084 - Eels Screens</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£2.264m</w:t>
            </w:r>
          </w:p>
        </w:tc>
      </w:tr>
      <w:tr w:rsidR="00123182" w:rsidRPr="00123182" w:rsidTr="00E97298">
        <w:tc>
          <w:tcPr>
            <w:tcW w:w="3969"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Driver: The Environmental Studies Habitats Directive, ‘Eels Regulations’ 2009, require companies to protect eels from the effects of their river abstractions, where risks are high.</w:t>
            </w:r>
          </w:p>
        </w:tc>
        <w:tc>
          <w:tcPr>
            <w:tcW w:w="5245"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 xml:space="preserve">Enhancement: </w:t>
            </w:r>
            <w:r w:rsidRPr="00123182">
              <w:rPr>
                <w:rFonts w:cs="Arial"/>
                <w:sz w:val="16"/>
                <w:szCs w:val="16"/>
              </w:rPr>
              <w:t>Install screens at the Itchen river intake to prevent eels being drawn into the works during abstraction.</w:t>
            </w:r>
            <w:r w:rsidR="00AA2234">
              <w:rPr>
                <w:rFonts w:cs="Arial"/>
                <w:sz w:val="16"/>
                <w:szCs w:val="16"/>
              </w:rPr>
              <w:t xml:space="preserve">  Following discussions with the EA, we have managed to reduce the scope and reduce the cost by 50%.</w:t>
            </w:r>
          </w:p>
        </w:tc>
      </w:tr>
      <w:tr w:rsidR="00123182" w:rsidRPr="00123182" w:rsidTr="00E97298">
        <w:tc>
          <w:tcPr>
            <w:tcW w:w="9214" w:type="dxa"/>
            <w:gridSpan w:val="2"/>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Support: EA support proposed solution.</w:t>
            </w:r>
          </w:p>
        </w:tc>
      </w:tr>
      <w:tr w:rsidR="00123182" w:rsidRPr="00123182" w:rsidTr="00E97298">
        <w:tc>
          <w:tcPr>
            <w:tcW w:w="3969" w:type="dxa"/>
            <w:shd w:val="clear" w:color="auto" w:fill="2E74B5" w:themeFill="accent1" w:themeFillShade="BF"/>
          </w:tcPr>
          <w:p w:rsidR="00123182" w:rsidRPr="00123182" w:rsidRDefault="00123182" w:rsidP="00123182">
            <w:pPr>
              <w:spacing w:after="0"/>
              <w:ind w:left="0"/>
              <w:jc w:val="center"/>
              <w:rPr>
                <w:rFonts w:cs="Arial"/>
                <w:b/>
                <w:color w:val="FFFFFF" w:themeColor="background1"/>
                <w:sz w:val="16"/>
                <w:szCs w:val="16"/>
              </w:rPr>
            </w:pPr>
            <w:r w:rsidRPr="00123182">
              <w:rPr>
                <w:rFonts w:cs="Arial"/>
                <w:b/>
                <w:color w:val="FFFFFF" w:themeColor="background1"/>
                <w:sz w:val="16"/>
                <w:szCs w:val="16"/>
              </w:rPr>
              <w:t>RP077 - Catchment Management</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£0.435m (</w:t>
            </w:r>
            <w:r w:rsidR="00964B14">
              <w:rPr>
                <w:rFonts w:cs="Arial"/>
                <w:b/>
                <w:color w:val="FFFFFF" w:themeColor="background1"/>
                <w:sz w:val="16"/>
                <w:szCs w:val="16"/>
              </w:rPr>
              <w:t>Capex</w:t>
            </w:r>
            <w:r w:rsidRPr="00123182">
              <w:rPr>
                <w:rFonts w:cs="Arial"/>
                <w:b/>
                <w:color w:val="FFFFFF" w:themeColor="background1"/>
                <w:sz w:val="16"/>
                <w:szCs w:val="16"/>
              </w:rPr>
              <w:t>) £2.095m (</w:t>
            </w:r>
            <w:r w:rsidR="00964B14">
              <w:rPr>
                <w:rFonts w:cs="Arial"/>
                <w:b/>
                <w:color w:val="FFFFFF" w:themeColor="background1"/>
                <w:sz w:val="16"/>
                <w:szCs w:val="16"/>
              </w:rPr>
              <w:t>Opex</w:t>
            </w:r>
            <w:r w:rsidRPr="00123182">
              <w:rPr>
                <w:rFonts w:cs="Arial"/>
                <w:b/>
                <w:color w:val="FFFFFF" w:themeColor="background1"/>
                <w:sz w:val="16"/>
                <w:szCs w:val="16"/>
              </w:rPr>
              <w:t>)</w:t>
            </w:r>
          </w:p>
        </w:tc>
      </w:tr>
      <w:tr w:rsidR="00123182" w:rsidRPr="00123182" w:rsidTr="00E97298">
        <w:trPr>
          <w:trHeight w:val="1073"/>
        </w:trPr>
        <w:tc>
          <w:tcPr>
            <w:tcW w:w="3969"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 xml:space="preserve">Driver: </w:t>
            </w:r>
            <w:r w:rsidRPr="00123182">
              <w:rPr>
                <w:rFonts w:cs="Arial"/>
                <w:bCs/>
                <w:sz w:val="16"/>
                <w:szCs w:val="16"/>
              </w:rPr>
              <w:t xml:space="preserve">Agricultural land use is resulting in increasing spikes in ground water Nitrate levels. </w:t>
            </w:r>
            <w:r w:rsidRPr="00123182">
              <w:rPr>
                <w:rFonts w:cs="Arial"/>
                <w:sz w:val="16"/>
                <w:szCs w:val="16"/>
              </w:rPr>
              <w:t>The proposed programme will be applied to groundwater ‘safeguard zones’ identified in the Water Industry National Environment programme (WINEP).</w:t>
            </w:r>
          </w:p>
        </w:tc>
        <w:tc>
          <w:tcPr>
            <w:tcW w:w="5245"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 xml:space="preserve">Enhancement: </w:t>
            </w:r>
            <w:r w:rsidRPr="00123182">
              <w:rPr>
                <w:rFonts w:cs="Arial"/>
                <w:bCs/>
                <w:sz w:val="16"/>
                <w:szCs w:val="16"/>
              </w:rPr>
              <w:t>Catchment management schemes:</w:t>
            </w:r>
            <w:r w:rsidRPr="00123182">
              <w:rPr>
                <w:rFonts w:cs="Arial"/>
                <w:sz w:val="16"/>
                <w:szCs w:val="16"/>
              </w:rPr>
              <w:t xml:space="preserve"> incentive scheme to influence land use, soil management measures, farm improvements grants, domestic oil tank replacements scheme and farm management advice provision.</w:t>
            </w:r>
          </w:p>
        </w:tc>
      </w:tr>
      <w:tr w:rsidR="00123182" w:rsidRPr="00123182" w:rsidTr="00E97298">
        <w:tc>
          <w:tcPr>
            <w:tcW w:w="9214" w:type="dxa"/>
            <w:gridSpan w:val="2"/>
          </w:tcPr>
          <w:p w:rsidR="00123182" w:rsidRPr="00123182" w:rsidRDefault="00123182" w:rsidP="00123182">
            <w:pPr>
              <w:autoSpaceDE w:val="0"/>
              <w:autoSpaceDN w:val="0"/>
              <w:adjustRightInd w:val="0"/>
              <w:spacing w:after="0"/>
              <w:ind w:left="0"/>
              <w:jc w:val="left"/>
              <w:rPr>
                <w:rFonts w:cs="Arial"/>
                <w:color w:val="000000"/>
                <w:sz w:val="16"/>
                <w:szCs w:val="16"/>
              </w:rPr>
            </w:pPr>
            <w:r w:rsidRPr="00123182">
              <w:rPr>
                <w:rFonts w:cs="Arial"/>
                <w:color w:val="000000"/>
                <w:sz w:val="16"/>
                <w:szCs w:val="16"/>
              </w:rPr>
              <w:t xml:space="preserve">Support: </w:t>
            </w:r>
            <w:r w:rsidRPr="00123182">
              <w:rPr>
                <w:rFonts w:cs="Arial"/>
                <w:bCs/>
                <w:sz w:val="16"/>
                <w:szCs w:val="16"/>
              </w:rPr>
              <w:t>DWI</w:t>
            </w:r>
            <w:r w:rsidRPr="00123182">
              <w:rPr>
                <w:rFonts w:cs="Arial"/>
                <w:sz w:val="16"/>
                <w:szCs w:val="16"/>
              </w:rPr>
              <w:t>, EA, South Downs National Park Authority and Natural England</w:t>
            </w:r>
          </w:p>
        </w:tc>
      </w:tr>
      <w:tr w:rsidR="00123182" w:rsidRPr="00123182" w:rsidTr="00E97298">
        <w:tc>
          <w:tcPr>
            <w:tcW w:w="3969" w:type="dxa"/>
            <w:shd w:val="clear" w:color="auto" w:fill="2E74B5" w:themeFill="accent1" w:themeFillShade="BF"/>
          </w:tcPr>
          <w:p w:rsidR="00123182" w:rsidRPr="00123182" w:rsidRDefault="00123182" w:rsidP="00123182">
            <w:pPr>
              <w:spacing w:after="0"/>
              <w:ind w:left="0"/>
              <w:jc w:val="center"/>
              <w:rPr>
                <w:rFonts w:cs="Arial"/>
                <w:b/>
                <w:color w:val="FFFFFF" w:themeColor="background1"/>
                <w:sz w:val="16"/>
                <w:szCs w:val="16"/>
              </w:rPr>
            </w:pPr>
            <w:r w:rsidRPr="00123182">
              <w:rPr>
                <w:rFonts w:cs="Arial"/>
                <w:b/>
                <w:color w:val="FFFFFF" w:themeColor="background1"/>
                <w:sz w:val="16"/>
                <w:szCs w:val="16"/>
              </w:rPr>
              <w:t>WQ003 - Water Quality - Lovedean</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£1.717m</w:t>
            </w:r>
          </w:p>
        </w:tc>
      </w:tr>
      <w:tr w:rsidR="00123182" w:rsidRPr="00123182" w:rsidTr="00E97298">
        <w:tc>
          <w:tcPr>
            <w:tcW w:w="3969"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 xml:space="preserve">Driver: </w:t>
            </w:r>
            <w:r w:rsidRPr="00123182">
              <w:rPr>
                <w:rFonts w:eastAsia="Times" w:cs="Arial"/>
                <w:sz w:val="16"/>
                <w:szCs w:val="16"/>
              </w:rPr>
              <w:t>Deterioration of raw water quality: Lovedean WTW has a risk of high nitrate levels; this issue has led to the source being unavailable for extended periods of time.</w:t>
            </w:r>
          </w:p>
        </w:tc>
        <w:tc>
          <w:tcPr>
            <w:tcW w:w="5245"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 xml:space="preserve">Enhancement: </w:t>
            </w:r>
            <w:r w:rsidRPr="00123182">
              <w:rPr>
                <w:rFonts w:eastAsia="Times" w:cs="Arial"/>
                <w:sz w:val="16"/>
                <w:szCs w:val="16"/>
              </w:rPr>
              <w:t>New blending chamber and associated booster pumps at Lovedean WTW to blend water from Nelson reservoir, allowing the works to operate throughout the year.</w:t>
            </w:r>
          </w:p>
        </w:tc>
      </w:tr>
      <w:tr w:rsidR="00123182" w:rsidRPr="00123182" w:rsidTr="00E97298">
        <w:tc>
          <w:tcPr>
            <w:tcW w:w="9214" w:type="dxa"/>
            <w:gridSpan w:val="2"/>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Support: DWI have commended to support scheme.</w:t>
            </w:r>
          </w:p>
        </w:tc>
      </w:tr>
      <w:tr w:rsidR="00123182" w:rsidRPr="00123182" w:rsidTr="00E97298">
        <w:tc>
          <w:tcPr>
            <w:tcW w:w="3969" w:type="dxa"/>
            <w:shd w:val="clear" w:color="auto" w:fill="2E74B5" w:themeFill="accent1" w:themeFillShade="BF"/>
          </w:tcPr>
          <w:p w:rsidR="00123182" w:rsidRPr="00123182" w:rsidRDefault="00123182" w:rsidP="00123182">
            <w:pPr>
              <w:autoSpaceDE w:val="0"/>
              <w:autoSpaceDN w:val="0"/>
              <w:adjustRightInd w:val="0"/>
              <w:spacing w:after="0"/>
              <w:ind w:left="0"/>
              <w:jc w:val="center"/>
              <w:rPr>
                <w:rFonts w:cs="Arial"/>
                <w:b/>
                <w:color w:val="FFFFFF" w:themeColor="background1"/>
                <w:sz w:val="16"/>
                <w:szCs w:val="16"/>
              </w:rPr>
            </w:pPr>
            <w:r w:rsidRPr="00123182">
              <w:rPr>
                <w:rFonts w:cs="Arial"/>
                <w:b/>
                <w:color w:val="FFFFFF" w:themeColor="background1"/>
                <w:sz w:val="16"/>
                <w:szCs w:val="16"/>
              </w:rPr>
              <w:t>WQ018 &amp; 019 - Water Quality - Funtington</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£2.872m</w:t>
            </w:r>
          </w:p>
        </w:tc>
      </w:tr>
      <w:tr w:rsidR="00123182" w:rsidRPr="00123182" w:rsidTr="00E97298">
        <w:tc>
          <w:tcPr>
            <w:tcW w:w="3969"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 xml:space="preserve">Driver: </w:t>
            </w:r>
            <w:r w:rsidRPr="00123182">
              <w:rPr>
                <w:rFonts w:eastAsia="Times" w:cs="Arial"/>
                <w:sz w:val="16"/>
                <w:szCs w:val="16"/>
              </w:rPr>
              <w:t>Deterioration of raw water quality: Funtington WTW has a risk of cryptosporidium being present in the raw water at this site.</w:t>
            </w:r>
          </w:p>
        </w:tc>
        <w:tc>
          <w:tcPr>
            <w:tcW w:w="5245"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Enhancement: Provision of UV treatment to inactivate cryptosporidium, along with modifications to the disinfection system.</w:t>
            </w:r>
          </w:p>
        </w:tc>
      </w:tr>
      <w:tr w:rsidR="00123182" w:rsidRPr="00123182" w:rsidTr="00E97298">
        <w:tc>
          <w:tcPr>
            <w:tcW w:w="9214" w:type="dxa"/>
            <w:gridSpan w:val="2"/>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Support: DWI support is being sought</w:t>
            </w:r>
          </w:p>
        </w:tc>
      </w:tr>
      <w:tr w:rsidR="00123182" w:rsidRPr="00123182" w:rsidTr="00E97298">
        <w:tc>
          <w:tcPr>
            <w:tcW w:w="3969" w:type="dxa"/>
            <w:shd w:val="clear" w:color="auto" w:fill="2E74B5" w:themeFill="accent1" w:themeFillShade="BF"/>
          </w:tcPr>
          <w:p w:rsidR="00123182" w:rsidRPr="00123182" w:rsidRDefault="00123182" w:rsidP="00123182">
            <w:pPr>
              <w:autoSpaceDE w:val="0"/>
              <w:autoSpaceDN w:val="0"/>
              <w:adjustRightInd w:val="0"/>
              <w:spacing w:after="0"/>
              <w:ind w:left="0"/>
              <w:jc w:val="center"/>
              <w:rPr>
                <w:rFonts w:cs="Arial"/>
                <w:b/>
                <w:color w:val="FFFFFF" w:themeColor="background1"/>
                <w:sz w:val="16"/>
                <w:szCs w:val="16"/>
              </w:rPr>
            </w:pPr>
            <w:r w:rsidRPr="00123182">
              <w:rPr>
                <w:rFonts w:cs="Arial"/>
                <w:b/>
                <w:color w:val="FFFFFF" w:themeColor="background1"/>
                <w:sz w:val="16"/>
                <w:szCs w:val="16"/>
              </w:rPr>
              <w:t>WQ006 - Water Quality - Maindell</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£1.186m</w:t>
            </w:r>
          </w:p>
        </w:tc>
      </w:tr>
      <w:tr w:rsidR="00123182" w:rsidRPr="00123182" w:rsidTr="00E97298">
        <w:tc>
          <w:tcPr>
            <w:tcW w:w="3969" w:type="dxa"/>
            <w:tcBorders>
              <w:bottom w:val="single" w:sz="4" w:space="0" w:color="auto"/>
            </w:tcBorders>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 xml:space="preserve">Driver: </w:t>
            </w:r>
            <w:r w:rsidRPr="00123182">
              <w:rPr>
                <w:rFonts w:eastAsia="Times" w:cs="Arial"/>
                <w:sz w:val="16"/>
                <w:szCs w:val="16"/>
              </w:rPr>
              <w:t>Deterioration of raw water quality: Maindel</w:t>
            </w:r>
            <w:r w:rsidR="00B21B84">
              <w:rPr>
                <w:rFonts w:eastAsia="Times" w:cs="Arial"/>
                <w:sz w:val="16"/>
                <w:szCs w:val="16"/>
              </w:rPr>
              <w:t>l</w:t>
            </w:r>
            <w:r w:rsidRPr="00123182">
              <w:rPr>
                <w:rFonts w:eastAsia="Times" w:cs="Arial"/>
                <w:sz w:val="16"/>
                <w:szCs w:val="16"/>
              </w:rPr>
              <w:t xml:space="preserve"> has a risk of cryptosporidium being present in the raw water at this site.</w:t>
            </w:r>
          </w:p>
        </w:tc>
        <w:tc>
          <w:tcPr>
            <w:tcW w:w="5245" w:type="dxa"/>
            <w:tcBorders>
              <w:bottom w:val="single" w:sz="4" w:space="0" w:color="auto"/>
            </w:tcBorders>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Enhancement: Provision of UV treatment to inactivate cryptosporidium, along with modifications to the disinfection system.</w:t>
            </w:r>
          </w:p>
        </w:tc>
      </w:tr>
      <w:tr w:rsidR="00123182" w:rsidRPr="00123182" w:rsidTr="00E97298">
        <w:tc>
          <w:tcPr>
            <w:tcW w:w="9214" w:type="dxa"/>
            <w:gridSpan w:val="2"/>
            <w:tcBorders>
              <w:bottom w:val="single" w:sz="4" w:space="0" w:color="auto"/>
            </w:tcBorders>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Support: DWI support, Regulation 28 Notice</w:t>
            </w:r>
          </w:p>
        </w:tc>
      </w:tr>
      <w:tr w:rsidR="00123182" w:rsidRPr="00123182" w:rsidTr="00E97298">
        <w:tc>
          <w:tcPr>
            <w:tcW w:w="3969" w:type="dxa"/>
            <w:tcBorders>
              <w:top w:val="single" w:sz="4" w:space="0" w:color="auto"/>
            </w:tcBorders>
            <w:shd w:val="clear" w:color="auto" w:fill="2E74B5" w:themeFill="accent1" w:themeFillShade="BF"/>
          </w:tcPr>
          <w:p w:rsidR="00123182" w:rsidRPr="00123182" w:rsidRDefault="00123182" w:rsidP="00123182">
            <w:pPr>
              <w:spacing w:after="0"/>
              <w:ind w:left="0"/>
              <w:rPr>
                <w:rFonts w:cs="Arial"/>
                <w:b/>
                <w:color w:val="FFFFFF" w:themeColor="background1"/>
                <w:sz w:val="16"/>
                <w:szCs w:val="16"/>
              </w:rPr>
            </w:pPr>
            <w:r w:rsidRPr="00123182">
              <w:rPr>
                <w:rFonts w:cs="Arial"/>
                <w:b/>
                <w:color w:val="FFFFFF" w:themeColor="background1"/>
                <w:sz w:val="16"/>
                <w:szCs w:val="16"/>
              </w:rPr>
              <w:t>WQ002 - Lead pipe replacement scheme</w:t>
            </w:r>
          </w:p>
        </w:tc>
        <w:tc>
          <w:tcPr>
            <w:tcW w:w="5245" w:type="dxa"/>
            <w:tcBorders>
              <w:top w:val="single" w:sz="4" w:space="0" w:color="auto"/>
            </w:tcBorders>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£0.250m</w:t>
            </w:r>
          </w:p>
        </w:tc>
      </w:tr>
      <w:tr w:rsidR="00123182" w:rsidRPr="00123182" w:rsidTr="00E97298">
        <w:tc>
          <w:tcPr>
            <w:tcW w:w="3969"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 xml:space="preserve">Driver: </w:t>
            </w:r>
            <w:r w:rsidRPr="00123182">
              <w:rPr>
                <w:rFonts w:cs="Arial"/>
                <w:bCs/>
                <w:sz w:val="16"/>
                <w:szCs w:val="16"/>
              </w:rPr>
              <w:t>The DWI is advocating an alternative approach to removing the risk of lead in drinking water for the future.</w:t>
            </w:r>
          </w:p>
        </w:tc>
        <w:tc>
          <w:tcPr>
            <w:tcW w:w="5245"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 xml:space="preserve">Enhancement: </w:t>
            </w:r>
            <w:r w:rsidR="00C22508">
              <w:rPr>
                <w:rFonts w:cs="Arial"/>
                <w:bCs/>
                <w:sz w:val="16"/>
                <w:szCs w:val="16"/>
              </w:rPr>
              <w:t>PW</w:t>
            </w:r>
            <w:r w:rsidRPr="00123182">
              <w:rPr>
                <w:rFonts w:cs="Arial"/>
                <w:bCs/>
                <w:sz w:val="16"/>
                <w:szCs w:val="16"/>
              </w:rPr>
              <w:t xml:space="preserve"> are proposing a trial lead replacement scheme to provide information on customer uptake of and willingness to pay for lead replacement work.</w:t>
            </w:r>
          </w:p>
        </w:tc>
      </w:tr>
      <w:tr w:rsidR="00123182" w:rsidRPr="00123182" w:rsidTr="00E97298">
        <w:tc>
          <w:tcPr>
            <w:tcW w:w="9214" w:type="dxa"/>
            <w:gridSpan w:val="2"/>
          </w:tcPr>
          <w:p w:rsidR="00123182" w:rsidRPr="00123182" w:rsidRDefault="00123182" w:rsidP="00123182">
            <w:pPr>
              <w:spacing w:after="0"/>
              <w:ind w:left="0"/>
              <w:rPr>
                <w:rFonts w:cs="Arial"/>
                <w:color w:val="000000"/>
                <w:sz w:val="16"/>
                <w:szCs w:val="16"/>
              </w:rPr>
            </w:pPr>
            <w:r w:rsidRPr="00123182">
              <w:rPr>
                <w:rFonts w:cs="Arial"/>
                <w:color w:val="000000"/>
                <w:sz w:val="16"/>
                <w:szCs w:val="16"/>
              </w:rPr>
              <w:t>Support: DWI support, Regulation 28 Notice</w:t>
            </w:r>
          </w:p>
        </w:tc>
      </w:tr>
      <w:tr w:rsidR="00123182" w:rsidRPr="00123182" w:rsidTr="00E97298">
        <w:tc>
          <w:tcPr>
            <w:tcW w:w="3969" w:type="dxa"/>
            <w:shd w:val="clear" w:color="auto" w:fill="2E74B5" w:themeFill="accent1" w:themeFillShade="BF"/>
          </w:tcPr>
          <w:p w:rsidR="00123182" w:rsidRPr="00123182" w:rsidRDefault="00123182" w:rsidP="00123182">
            <w:pPr>
              <w:spacing w:after="0"/>
              <w:ind w:left="0"/>
              <w:jc w:val="center"/>
              <w:rPr>
                <w:rFonts w:cs="Arial"/>
                <w:b/>
                <w:color w:val="FFFFFF" w:themeColor="background1"/>
                <w:sz w:val="16"/>
                <w:szCs w:val="16"/>
              </w:rPr>
            </w:pPr>
            <w:r w:rsidRPr="00123182">
              <w:rPr>
                <w:rFonts w:cs="Arial"/>
                <w:b/>
                <w:color w:val="FFFFFF" w:themeColor="background1"/>
                <w:sz w:val="16"/>
                <w:szCs w:val="16"/>
              </w:rPr>
              <w:t>MS001,003,007, RP017 Resilience schemes</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£2.793m</w:t>
            </w:r>
          </w:p>
        </w:tc>
      </w:tr>
      <w:tr w:rsidR="00123182" w:rsidRPr="00123182" w:rsidTr="00E97298">
        <w:tc>
          <w:tcPr>
            <w:tcW w:w="3969"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 xml:space="preserve">Driver: </w:t>
            </w:r>
            <w:r w:rsidR="00C22508">
              <w:rPr>
                <w:rFonts w:eastAsia="Times" w:cs="Arial"/>
                <w:sz w:val="16"/>
                <w:szCs w:val="16"/>
              </w:rPr>
              <w:t>PW</w:t>
            </w:r>
            <w:r w:rsidRPr="00123182">
              <w:rPr>
                <w:rFonts w:eastAsia="Times" w:cs="Arial"/>
                <w:sz w:val="16"/>
                <w:szCs w:val="16"/>
              </w:rPr>
              <w:t xml:space="preserve"> has completed a comprehensive review of operation resilience across its supply and distribution networks. </w:t>
            </w:r>
          </w:p>
        </w:tc>
        <w:tc>
          <w:tcPr>
            <w:tcW w:w="5245" w:type="dxa"/>
          </w:tcPr>
          <w:p w:rsidR="00123182" w:rsidRPr="00123182" w:rsidRDefault="00123182" w:rsidP="0048431C">
            <w:pPr>
              <w:spacing w:after="0"/>
              <w:ind w:left="0"/>
              <w:rPr>
                <w:rFonts w:eastAsia="Times" w:cs="Arial"/>
                <w:sz w:val="16"/>
                <w:szCs w:val="16"/>
              </w:rPr>
            </w:pPr>
            <w:r w:rsidRPr="00123182">
              <w:rPr>
                <w:rFonts w:cs="Arial"/>
                <w:color w:val="000000"/>
                <w:sz w:val="16"/>
                <w:szCs w:val="16"/>
              </w:rPr>
              <w:t>Enhancement:</w:t>
            </w:r>
            <w:r w:rsidRPr="00123182">
              <w:rPr>
                <w:rFonts w:eastAsia="Times" w:cs="Arial"/>
                <w:sz w:val="16"/>
                <w:szCs w:val="16"/>
              </w:rPr>
              <w:t xml:space="preserve"> Implementing the schemes identified will reduce the predicted annual demand deficit at risk from 233M</w:t>
            </w:r>
            <w:r w:rsidR="0048431C">
              <w:rPr>
                <w:rFonts w:eastAsia="Times" w:cs="Arial"/>
                <w:sz w:val="16"/>
                <w:szCs w:val="16"/>
              </w:rPr>
              <w:t>l</w:t>
            </w:r>
            <w:r w:rsidRPr="00123182">
              <w:rPr>
                <w:rFonts w:eastAsia="Times" w:cs="Arial"/>
                <w:sz w:val="16"/>
                <w:szCs w:val="16"/>
              </w:rPr>
              <w:t xml:space="preserve"> to 47.5M</w:t>
            </w:r>
            <w:r w:rsidR="0048431C">
              <w:rPr>
                <w:rFonts w:eastAsia="Times" w:cs="Arial"/>
                <w:sz w:val="16"/>
                <w:szCs w:val="16"/>
              </w:rPr>
              <w:t>l</w:t>
            </w:r>
            <w:r w:rsidRPr="00123182">
              <w:rPr>
                <w:rFonts w:eastAsia="Times" w:cs="Arial"/>
                <w:sz w:val="16"/>
                <w:szCs w:val="16"/>
              </w:rPr>
              <w:t>.</w:t>
            </w:r>
          </w:p>
        </w:tc>
      </w:tr>
      <w:tr w:rsidR="00123182" w:rsidRPr="00123182" w:rsidTr="00E97298">
        <w:tc>
          <w:tcPr>
            <w:tcW w:w="9214" w:type="dxa"/>
            <w:gridSpan w:val="2"/>
          </w:tcPr>
          <w:p w:rsidR="00123182" w:rsidRPr="00123182" w:rsidRDefault="00123182" w:rsidP="00123182">
            <w:pPr>
              <w:spacing w:after="0"/>
              <w:ind w:left="0"/>
              <w:rPr>
                <w:rFonts w:cs="Arial"/>
                <w:color w:val="000000"/>
                <w:sz w:val="16"/>
                <w:szCs w:val="16"/>
              </w:rPr>
            </w:pPr>
            <w:r w:rsidRPr="00123182">
              <w:rPr>
                <w:rFonts w:cs="Arial"/>
                <w:color w:val="000000"/>
                <w:sz w:val="16"/>
                <w:szCs w:val="16"/>
              </w:rPr>
              <w:t xml:space="preserve">Support: DWI support, Regulation 28 Notice for scheme 1, DWI commended to support schemes 2 &amp; 4 (scheme 3 not submitted to DWI). </w:t>
            </w:r>
            <w:r w:rsidR="00C22508">
              <w:rPr>
                <w:rFonts w:cs="Arial"/>
                <w:color w:val="000000"/>
                <w:sz w:val="16"/>
                <w:szCs w:val="16"/>
              </w:rPr>
              <w:t>PW</w:t>
            </w:r>
            <w:r w:rsidRPr="00123182">
              <w:rPr>
                <w:rFonts w:cs="Arial"/>
                <w:color w:val="000000"/>
                <w:sz w:val="16"/>
                <w:szCs w:val="16"/>
              </w:rPr>
              <w:t>’s Customer Advisory Panel support.</w:t>
            </w:r>
          </w:p>
        </w:tc>
      </w:tr>
      <w:tr w:rsidR="00123182" w:rsidRPr="00123182" w:rsidTr="00E97298">
        <w:tc>
          <w:tcPr>
            <w:tcW w:w="3969" w:type="dxa"/>
            <w:shd w:val="clear" w:color="auto" w:fill="2E74B5" w:themeFill="accent1" w:themeFillShade="BF"/>
          </w:tcPr>
          <w:p w:rsidR="00123182" w:rsidRPr="00123182" w:rsidRDefault="00123182" w:rsidP="00123182">
            <w:pPr>
              <w:autoSpaceDE w:val="0"/>
              <w:autoSpaceDN w:val="0"/>
              <w:adjustRightInd w:val="0"/>
              <w:spacing w:after="0"/>
              <w:ind w:left="0"/>
              <w:jc w:val="center"/>
              <w:rPr>
                <w:rFonts w:cs="Arial"/>
                <w:b/>
                <w:color w:val="FFFFFF" w:themeColor="background1"/>
                <w:sz w:val="16"/>
                <w:szCs w:val="16"/>
              </w:rPr>
            </w:pPr>
            <w:r w:rsidRPr="00123182">
              <w:rPr>
                <w:rFonts w:cs="Arial"/>
                <w:b/>
                <w:color w:val="FFFFFF" w:themeColor="background1"/>
                <w:sz w:val="16"/>
                <w:szCs w:val="16"/>
              </w:rPr>
              <w:t>RP082 - WRMP Leakage Reduction</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£1.547m</w:t>
            </w:r>
          </w:p>
        </w:tc>
      </w:tr>
      <w:tr w:rsidR="00123182" w:rsidRPr="00123182" w:rsidTr="00E97298">
        <w:tc>
          <w:tcPr>
            <w:tcW w:w="3969" w:type="dxa"/>
          </w:tcPr>
          <w:p w:rsidR="00123182" w:rsidRPr="00123182" w:rsidRDefault="00123182" w:rsidP="00123182">
            <w:pPr>
              <w:spacing w:after="0"/>
              <w:ind w:left="0"/>
              <w:rPr>
                <w:rFonts w:eastAsia="Times" w:cs="Arial"/>
                <w:color w:val="000000"/>
                <w:sz w:val="16"/>
                <w:szCs w:val="16"/>
              </w:rPr>
            </w:pPr>
            <w:r w:rsidRPr="00123182">
              <w:rPr>
                <w:rFonts w:cs="Arial"/>
                <w:sz w:val="16"/>
                <w:szCs w:val="16"/>
              </w:rPr>
              <w:t xml:space="preserve">Driver: </w:t>
            </w:r>
            <w:r w:rsidRPr="00123182">
              <w:rPr>
                <w:rFonts w:eastAsia="Times" w:cs="Arial"/>
                <w:color w:val="000000"/>
                <w:sz w:val="16"/>
                <w:szCs w:val="16"/>
              </w:rPr>
              <w:t xml:space="preserve">The leakage strategy for AMP7 has identified a need to reduce leakage by 15%, 4.7 Ml/d. </w:t>
            </w:r>
          </w:p>
        </w:tc>
        <w:tc>
          <w:tcPr>
            <w:tcW w:w="5245"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 xml:space="preserve">Enhancement: </w:t>
            </w:r>
            <w:r w:rsidR="00C22508">
              <w:rPr>
                <w:rFonts w:eastAsia="Times" w:cs="Arial"/>
                <w:sz w:val="16"/>
                <w:szCs w:val="16"/>
              </w:rPr>
              <w:t>PW</w:t>
            </w:r>
            <w:r w:rsidRPr="00123182">
              <w:rPr>
                <w:rFonts w:eastAsia="Times" w:cs="Arial"/>
                <w:sz w:val="16"/>
                <w:szCs w:val="16"/>
              </w:rPr>
              <w:t xml:space="preserve"> is proposing to deploy fixed network monitoring across its distribution system to improve leak detection.</w:t>
            </w:r>
          </w:p>
        </w:tc>
      </w:tr>
      <w:tr w:rsidR="00123182" w:rsidRPr="00123182" w:rsidTr="00E97298">
        <w:tc>
          <w:tcPr>
            <w:tcW w:w="9214" w:type="dxa"/>
            <w:gridSpan w:val="2"/>
          </w:tcPr>
          <w:p w:rsidR="00123182" w:rsidRPr="00123182" w:rsidRDefault="00123182" w:rsidP="00123182">
            <w:pPr>
              <w:spacing w:after="0"/>
              <w:ind w:left="0"/>
              <w:rPr>
                <w:rFonts w:cs="Arial"/>
                <w:color w:val="000000"/>
                <w:sz w:val="16"/>
                <w:szCs w:val="16"/>
              </w:rPr>
            </w:pPr>
            <w:r w:rsidRPr="00123182">
              <w:rPr>
                <w:rFonts w:cs="Arial"/>
                <w:color w:val="000000"/>
                <w:sz w:val="16"/>
                <w:szCs w:val="16"/>
              </w:rPr>
              <w:t xml:space="preserve">Support: </w:t>
            </w:r>
            <w:r w:rsidR="00E76864">
              <w:rPr>
                <w:rFonts w:cs="Arial"/>
                <w:color w:val="000000"/>
                <w:sz w:val="16"/>
                <w:szCs w:val="16"/>
              </w:rPr>
              <w:t>DEFRA</w:t>
            </w:r>
            <w:r w:rsidRPr="00123182">
              <w:rPr>
                <w:rFonts w:cs="Arial"/>
                <w:color w:val="000000"/>
                <w:sz w:val="16"/>
                <w:szCs w:val="16"/>
              </w:rPr>
              <w:t>, EA, Ofwat, CAP &amp; WRMP customer feedback all support the leakage target</w:t>
            </w:r>
          </w:p>
        </w:tc>
      </w:tr>
      <w:tr w:rsidR="00123182" w:rsidRPr="00123182" w:rsidTr="00E97298">
        <w:tc>
          <w:tcPr>
            <w:tcW w:w="3969" w:type="dxa"/>
            <w:shd w:val="clear" w:color="auto" w:fill="2E74B5" w:themeFill="accent1" w:themeFillShade="BF"/>
          </w:tcPr>
          <w:p w:rsidR="00123182" w:rsidRPr="00123182" w:rsidRDefault="00123182" w:rsidP="00123182">
            <w:pPr>
              <w:spacing w:after="0"/>
              <w:ind w:left="0"/>
              <w:jc w:val="center"/>
              <w:rPr>
                <w:rFonts w:cs="Arial"/>
                <w:b/>
                <w:color w:val="FFFFFF" w:themeColor="background1"/>
                <w:sz w:val="16"/>
                <w:szCs w:val="16"/>
              </w:rPr>
            </w:pPr>
            <w:r w:rsidRPr="00123182">
              <w:rPr>
                <w:rFonts w:cs="Arial"/>
                <w:b/>
                <w:color w:val="FFFFFF" w:themeColor="background1"/>
                <w:sz w:val="16"/>
                <w:szCs w:val="16"/>
              </w:rPr>
              <w:t>RP015 - Meter options and not for revenue</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£5.229m</w:t>
            </w:r>
          </w:p>
        </w:tc>
      </w:tr>
      <w:tr w:rsidR="00123182" w:rsidRPr="00123182" w:rsidTr="00E97298">
        <w:tc>
          <w:tcPr>
            <w:tcW w:w="3969" w:type="dxa"/>
          </w:tcPr>
          <w:p w:rsidR="00123182" w:rsidRPr="00123182" w:rsidRDefault="00123182" w:rsidP="00123182">
            <w:pPr>
              <w:spacing w:after="0"/>
              <w:ind w:left="0"/>
              <w:rPr>
                <w:rFonts w:cs="Arial"/>
                <w:color w:val="000000"/>
                <w:sz w:val="16"/>
                <w:szCs w:val="16"/>
              </w:rPr>
            </w:pPr>
            <w:r w:rsidRPr="00123182">
              <w:rPr>
                <w:rFonts w:cs="Arial"/>
                <w:sz w:val="16"/>
                <w:szCs w:val="16"/>
              </w:rPr>
              <w:t xml:space="preserve">Driver: </w:t>
            </w:r>
            <w:r w:rsidRPr="00123182">
              <w:rPr>
                <w:rFonts w:cs="Arial"/>
                <w:color w:val="000000"/>
                <w:sz w:val="16"/>
                <w:szCs w:val="16"/>
              </w:rPr>
              <w:t>The</w:t>
            </w:r>
            <w:r w:rsidRPr="00123182">
              <w:rPr>
                <w:rFonts w:eastAsia="Times" w:cs="Arial"/>
                <w:sz w:val="16"/>
                <w:szCs w:val="16"/>
              </w:rPr>
              <w:t xml:space="preserve"> 1999 Water Industry Act </w:t>
            </w:r>
            <w:r w:rsidRPr="00123182">
              <w:rPr>
                <w:rFonts w:cs="Arial"/>
                <w:color w:val="000000"/>
                <w:sz w:val="16"/>
                <w:szCs w:val="16"/>
              </w:rPr>
              <w:t>includes an obligation for companies to provide free water meters to customers, WRMP includes 25,000 meters to help in driving down PCC.</w:t>
            </w:r>
          </w:p>
        </w:tc>
        <w:tc>
          <w:tcPr>
            <w:tcW w:w="5245" w:type="dxa"/>
          </w:tcPr>
          <w:p w:rsidR="00123182" w:rsidRPr="00123182" w:rsidRDefault="00123182" w:rsidP="00123182">
            <w:pPr>
              <w:spacing w:after="0"/>
              <w:ind w:left="0"/>
              <w:rPr>
                <w:rFonts w:cs="Arial"/>
                <w:color w:val="1F497D"/>
                <w:sz w:val="16"/>
                <w:szCs w:val="16"/>
              </w:rPr>
            </w:pPr>
            <w:r w:rsidRPr="00123182">
              <w:rPr>
                <w:rFonts w:cs="Arial"/>
                <w:color w:val="000000"/>
                <w:sz w:val="16"/>
                <w:szCs w:val="16"/>
              </w:rPr>
              <w:t xml:space="preserve">Enhancement: </w:t>
            </w:r>
            <w:r w:rsidRPr="00123182">
              <w:rPr>
                <w:rFonts w:eastAsia="Times" w:cs="Arial"/>
                <w:sz w:val="16"/>
                <w:szCs w:val="16"/>
              </w:rPr>
              <w:t xml:space="preserve">25,000 new meters, 12,890 meter optants, 10,610 selective change of occupier &amp; 1,500 void properties. Installation of </w:t>
            </w:r>
            <w:r w:rsidRPr="00123182">
              <w:rPr>
                <w:rFonts w:cs="Arial"/>
                <w:color w:val="000000"/>
                <w:sz w:val="16"/>
                <w:szCs w:val="16"/>
              </w:rPr>
              <w:t>2,500 not for revenue meters to incentivise customers to move to a measured charge.</w:t>
            </w:r>
          </w:p>
        </w:tc>
      </w:tr>
      <w:tr w:rsidR="00123182" w:rsidRPr="00123182" w:rsidTr="00E97298">
        <w:tc>
          <w:tcPr>
            <w:tcW w:w="9214" w:type="dxa"/>
            <w:gridSpan w:val="2"/>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Support: The EA, Wildlife Trust, Natural England and local planning authorities all support increased metering, in responses to the draft WRMP, to reduce PCC</w:t>
            </w:r>
          </w:p>
        </w:tc>
      </w:tr>
      <w:tr w:rsidR="00123182" w:rsidRPr="00123182" w:rsidTr="00E97298">
        <w:tc>
          <w:tcPr>
            <w:tcW w:w="3969" w:type="dxa"/>
            <w:shd w:val="clear" w:color="auto" w:fill="2E74B5" w:themeFill="accent1" w:themeFillShade="BF"/>
          </w:tcPr>
          <w:p w:rsidR="00123182" w:rsidRPr="00123182" w:rsidRDefault="00123182" w:rsidP="00123182">
            <w:pPr>
              <w:spacing w:after="0"/>
              <w:ind w:left="0"/>
              <w:jc w:val="center"/>
              <w:rPr>
                <w:rFonts w:cs="Arial"/>
                <w:b/>
                <w:color w:val="FFFFFF" w:themeColor="background1"/>
                <w:sz w:val="16"/>
                <w:szCs w:val="16"/>
              </w:rPr>
            </w:pPr>
            <w:r w:rsidRPr="00123182">
              <w:rPr>
                <w:rFonts w:cs="Arial"/>
                <w:b/>
                <w:color w:val="FFFFFF" w:themeColor="background1"/>
                <w:sz w:val="16"/>
                <w:szCs w:val="16"/>
              </w:rPr>
              <w:t>RP016 - New mains growth</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£4.922m</w:t>
            </w:r>
          </w:p>
        </w:tc>
      </w:tr>
      <w:tr w:rsidR="00123182" w:rsidRPr="00123182" w:rsidTr="00E97298">
        <w:tc>
          <w:tcPr>
            <w:tcW w:w="3969"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 xml:space="preserve">Driver: </w:t>
            </w:r>
            <w:r w:rsidRPr="00123182">
              <w:rPr>
                <w:rFonts w:eastAsia="Times" w:cs="Arial"/>
                <w:sz w:val="16"/>
                <w:szCs w:val="16"/>
              </w:rPr>
              <w:t>The number of new properties expected to be built between 2020 and 2025 is 9,629 (Councils 25yr local development plans)</w:t>
            </w:r>
          </w:p>
        </w:tc>
        <w:tc>
          <w:tcPr>
            <w:tcW w:w="5245"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 xml:space="preserve">Enhancement: </w:t>
            </w:r>
            <w:r w:rsidRPr="00123182">
              <w:rPr>
                <w:rFonts w:eastAsia="Times" w:cs="Arial"/>
                <w:sz w:val="16"/>
                <w:szCs w:val="16"/>
              </w:rPr>
              <w:t>9,629 new properties is estimated to require approximately 62.8km of new mains to be installed in AMP7.</w:t>
            </w:r>
          </w:p>
        </w:tc>
      </w:tr>
      <w:tr w:rsidR="00123182" w:rsidRPr="00123182" w:rsidTr="00E97298">
        <w:tc>
          <w:tcPr>
            <w:tcW w:w="9214" w:type="dxa"/>
            <w:gridSpan w:val="2"/>
          </w:tcPr>
          <w:p w:rsidR="00123182" w:rsidRPr="00123182" w:rsidRDefault="00123182" w:rsidP="00123182">
            <w:pPr>
              <w:spacing w:after="0"/>
              <w:ind w:left="0"/>
              <w:rPr>
                <w:rFonts w:cs="Arial"/>
                <w:color w:val="000000"/>
                <w:sz w:val="16"/>
                <w:szCs w:val="16"/>
              </w:rPr>
            </w:pPr>
            <w:r w:rsidRPr="00123182">
              <w:rPr>
                <w:rFonts w:cs="Arial"/>
                <w:color w:val="000000"/>
                <w:sz w:val="16"/>
                <w:szCs w:val="16"/>
              </w:rPr>
              <w:t>Support: Water Industry Act obligation</w:t>
            </w:r>
          </w:p>
        </w:tc>
      </w:tr>
      <w:tr w:rsidR="00123182" w:rsidRPr="00123182" w:rsidTr="00E97298">
        <w:tc>
          <w:tcPr>
            <w:tcW w:w="3969" w:type="dxa"/>
            <w:shd w:val="clear" w:color="auto" w:fill="2E74B5" w:themeFill="accent1" w:themeFillShade="BF"/>
          </w:tcPr>
          <w:p w:rsidR="00123182" w:rsidRPr="00123182" w:rsidRDefault="00123182" w:rsidP="00123182">
            <w:pPr>
              <w:spacing w:after="0"/>
              <w:ind w:left="0"/>
              <w:jc w:val="center"/>
              <w:rPr>
                <w:rFonts w:cs="Arial"/>
                <w:b/>
                <w:color w:val="FFFFFF" w:themeColor="background1"/>
                <w:sz w:val="16"/>
                <w:szCs w:val="16"/>
              </w:rPr>
            </w:pPr>
            <w:r w:rsidRPr="00123182">
              <w:rPr>
                <w:rFonts w:cs="Arial"/>
                <w:b/>
                <w:color w:val="FFFFFF" w:themeColor="background1"/>
                <w:sz w:val="16"/>
                <w:szCs w:val="16"/>
              </w:rPr>
              <w:t>DO002&amp;003 Deployable Output Schemes</w:t>
            </w:r>
          </w:p>
        </w:tc>
        <w:tc>
          <w:tcPr>
            <w:tcW w:w="5245" w:type="dxa"/>
            <w:shd w:val="clear" w:color="auto" w:fill="2E74B5" w:themeFill="accent1" w:themeFillShade="BF"/>
          </w:tcPr>
          <w:p w:rsidR="00123182" w:rsidRPr="00123182" w:rsidRDefault="00123182" w:rsidP="00BD13AB">
            <w:pPr>
              <w:spacing w:after="0"/>
              <w:jc w:val="right"/>
              <w:rPr>
                <w:rFonts w:cs="Arial"/>
                <w:b/>
                <w:color w:val="FFFFFF" w:themeColor="background1"/>
                <w:sz w:val="16"/>
                <w:szCs w:val="16"/>
              </w:rPr>
            </w:pPr>
            <w:r w:rsidRPr="00123182">
              <w:rPr>
                <w:rFonts w:cs="Arial"/>
                <w:b/>
                <w:color w:val="FFFFFF" w:themeColor="background1"/>
                <w:sz w:val="16"/>
                <w:szCs w:val="16"/>
              </w:rPr>
              <w:t>Value: £2.655m</w:t>
            </w:r>
          </w:p>
        </w:tc>
      </w:tr>
      <w:tr w:rsidR="00123182" w:rsidRPr="00123182" w:rsidTr="00E97298">
        <w:tc>
          <w:tcPr>
            <w:tcW w:w="3969"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sz w:val="16"/>
                <w:szCs w:val="16"/>
              </w:rPr>
              <w:t xml:space="preserve">Driver: Bulk supplies to SWS have reduced the deployable output head room by 20Ml/d. A number of </w:t>
            </w:r>
            <w:r w:rsidR="00C22508">
              <w:rPr>
                <w:rFonts w:cs="Arial"/>
                <w:sz w:val="16"/>
                <w:szCs w:val="16"/>
              </w:rPr>
              <w:t>PW</w:t>
            </w:r>
            <w:r w:rsidRPr="00123182">
              <w:rPr>
                <w:rFonts w:cs="Arial"/>
                <w:sz w:val="16"/>
                <w:szCs w:val="16"/>
              </w:rPr>
              <w:t>’s abstraction licences are not currently being fully utilised.</w:t>
            </w:r>
          </w:p>
        </w:tc>
        <w:tc>
          <w:tcPr>
            <w:tcW w:w="5245" w:type="dxa"/>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 xml:space="preserve">Enhancement: </w:t>
            </w:r>
            <w:r w:rsidRPr="00123182">
              <w:rPr>
                <w:rFonts w:cs="Arial"/>
                <w:sz w:val="16"/>
                <w:szCs w:val="16"/>
              </w:rPr>
              <w:t>Increasing the deployable output at Funtington, Northbrook, West Street and Worlds End is intended to provide an increased deployable output of 23.5Ml/d.</w:t>
            </w:r>
          </w:p>
        </w:tc>
      </w:tr>
      <w:tr w:rsidR="00123182" w:rsidRPr="00123182" w:rsidTr="00E97298">
        <w:tc>
          <w:tcPr>
            <w:tcW w:w="9214" w:type="dxa"/>
            <w:gridSpan w:val="2"/>
          </w:tcPr>
          <w:p w:rsidR="00123182" w:rsidRPr="00123182" w:rsidRDefault="00123182" w:rsidP="00123182">
            <w:pPr>
              <w:autoSpaceDE w:val="0"/>
              <w:autoSpaceDN w:val="0"/>
              <w:adjustRightInd w:val="0"/>
              <w:spacing w:after="0"/>
              <w:ind w:left="0"/>
              <w:rPr>
                <w:rFonts w:cs="Arial"/>
                <w:color w:val="000000"/>
                <w:sz w:val="16"/>
                <w:szCs w:val="16"/>
              </w:rPr>
            </w:pPr>
            <w:r w:rsidRPr="00123182">
              <w:rPr>
                <w:rFonts w:cs="Arial"/>
                <w:color w:val="000000"/>
                <w:sz w:val="16"/>
                <w:szCs w:val="16"/>
              </w:rPr>
              <w:t>Support: CBA, Southern Water, WRMP customer feedback</w:t>
            </w:r>
          </w:p>
        </w:tc>
      </w:tr>
    </w:tbl>
    <w:p w:rsidR="00E97298" w:rsidRPr="00453F64" w:rsidRDefault="00292A49" w:rsidP="00453F64">
      <w:pPr>
        <w:rPr>
          <w:color w:val="2E74B5" w:themeColor="accent1" w:themeShade="BF"/>
        </w:rPr>
      </w:pPr>
      <w:r>
        <w:br w:type="page"/>
      </w:r>
      <w:r w:rsidR="00E97298" w:rsidRPr="00453F64">
        <w:rPr>
          <w:color w:val="2E74B5" w:themeColor="accent1" w:themeShade="BF"/>
        </w:rPr>
        <w:t>Appendices relevant to this chapter</w:t>
      </w:r>
    </w:p>
    <w:tbl>
      <w:tblPr>
        <w:tblStyle w:val="TableGrid22"/>
        <w:tblW w:w="0" w:type="auto"/>
        <w:jc w:val="center"/>
        <w:tblLook w:val="04A0" w:firstRow="1" w:lastRow="0" w:firstColumn="1" w:lastColumn="0" w:noHBand="0" w:noVBand="1"/>
      </w:tblPr>
      <w:tblGrid>
        <w:gridCol w:w="1838"/>
        <w:gridCol w:w="4173"/>
        <w:gridCol w:w="1781"/>
      </w:tblGrid>
      <w:tr w:rsidR="00292A49" w:rsidRPr="001E0DCD" w:rsidTr="007F5905">
        <w:trPr>
          <w:jc w:val="center"/>
        </w:trPr>
        <w:tc>
          <w:tcPr>
            <w:tcW w:w="1838" w:type="dxa"/>
            <w:shd w:val="clear" w:color="auto" w:fill="2E74B5" w:themeFill="accent1" w:themeFillShade="BF"/>
          </w:tcPr>
          <w:p w:rsidR="00292A49" w:rsidRPr="001E0DCD" w:rsidRDefault="00292A49" w:rsidP="007F5905">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292A49" w:rsidRPr="001E0DCD" w:rsidRDefault="00292A49" w:rsidP="007F5905">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292A49" w:rsidRPr="001E0DCD" w:rsidRDefault="00292A49" w:rsidP="007F5905">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292A49" w:rsidRPr="001E0DCD" w:rsidTr="007F5905">
        <w:trPr>
          <w:jc w:val="center"/>
        </w:trPr>
        <w:tc>
          <w:tcPr>
            <w:tcW w:w="1838" w:type="dxa"/>
          </w:tcPr>
          <w:p w:rsidR="00292A49" w:rsidRPr="00D02E27" w:rsidRDefault="00292A49" w:rsidP="007F5905">
            <w:pPr>
              <w:tabs>
                <w:tab w:val="clear" w:pos="851"/>
              </w:tabs>
              <w:spacing w:after="0"/>
              <w:ind w:left="0"/>
              <w:jc w:val="left"/>
              <w:rPr>
                <w:rFonts w:cs="Arial"/>
                <w:sz w:val="16"/>
                <w:szCs w:val="16"/>
              </w:rPr>
            </w:pPr>
            <w:r w:rsidRPr="00D02E27">
              <w:rPr>
                <w:sz w:val="16"/>
                <w:szCs w:val="16"/>
              </w:rPr>
              <w:t xml:space="preserve">9.0 </w:t>
            </w:r>
          </w:p>
        </w:tc>
        <w:tc>
          <w:tcPr>
            <w:tcW w:w="4173" w:type="dxa"/>
          </w:tcPr>
          <w:p w:rsidR="00292A49" w:rsidRPr="00D02E27" w:rsidRDefault="00292A49" w:rsidP="007F5905">
            <w:pPr>
              <w:tabs>
                <w:tab w:val="clear" w:pos="851"/>
              </w:tabs>
              <w:spacing w:after="0"/>
              <w:ind w:left="0"/>
              <w:jc w:val="left"/>
              <w:rPr>
                <w:rFonts w:cs="Arial"/>
                <w:sz w:val="16"/>
                <w:szCs w:val="16"/>
              </w:rPr>
            </w:pPr>
            <w:r w:rsidRPr="00D02E27">
              <w:rPr>
                <w:sz w:val="16"/>
                <w:szCs w:val="16"/>
              </w:rPr>
              <w:t>WAP-A0  Wholesale Asset Plan - Summary</w:t>
            </w:r>
          </w:p>
        </w:tc>
        <w:tc>
          <w:tcPr>
            <w:tcW w:w="1781" w:type="dxa"/>
          </w:tcPr>
          <w:p w:rsidR="00292A49" w:rsidRPr="001E0DCD" w:rsidRDefault="00292A49" w:rsidP="007F5905">
            <w:pPr>
              <w:tabs>
                <w:tab w:val="clear" w:pos="851"/>
              </w:tabs>
              <w:spacing w:after="0"/>
              <w:ind w:left="0"/>
              <w:jc w:val="left"/>
              <w:rPr>
                <w:rFonts w:cs="Arial"/>
                <w:sz w:val="16"/>
                <w:szCs w:val="16"/>
              </w:rPr>
            </w:pPr>
            <w:r>
              <w:rPr>
                <w:rFonts w:cs="Arial"/>
                <w:sz w:val="16"/>
                <w:szCs w:val="16"/>
              </w:rPr>
              <w:t>August 2018</w:t>
            </w:r>
          </w:p>
        </w:tc>
      </w:tr>
      <w:tr w:rsidR="00D725BB" w:rsidRPr="001E0DCD" w:rsidTr="007F5905">
        <w:trPr>
          <w:jc w:val="center"/>
        </w:trPr>
        <w:tc>
          <w:tcPr>
            <w:tcW w:w="1838" w:type="dxa"/>
          </w:tcPr>
          <w:p w:rsidR="00D725BB" w:rsidRPr="00D02E27" w:rsidRDefault="00D725BB" w:rsidP="007F5905">
            <w:pPr>
              <w:tabs>
                <w:tab w:val="clear" w:pos="851"/>
              </w:tabs>
              <w:spacing w:after="0"/>
              <w:ind w:left="0"/>
              <w:jc w:val="left"/>
              <w:rPr>
                <w:sz w:val="16"/>
                <w:szCs w:val="16"/>
              </w:rPr>
            </w:pPr>
            <w:r>
              <w:rPr>
                <w:sz w:val="16"/>
                <w:szCs w:val="16"/>
              </w:rPr>
              <w:t>9.0</w:t>
            </w:r>
          </w:p>
        </w:tc>
        <w:tc>
          <w:tcPr>
            <w:tcW w:w="4173" w:type="dxa"/>
          </w:tcPr>
          <w:p w:rsidR="00D725BB" w:rsidRPr="00D02E27" w:rsidRDefault="00D725BB" w:rsidP="007F5905">
            <w:pPr>
              <w:tabs>
                <w:tab w:val="clear" w:pos="851"/>
              </w:tabs>
              <w:spacing w:after="0"/>
              <w:ind w:left="0"/>
              <w:jc w:val="left"/>
              <w:rPr>
                <w:sz w:val="16"/>
                <w:szCs w:val="16"/>
              </w:rPr>
            </w:pPr>
            <w:r>
              <w:rPr>
                <w:sz w:val="16"/>
                <w:szCs w:val="16"/>
              </w:rPr>
              <w:t>WAP40 Section 5</w:t>
            </w:r>
          </w:p>
        </w:tc>
        <w:tc>
          <w:tcPr>
            <w:tcW w:w="1781" w:type="dxa"/>
          </w:tcPr>
          <w:p w:rsidR="00D725BB" w:rsidRDefault="00D725BB" w:rsidP="007F5905">
            <w:pPr>
              <w:tabs>
                <w:tab w:val="clear" w:pos="851"/>
              </w:tabs>
              <w:spacing w:after="0"/>
              <w:ind w:left="0"/>
              <w:jc w:val="left"/>
              <w:rPr>
                <w:rFonts w:cs="Arial"/>
                <w:sz w:val="16"/>
                <w:szCs w:val="16"/>
              </w:rPr>
            </w:pPr>
            <w:r>
              <w:rPr>
                <w:rFonts w:cs="Arial"/>
                <w:sz w:val="16"/>
                <w:szCs w:val="16"/>
              </w:rPr>
              <w:t>August 2018</w:t>
            </w:r>
          </w:p>
        </w:tc>
      </w:tr>
      <w:tr w:rsidR="00292A49" w:rsidRPr="001E0DCD" w:rsidTr="007F5905">
        <w:trPr>
          <w:jc w:val="center"/>
        </w:trPr>
        <w:tc>
          <w:tcPr>
            <w:tcW w:w="1838" w:type="dxa"/>
          </w:tcPr>
          <w:p w:rsidR="00292A49" w:rsidRPr="00D02E27" w:rsidRDefault="00292A49" w:rsidP="007F5905">
            <w:pPr>
              <w:tabs>
                <w:tab w:val="clear" w:pos="851"/>
              </w:tabs>
              <w:spacing w:after="0"/>
              <w:ind w:left="0"/>
              <w:jc w:val="left"/>
              <w:rPr>
                <w:rFonts w:cs="Arial"/>
                <w:sz w:val="16"/>
                <w:szCs w:val="16"/>
              </w:rPr>
            </w:pPr>
            <w:r w:rsidRPr="00D02E27">
              <w:rPr>
                <w:sz w:val="16"/>
                <w:szCs w:val="16"/>
              </w:rPr>
              <w:t>9.1.2</w:t>
            </w:r>
          </w:p>
        </w:tc>
        <w:tc>
          <w:tcPr>
            <w:tcW w:w="4173" w:type="dxa"/>
          </w:tcPr>
          <w:p w:rsidR="00292A49" w:rsidRPr="00D02E27" w:rsidRDefault="00292A49" w:rsidP="007F5905">
            <w:pPr>
              <w:tabs>
                <w:tab w:val="clear" w:pos="851"/>
              </w:tabs>
              <w:spacing w:after="0"/>
              <w:ind w:left="0"/>
              <w:jc w:val="left"/>
              <w:rPr>
                <w:rFonts w:cs="Arial"/>
                <w:sz w:val="16"/>
                <w:szCs w:val="16"/>
              </w:rPr>
            </w:pPr>
            <w:r>
              <w:rPr>
                <w:rFonts w:cs="Arial"/>
                <w:sz w:val="16"/>
                <w:szCs w:val="16"/>
              </w:rPr>
              <w:t xml:space="preserve">Wholesale Asset Plan - </w:t>
            </w:r>
            <w:r w:rsidRPr="00D02E27">
              <w:rPr>
                <w:rFonts w:cs="Arial"/>
                <w:sz w:val="16"/>
                <w:szCs w:val="16"/>
              </w:rPr>
              <w:t>Document Structure</w:t>
            </w:r>
          </w:p>
        </w:tc>
        <w:tc>
          <w:tcPr>
            <w:tcW w:w="1781" w:type="dxa"/>
          </w:tcPr>
          <w:p w:rsidR="00292A49" w:rsidRPr="001E0DCD" w:rsidRDefault="00292A49" w:rsidP="007F5905">
            <w:pPr>
              <w:tabs>
                <w:tab w:val="clear" w:pos="851"/>
              </w:tabs>
              <w:spacing w:after="0"/>
              <w:ind w:left="0"/>
              <w:jc w:val="left"/>
              <w:rPr>
                <w:rFonts w:cs="Arial"/>
                <w:sz w:val="16"/>
                <w:szCs w:val="16"/>
              </w:rPr>
            </w:pPr>
            <w:r>
              <w:rPr>
                <w:rFonts w:cs="Arial"/>
                <w:sz w:val="16"/>
                <w:szCs w:val="16"/>
              </w:rPr>
              <w:t>August 2018</w:t>
            </w:r>
          </w:p>
        </w:tc>
      </w:tr>
      <w:tr w:rsidR="00292A49" w:rsidRPr="001E0DCD" w:rsidTr="007F5905">
        <w:trPr>
          <w:jc w:val="center"/>
        </w:trPr>
        <w:tc>
          <w:tcPr>
            <w:tcW w:w="1838" w:type="dxa"/>
          </w:tcPr>
          <w:p w:rsidR="00292A49" w:rsidRPr="00D02E27" w:rsidRDefault="00292A49" w:rsidP="007F5905">
            <w:pPr>
              <w:tabs>
                <w:tab w:val="clear" w:pos="851"/>
              </w:tabs>
              <w:spacing w:after="0"/>
              <w:ind w:left="0"/>
              <w:jc w:val="left"/>
              <w:rPr>
                <w:rFonts w:cs="Arial"/>
                <w:sz w:val="16"/>
                <w:szCs w:val="16"/>
              </w:rPr>
            </w:pPr>
            <w:r w:rsidRPr="00D02E27">
              <w:rPr>
                <w:rFonts w:cs="Arial"/>
                <w:sz w:val="16"/>
                <w:szCs w:val="16"/>
              </w:rPr>
              <w:t>9.1.3</w:t>
            </w:r>
          </w:p>
        </w:tc>
        <w:tc>
          <w:tcPr>
            <w:tcW w:w="4173" w:type="dxa"/>
          </w:tcPr>
          <w:p w:rsidR="00292A49" w:rsidRPr="00D02E27" w:rsidRDefault="00292A49" w:rsidP="007F5905">
            <w:pPr>
              <w:tabs>
                <w:tab w:val="clear" w:pos="851"/>
              </w:tabs>
              <w:spacing w:after="0"/>
              <w:ind w:left="0"/>
              <w:jc w:val="left"/>
              <w:rPr>
                <w:rFonts w:cs="Arial"/>
                <w:sz w:val="16"/>
                <w:szCs w:val="16"/>
              </w:rPr>
            </w:pPr>
            <w:r w:rsidRPr="00D02E27">
              <w:rPr>
                <w:rFonts w:cs="Arial"/>
                <w:sz w:val="16"/>
                <w:szCs w:val="16"/>
              </w:rPr>
              <w:t>Business Plan - Cost Lines Table</w:t>
            </w:r>
          </w:p>
        </w:tc>
        <w:tc>
          <w:tcPr>
            <w:tcW w:w="1781" w:type="dxa"/>
          </w:tcPr>
          <w:p w:rsidR="00292A49" w:rsidRPr="001E0DCD" w:rsidRDefault="00292A49" w:rsidP="007F5905">
            <w:pPr>
              <w:tabs>
                <w:tab w:val="clear" w:pos="851"/>
              </w:tabs>
              <w:spacing w:after="0"/>
              <w:ind w:left="0"/>
              <w:jc w:val="left"/>
              <w:rPr>
                <w:rFonts w:cs="Arial"/>
                <w:sz w:val="16"/>
                <w:szCs w:val="16"/>
              </w:rPr>
            </w:pPr>
            <w:r>
              <w:rPr>
                <w:rFonts w:cs="Arial"/>
                <w:sz w:val="16"/>
                <w:szCs w:val="16"/>
              </w:rPr>
              <w:t>August 2018</w:t>
            </w:r>
          </w:p>
        </w:tc>
      </w:tr>
      <w:tr w:rsidR="00292A49" w:rsidRPr="001E0DCD" w:rsidTr="007F5905">
        <w:trPr>
          <w:jc w:val="center"/>
        </w:trPr>
        <w:tc>
          <w:tcPr>
            <w:tcW w:w="1838" w:type="dxa"/>
          </w:tcPr>
          <w:p w:rsidR="00292A49" w:rsidRPr="00D02E27" w:rsidRDefault="00292A49" w:rsidP="007F5905">
            <w:pPr>
              <w:tabs>
                <w:tab w:val="clear" w:pos="851"/>
              </w:tabs>
              <w:spacing w:after="0"/>
              <w:ind w:left="0"/>
              <w:jc w:val="left"/>
              <w:rPr>
                <w:rFonts w:cs="Arial"/>
                <w:sz w:val="16"/>
                <w:szCs w:val="16"/>
              </w:rPr>
            </w:pPr>
            <w:r w:rsidRPr="00D02E27">
              <w:rPr>
                <w:sz w:val="16"/>
                <w:szCs w:val="16"/>
              </w:rPr>
              <w:t>9.10 (9.10.1</w:t>
            </w:r>
            <w:r>
              <w:rPr>
                <w:sz w:val="16"/>
                <w:szCs w:val="16"/>
              </w:rPr>
              <w:t xml:space="preserve"> to </w:t>
            </w:r>
            <w:r w:rsidRPr="00D02E27">
              <w:rPr>
                <w:sz w:val="16"/>
                <w:szCs w:val="16"/>
              </w:rPr>
              <w:t>10)</w:t>
            </w:r>
          </w:p>
        </w:tc>
        <w:tc>
          <w:tcPr>
            <w:tcW w:w="4173" w:type="dxa"/>
          </w:tcPr>
          <w:p w:rsidR="00292A49" w:rsidRPr="00D02E27" w:rsidRDefault="00292A49" w:rsidP="007F5905">
            <w:pPr>
              <w:tabs>
                <w:tab w:val="clear" w:pos="851"/>
              </w:tabs>
              <w:spacing w:after="0"/>
              <w:ind w:left="0"/>
              <w:jc w:val="left"/>
              <w:rPr>
                <w:rFonts w:cs="Arial"/>
                <w:sz w:val="16"/>
                <w:szCs w:val="16"/>
              </w:rPr>
            </w:pPr>
            <w:r w:rsidRPr="00D02E27">
              <w:rPr>
                <w:rFonts w:cs="Arial"/>
                <w:bCs/>
                <w:color w:val="000000"/>
                <w:sz w:val="16"/>
                <w:szCs w:val="16"/>
              </w:rPr>
              <w:t>DWI Letters of support</w:t>
            </w:r>
          </w:p>
        </w:tc>
        <w:tc>
          <w:tcPr>
            <w:tcW w:w="1781" w:type="dxa"/>
          </w:tcPr>
          <w:p w:rsidR="00292A49" w:rsidRDefault="00292A49" w:rsidP="007F5905">
            <w:pPr>
              <w:tabs>
                <w:tab w:val="clear" w:pos="851"/>
              </w:tabs>
              <w:spacing w:after="0"/>
              <w:ind w:left="0"/>
              <w:jc w:val="left"/>
              <w:rPr>
                <w:rFonts w:cs="Arial"/>
                <w:sz w:val="16"/>
                <w:szCs w:val="16"/>
              </w:rPr>
            </w:pPr>
            <w:r>
              <w:rPr>
                <w:rFonts w:cs="Arial"/>
                <w:sz w:val="16"/>
                <w:szCs w:val="16"/>
              </w:rPr>
              <w:t>May 2018</w:t>
            </w:r>
          </w:p>
        </w:tc>
      </w:tr>
      <w:tr w:rsidR="00292A49" w:rsidRPr="001E0DCD" w:rsidTr="007F5905">
        <w:trPr>
          <w:jc w:val="center"/>
        </w:trPr>
        <w:tc>
          <w:tcPr>
            <w:tcW w:w="1838" w:type="dxa"/>
          </w:tcPr>
          <w:p w:rsidR="00292A49" w:rsidRPr="00D02E27" w:rsidRDefault="00292A49" w:rsidP="007F5905">
            <w:pPr>
              <w:tabs>
                <w:tab w:val="clear" w:pos="851"/>
              </w:tabs>
              <w:spacing w:after="0"/>
              <w:ind w:left="0"/>
              <w:jc w:val="left"/>
              <w:rPr>
                <w:rFonts w:cs="Arial"/>
                <w:sz w:val="16"/>
                <w:szCs w:val="16"/>
              </w:rPr>
            </w:pPr>
            <w:r w:rsidRPr="00D02E27">
              <w:rPr>
                <w:sz w:val="16"/>
                <w:szCs w:val="16"/>
              </w:rPr>
              <w:t xml:space="preserve">9.11 </w:t>
            </w:r>
            <w:r>
              <w:rPr>
                <w:sz w:val="16"/>
                <w:szCs w:val="16"/>
              </w:rPr>
              <w:t xml:space="preserve">(9.11.1 to </w:t>
            </w:r>
            <w:r w:rsidRPr="00D02E27">
              <w:rPr>
                <w:sz w:val="16"/>
                <w:szCs w:val="16"/>
              </w:rPr>
              <w:t>17)</w:t>
            </w:r>
          </w:p>
        </w:tc>
        <w:tc>
          <w:tcPr>
            <w:tcW w:w="4173" w:type="dxa"/>
          </w:tcPr>
          <w:p w:rsidR="00292A49" w:rsidRPr="00D02E27" w:rsidRDefault="00292A49" w:rsidP="007F5905">
            <w:pPr>
              <w:tabs>
                <w:tab w:val="clear" w:pos="851"/>
              </w:tabs>
              <w:spacing w:after="0"/>
              <w:ind w:left="0"/>
              <w:jc w:val="left"/>
              <w:rPr>
                <w:rFonts w:cs="Arial"/>
                <w:sz w:val="16"/>
                <w:szCs w:val="16"/>
              </w:rPr>
            </w:pPr>
            <w:r w:rsidRPr="00D02E27">
              <w:rPr>
                <w:rFonts w:cs="Arial"/>
                <w:bCs/>
                <w:color w:val="000000"/>
                <w:sz w:val="16"/>
                <w:szCs w:val="16"/>
              </w:rPr>
              <w:t>Enhancement Forms</w:t>
            </w:r>
          </w:p>
        </w:tc>
        <w:tc>
          <w:tcPr>
            <w:tcW w:w="1781" w:type="dxa"/>
          </w:tcPr>
          <w:p w:rsidR="00292A49" w:rsidRDefault="00292A49" w:rsidP="007F5905">
            <w:pPr>
              <w:tabs>
                <w:tab w:val="clear" w:pos="851"/>
              </w:tabs>
              <w:spacing w:after="0"/>
              <w:ind w:left="0"/>
              <w:jc w:val="left"/>
              <w:rPr>
                <w:rFonts w:cs="Arial"/>
                <w:sz w:val="16"/>
                <w:szCs w:val="16"/>
              </w:rPr>
            </w:pPr>
            <w:r>
              <w:rPr>
                <w:rFonts w:cs="Arial"/>
                <w:sz w:val="16"/>
                <w:szCs w:val="16"/>
              </w:rPr>
              <w:t>July 2018</w:t>
            </w:r>
          </w:p>
        </w:tc>
      </w:tr>
      <w:tr w:rsidR="00541DE6" w:rsidRPr="001E0DCD" w:rsidTr="007F5905">
        <w:trPr>
          <w:jc w:val="center"/>
        </w:trPr>
        <w:tc>
          <w:tcPr>
            <w:tcW w:w="1838" w:type="dxa"/>
          </w:tcPr>
          <w:p w:rsidR="00541DE6" w:rsidRPr="00D02E27" w:rsidRDefault="00541DE6" w:rsidP="007F5905">
            <w:pPr>
              <w:tabs>
                <w:tab w:val="clear" w:pos="851"/>
              </w:tabs>
              <w:spacing w:after="0"/>
              <w:ind w:left="0"/>
              <w:jc w:val="left"/>
              <w:rPr>
                <w:sz w:val="16"/>
                <w:szCs w:val="16"/>
              </w:rPr>
            </w:pPr>
            <w:r>
              <w:rPr>
                <w:sz w:val="16"/>
                <w:szCs w:val="16"/>
              </w:rPr>
              <w:t>9.12</w:t>
            </w:r>
          </w:p>
        </w:tc>
        <w:tc>
          <w:tcPr>
            <w:tcW w:w="4173" w:type="dxa"/>
          </w:tcPr>
          <w:p w:rsidR="00541DE6" w:rsidRPr="00D02E27" w:rsidRDefault="00541DE6" w:rsidP="007F5905">
            <w:pPr>
              <w:tabs>
                <w:tab w:val="clear" w:pos="851"/>
              </w:tabs>
              <w:spacing w:after="0"/>
              <w:ind w:left="0"/>
              <w:jc w:val="left"/>
              <w:rPr>
                <w:rFonts w:cs="Arial"/>
                <w:bCs/>
                <w:color w:val="000000"/>
                <w:sz w:val="16"/>
                <w:szCs w:val="16"/>
              </w:rPr>
            </w:pPr>
            <w:r>
              <w:rPr>
                <w:rFonts w:cs="Arial"/>
                <w:bCs/>
                <w:color w:val="000000"/>
                <w:sz w:val="16"/>
                <w:szCs w:val="16"/>
              </w:rPr>
              <w:t>Portsmouth Water Wholesale BOTEX Assessment Oxera</w:t>
            </w:r>
          </w:p>
        </w:tc>
        <w:tc>
          <w:tcPr>
            <w:tcW w:w="1781" w:type="dxa"/>
          </w:tcPr>
          <w:p w:rsidR="00541DE6" w:rsidRDefault="00541DE6" w:rsidP="007F5905">
            <w:pPr>
              <w:tabs>
                <w:tab w:val="clear" w:pos="851"/>
              </w:tabs>
              <w:spacing w:after="0"/>
              <w:ind w:left="0"/>
              <w:jc w:val="left"/>
              <w:rPr>
                <w:rFonts w:cs="Arial"/>
                <w:sz w:val="16"/>
                <w:szCs w:val="16"/>
              </w:rPr>
            </w:pPr>
            <w:r>
              <w:rPr>
                <w:rFonts w:cs="Arial"/>
                <w:sz w:val="16"/>
                <w:szCs w:val="16"/>
              </w:rPr>
              <w:t>August 2018</w:t>
            </w:r>
          </w:p>
        </w:tc>
      </w:tr>
      <w:tr w:rsidR="00292A49" w:rsidRPr="001E0DCD" w:rsidTr="007F5905">
        <w:trPr>
          <w:jc w:val="center"/>
        </w:trPr>
        <w:tc>
          <w:tcPr>
            <w:tcW w:w="1838" w:type="dxa"/>
          </w:tcPr>
          <w:p w:rsidR="00292A49" w:rsidRPr="00D02E27" w:rsidRDefault="00292A49" w:rsidP="007F5905">
            <w:pPr>
              <w:tabs>
                <w:tab w:val="clear" w:pos="851"/>
              </w:tabs>
              <w:spacing w:after="0"/>
              <w:ind w:left="0"/>
              <w:jc w:val="left"/>
              <w:rPr>
                <w:rFonts w:cs="Arial"/>
                <w:sz w:val="16"/>
                <w:szCs w:val="16"/>
              </w:rPr>
            </w:pPr>
            <w:r w:rsidRPr="00D02E27">
              <w:rPr>
                <w:sz w:val="16"/>
                <w:szCs w:val="16"/>
              </w:rPr>
              <w:t>9.13</w:t>
            </w:r>
          </w:p>
        </w:tc>
        <w:tc>
          <w:tcPr>
            <w:tcW w:w="4173" w:type="dxa"/>
          </w:tcPr>
          <w:p w:rsidR="00292A49" w:rsidRPr="00464025" w:rsidRDefault="00292A49" w:rsidP="007F5905">
            <w:pPr>
              <w:tabs>
                <w:tab w:val="clear" w:pos="851"/>
              </w:tabs>
              <w:spacing w:after="0"/>
              <w:ind w:left="0"/>
              <w:jc w:val="left"/>
              <w:rPr>
                <w:rFonts w:cs="Arial"/>
                <w:sz w:val="16"/>
                <w:szCs w:val="16"/>
              </w:rPr>
            </w:pPr>
            <w:r>
              <w:rPr>
                <w:sz w:val="16"/>
                <w:szCs w:val="16"/>
              </w:rPr>
              <w:t xml:space="preserve">Oxera Report - </w:t>
            </w:r>
            <w:r w:rsidRPr="00464025">
              <w:rPr>
                <w:sz w:val="16"/>
                <w:szCs w:val="16"/>
              </w:rPr>
              <w:t>Impact of bill size on Ofwat’s models</w:t>
            </w:r>
          </w:p>
        </w:tc>
        <w:tc>
          <w:tcPr>
            <w:tcW w:w="1781" w:type="dxa"/>
          </w:tcPr>
          <w:p w:rsidR="00292A49" w:rsidRDefault="00292A49" w:rsidP="007F5905">
            <w:pPr>
              <w:tabs>
                <w:tab w:val="clear" w:pos="851"/>
              </w:tabs>
              <w:spacing w:after="0"/>
              <w:ind w:left="0"/>
              <w:jc w:val="left"/>
              <w:rPr>
                <w:rFonts w:cs="Arial"/>
                <w:sz w:val="16"/>
                <w:szCs w:val="16"/>
              </w:rPr>
            </w:pPr>
            <w:r>
              <w:rPr>
                <w:rFonts w:cs="Arial"/>
                <w:sz w:val="16"/>
                <w:szCs w:val="16"/>
              </w:rPr>
              <w:t>August 2018</w:t>
            </w:r>
          </w:p>
        </w:tc>
      </w:tr>
      <w:tr w:rsidR="00292A49" w:rsidRPr="001E0DCD" w:rsidTr="007F5905">
        <w:trPr>
          <w:jc w:val="center"/>
        </w:trPr>
        <w:tc>
          <w:tcPr>
            <w:tcW w:w="1838" w:type="dxa"/>
          </w:tcPr>
          <w:p w:rsidR="00292A49" w:rsidRPr="00D02E27" w:rsidRDefault="00292A49" w:rsidP="007F5905">
            <w:pPr>
              <w:tabs>
                <w:tab w:val="clear" w:pos="851"/>
              </w:tabs>
              <w:spacing w:after="0"/>
              <w:ind w:left="0"/>
              <w:jc w:val="left"/>
              <w:rPr>
                <w:rFonts w:cs="Arial"/>
                <w:sz w:val="16"/>
                <w:szCs w:val="16"/>
              </w:rPr>
            </w:pPr>
            <w:r w:rsidRPr="00D02E27">
              <w:rPr>
                <w:sz w:val="16"/>
                <w:szCs w:val="16"/>
              </w:rPr>
              <w:t>9.14</w:t>
            </w:r>
          </w:p>
        </w:tc>
        <w:tc>
          <w:tcPr>
            <w:tcW w:w="4173" w:type="dxa"/>
          </w:tcPr>
          <w:p w:rsidR="00292A49" w:rsidRPr="00464025" w:rsidRDefault="00292A49" w:rsidP="007F5905">
            <w:pPr>
              <w:tabs>
                <w:tab w:val="clear" w:pos="851"/>
              </w:tabs>
              <w:spacing w:after="0"/>
              <w:ind w:left="0"/>
              <w:jc w:val="left"/>
              <w:rPr>
                <w:rFonts w:cs="Arial"/>
                <w:sz w:val="16"/>
                <w:szCs w:val="16"/>
              </w:rPr>
            </w:pPr>
            <w:r>
              <w:rPr>
                <w:sz w:val="16"/>
                <w:szCs w:val="16"/>
              </w:rPr>
              <w:t xml:space="preserve">Oxera Report - </w:t>
            </w:r>
            <w:r w:rsidRPr="00464025">
              <w:rPr>
                <w:sz w:val="16"/>
                <w:szCs w:val="16"/>
              </w:rPr>
              <w:t>Ongoing Efficiency assessment on household retail</w:t>
            </w:r>
          </w:p>
        </w:tc>
        <w:tc>
          <w:tcPr>
            <w:tcW w:w="1781" w:type="dxa"/>
          </w:tcPr>
          <w:p w:rsidR="00292A49" w:rsidRDefault="00292A49" w:rsidP="007F5905">
            <w:pPr>
              <w:tabs>
                <w:tab w:val="clear" w:pos="851"/>
              </w:tabs>
              <w:spacing w:after="0"/>
              <w:ind w:left="0"/>
              <w:jc w:val="left"/>
              <w:rPr>
                <w:rFonts w:cs="Arial"/>
                <w:sz w:val="16"/>
                <w:szCs w:val="16"/>
              </w:rPr>
            </w:pPr>
            <w:r>
              <w:rPr>
                <w:rFonts w:cs="Arial"/>
                <w:sz w:val="16"/>
                <w:szCs w:val="16"/>
              </w:rPr>
              <w:t>August 2018</w:t>
            </w:r>
          </w:p>
        </w:tc>
      </w:tr>
    </w:tbl>
    <w:p w:rsidR="009C04FC" w:rsidRDefault="009C04FC" w:rsidP="00123182">
      <w:pPr>
        <w:spacing w:after="0"/>
      </w:pPr>
    </w:p>
    <w:p w:rsidR="00312A77" w:rsidRDefault="00312A77">
      <w:pPr>
        <w:tabs>
          <w:tab w:val="clear" w:pos="851"/>
        </w:tabs>
        <w:spacing w:after="0"/>
        <w:ind w:left="0"/>
        <w:jc w:val="left"/>
      </w:pPr>
      <w:r>
        <w:br w:type="page"/>
      </w:r>
    </w:p>
    <w:p w:rsidR="00A73A0F" w:rsidRDefault="00A73A0F" w:rsidP="0005234B">
      <w:pPr>
        <w:pStyle w:val="Heading1"/>
      </w:pPr>
      <w:bookmarkStart w:id="228" w:name="_Toc522200033"/>
      <w:bookmarkStart w:id="229" w:name="_Toc522200130"/>
      <w:bookmarkStart w:id="230" w:name="_Toc523651323"/>
      <w:r>
        <w:t>Risk and Return Alignment</w:t>
      </w:r>
      <w:bookmarkEnd w:id="228"/>
      <w:bookmarkEnd w:id="229"/>
      <w:bookmarkEnd w:id="230"/>
    </w:p>
    <w:p w:rsidR="00830616" w:rsidRDefault="00B94694" w:rsidP="00F36A06">
      <w:r>
        <w:t xml:space="preserve">The aim of this chapter is to set out the </w:t>
      </w:r>
      <w:r w:rsidR="00871242">
        <w:t>factors, which</w:t>
      </w:r>
      <w:r>
        <w:t xml:space="preserve"> contribute to how risk and return within the Business Plan align.  This inclu</w:t>
      </w:r>
      <w:r w:rsidR="008B7D31">
        <w:t>des the factors driving cost of capital – including our support for a Company Specific Premium.</w:t>
      </w:r>
    </w:p>
    <w:p w:rsidR="008B7D31" w:rsidRPr="00186819" w:rsidRDefault="008B7D31" w:rsidP="00F36A06">
      <w:r>
        <w:t>It also sets out how we have aligned our understanding of risk (and risk management) with our assessment of financial return.  This has been achieved by providing a clear line of sight between the Plan’s delivery risks, risk management, and the potential financial impl</w:t>
      </w:r>
      <w:r w:rsidR="00B17568">
        <w:t>ication (through RoRE analysis).</w:t>
      </w:r>
    </w:p>
    <w:p w:rsidR="0099774F" w:rsidRDefault="0099774F" w:rsidP="0036557D">
      <w:pPr>
        <w:pStyle w:val="Heading2"/>
      </w:pPr>
      <w:bookmarkStart w:id="231" w:name="_Toc522200034"/>
      <w:bookmarkStart w:id="232" w:name="_Toc522200131"/>
      <w:bookmarkStart w:id="233" w:name="_Toc523651324"/>
      <w:r>
        <w:t>WACC</w:t>
      </w:r>
      <w:r w:rsidR="008B1A93">
        <w:t xml:space="preserve"> &amp; </w:t>
      </w:r>
      <w:r w:rsidR="0036557D">
        <w:t>Retail Margin</w:t>
      </w:r>
      <w:bookmarkEnd w:id="231"/>
      <w:bookmarkEnd w:id="232"/>
      <w:bookmarkEnd w:id="233"/>
    </w:p>
    <w:p w:rsidR="00D81FCA" w:rsidRDefault="00A5052C" w:rsidP="00F36A06">
      <w:r>
        <w:t xml:space="preserve">The </w:t>
      </w:r>
      <w:r w:rsidR="00BD13AB">
        <w:t>W</w:t>
      </w:r>
      <w:r w:rsidR="00D81FCA">
        <w:t xml:space="preserve">eighted Average Cost of Capital (WACC) underpinning the Business Plan has been set in line with the assumptions made on Ofwat’s early view on the cost of capital (Delivering Water 2020 </w:t>
      </w:r>
      <w:r w:rsidR="00427C3F">
        <w:t>Appendix</w:t>
      </w:r>
      <w:r w:rsidR="00D81FCA">
        <w:t xml:space="preserve"> 12 – Table 1).  This has been applied to the wholesale price control and the retail margin.  This has been further adjusted to reflect a company specific </w:t>
      </w:r>
      <w:r w:rsidR="00D705AC">
        <w:t xml:space="preserve">debt </w:t>
      </w:r>
      <w:r w:rsidR="00D81FCA">
        <w:t>premium of 30 basis points.  This i</w:t>
      </w:r>
      <w:r w:rsidR="008B1A93">
        <w:t xml:space="preserve">s discussed further in </w:t>
      </w:r>
      <w:r w:rsidR="00F108D0">
        <w:t>S</w:t>
      </w:r>
      <w:r w:rsidR="008B1A93">
        <w:t>ection 10</w:t>
      </w:r>
      <w:r w:rsidR="00D81FCA">
        <w:t>.2.  T</w:t>
      </w:r>
      <w:r w:rsidR="008B1A93">
        <w:t>he table</w:t>
      </w:r>
      <w:r w:rsidR="00D81FCA">
        <w:t xml:space="preserve"> below summarises the build-up of the Company WACC.</w:t>
      </w: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701"/>
        <w:gridCol w:w="1985"/>
        <w:gridCol w:w="1842"/>
      </w:tblGrid>
      <w:tr w:rsidR="00F36A06" w:rsidRPr="00F36A06" w:rsidTr="00F36A06">
        <w:trPr>
          <w:trHeight w:val="288"/>
        </w:trPr>
        <w:tc>
          <w:tcPr>
            <w:tcW w:w="3260" w:type="dxa"/>
            <w:shd w:val="clear" w:color="auto" w:fill="2E74B5" w:themeFill="accent1" w:themeFillShade="BF"/>
            <w:noWrap/>
            <w:hideMark/>
          </w:tcPr>
          <w:p w:rsidR="00D81FCA" w:rsidRPr="00F36A06" w:rsidRDefault="00D81FCA" w:rsidP="00312A77">
            <w:pPr>
              <w:tabs>
                <w:tab w:val="clear" w:pos="851"/>
              </w:tabs>
              <w:spacing w:before="20" w:after="20"/>
              <w:ind w:left="34"/>
              <w:rPr>
                <w:rFonts w:cs="Arial"/>
                <w:b/>
                <w:bCs/>
                <w:color w:val="FFFFFF" w:themeColor="background1"/>
                <w:sz w:val="16"/>
                <w:szCs w:val="16"/>
              </w:rPr>
            </w:pPr>
          </w:p>
        </w:tc>
        <w:tc>
          <w:tcPr>
            <w:tcW w:w="1701" w:type="dxa"/>
            <w:shd w:val="clear" w:color="auto" w:fill="2E74B5" w:themeFill="accent1" w:themeFillShade="BF"/>
            <w:noWrap/>
            <w:vAlign w:val="bottom"/>
            <w:hideMark/>
          </w:tcPr>
          <w:p w:rsidR="00D81FCA" w:rsidRPr="00F36A06" w:rsidRDefault="00D81FCA" w:rsidP="00A478AD">
            <w:pPr>
              <w:tabs>
                <w:tab w:val="clear" w:pos="851"/>
                <w:tab w:val="right" w:pos="884"/>
              </w:tabs>
              <w:spacing w:before="20" w:after="20"/>
              <w:ind w:left="34"/>
              <w:jc w:val="center"/>
              <w:rPr>
                <w:rFonts w:cs="Arial"/>
                <w:b/>
                <w:bCs/>
                <w:color w:val="FFFFFF" w:themeColor="background1"/>
                <w:sz w:val="16"/>
                <w:szCs w:val="16"/>
              </w:rPr>
            </w:pPr>
            <w:r w:rsidRPr="00F36A06">
              <w:rPr>
                <w:rFonts w:cs="Arial"/>
                <w:b/>
                <w:bCs/>
                <w:color w:val="FFFFFF" w:themeColor="background1"/>
                <w:sz w:val="16"/>
                <w:szCs w:val="16"/>
              </w:rPr>
              <w:t>Nominal</w:t>
            </w:r>
          </w:p>
        </w:tc>
        <w:tc>
          <w:tcPr>
            <w:tcW w:w="1985" w:type="dxa"/>
            <w:shd w:val="clear" w:color="auto" w:fill="2E74B5" w:themeFill="accent1" w:themeFillShade="BF"/>
            <w:noWrap/>
            <w:vAlign w:val="bottom"/>
            <w:hideMark/>
          </w:tcPr>
          <w:p w:rsidR="00D81FCA" w:rsidRPr="00F36A06" w:rsidRDefault="00D81FCA" w:rsidP="00A478AD">
            <w:pPr>
              <w:tabs>
                <w:tab w:val="clear" w:pos="851"/>
                <w:tab w:val="right" w:pos="1026"/>
              </w:tabs>
              <w:spacing w:before="20" w:after="20"/>
              <w:ind w:left="0"/>
              <w:jc w:val="center"/>
              <w:rPr>
                <w:rFonts w:cs="Arial"/>
                <w:b/>
                <w:bCs/>
                <w:color w:val="FFFFFF" w:themeColor="background1"/>
                <w:sz w:val="16"/>
                <w:szCs w:val="16"/>
              </w:rPr>
            </w:pPr>
            <w:r w:rsidRPr="00F36A06">
              <w:rPr>
                <w:rFonts w:cs="Arial"/>
                <w:b/>
                <w:bCs/>
                <w:color w:val="FFFFFF" w:themeColor="background1"/>
                <w:sz w:val="16"/>
                <w:szCs w:val="16"/>
              </w:rPr>
              <w:t>Real (CPHI)</w:t>
            </w:r>
          </w:p>
        </w:tc>
        <w:tc>
          <w:tcPr>
            <w:tcW w:w="1842" w:type="dxa"/>
            <w:shd w:val="clear" w:color="auto" w:fill="2E74B5" w:themeFill="accent1" w:themeFillShade="BF"/>
            <w:noWrap/>
            <w:vAlign w:val="bottom"/>
            <w:hideMark/>
          </w:tcPr>
          <w:p w:rsidR="00D81FCA" w:rsidRPr="00F36A06" w:rsidRDefault="00D81FCA" w:rsidP="00A478AD">
            <w:pPr>
              <w:tabs>
                <w:tab w:val="clear" w:pos="851"/>
                <w:tab w:val="right" w:pos="1168"/>
              </w:tabs>
              <w:spacing w:before="20" w:after="20"/>
              <w:ind w:left="152"/>
              <w:jc w:val="center"/>
              <w:rPr>
                <w:rFonts w:cs="Arial"/>
                <w:b/>
                <w:bCs/>
                <w:color w:val="FFFFFF" w:themeColor="background1"/>
                <w:sz w:val="16"/>
                <w:szCs w:val="16"/>
              </w:rPr>
            </w:pPr>
            <w:r w:rsidRPr="00F36A06">
              <w:rPr>
                <w:rFonts w:cs="Arial"/>
                <w:b/>
                <w:bCs/>
                <w:color w:val="FFFFFF" w:themeColor="background1"/>
                <w:sz w:val="16"/>
                <w:szCs w:val="16"/>
              </w:rPr>
              <w:t>Real (RPI)</w:t>
            </w:r>
          </w:p>
        </w:tc>
      </w:tr>
      <w:tr w:rsidR="00D81FCA" w:rsidRPr="00F36A06" w:rsidTr="00F36A06">
        <w:trPr>
          <w:trHeight w:val="288"/>
        </w:trPr>
        <w:tc>
          <w:tcPr>
            <w:tcW w:w="3260" w:type="dxa"/>
            <w:shd w:val="clear" w:color="auto" w:fill="auto"/>
            <w:noWrap/>
            <w:hideMark/>
          </w:tcPr>
          <w:p w:rsidR="00D81FCA" w:rsidRPr="00F36A06" w:rsidRDefault="00D81FCA" w:rsidP="00312A77">
            <w:pPr>
              <w:tabs>
                <w:tab w:val="clear" w:pos="851"/>
              </w:tabs>
              <w:spacing w:before="20" w:after="20"/>
              <w:ind w:left="34"/>
              <w:rPr>
                <w:rFonts w:cs="Arial"/>
                <w:color w:val="000000"/>
                <w:sz w:val="16"/>
                <w:szCs w:val="16"/>
              </w:rPr>
            </w:pPr>
            <w:r w:rsidRPr="00F36A06">
              <w:rPr>
                <w:rFonts w:cs="Arial"/>
                <w:color w:val="000000"/>
                <w:sz w:val="16"/>
                <w:szCs w:val="16"/>
              </w:rPr>
              <w:t>Gearing</w:t>
            </w:r>
          </w:p>
        </w:tc>
        <w:tc>
          <w:tcPr>
            <w:tcW w:w="1701" w:type="dxa"/>
            <w:shd w:val="clear" w:color="auto" w:fill="auto"/>
            <w:noWrap/>
            <w:vAlign w:val="bottom"/>
            <w:hideMark/>
          </w:tcPr>
          <w:p w:rsidR="00D81FCA" w:rsidRPr="00F36A06" w:rsidRDefault="00D81FCA" w:rsidP="00A478AD">
            <w:pPr>
              <w:tabs>
                <w:tab w:val="clear" w:pos="851"/>
                <w:tab w:val="right" w:pos="884"/>
              </w:tabs>
              <w:spacing w:before="20" w:after="20"/>
              <w:ind w:left="34"/>
              <w:jc w:val="center"/>
              <w:rPr>
                <w:rFonts w:cs="Arial"/>
                <w:color w:val="000000"/>
                <w:sz w:val="16"/>
                <w:szCs w:val="16"/>
              </w:rPr>
            </w:pPr>
            <w:r w:rsidRPr="00F36A06">
              <w:rPr>
                <w:rFonts w:cs="Arial"/>
                <w:color w:val="000000"/>
                <w:sz w:val="16"/>
                <w:szCs w:val="16"/>
              </w:rPr>
              <w:t>60%</w:t>
            </w:r>
          </w:p>
        </w:tc>
        <w:tc>
          <w:tcPr>
            <w:tcW w:w="1985" w:type="dxa"/>
            <w:shd w:val="clear" w:color="auto" w:fill="auto"/>
            <w:noWrap/>
            <w:vAlign w:val="bottom"/>
            <w:hideMark/>
          </w:tcPr>
          <w:p w:rsidR="00D81FCA" w:rsidRPr="00F36A06" w:rsidRDefault="00D81FCA" w:rsidP="00A478AD">
            <w:pPr>
              <w:tabs>
                <w:tab w:val="clear" w:pos="851"/>
                <w:tab w:val="right" w:pos="1026"/>
              </w:tabs>
              <w:spacing w:before="20" w:after="20"/>
              <w:ind w:left="0"/>
              <w:jc w:val="center"/>
              <w:rPr>
                <w:rFonts w:cs="Arial"/>
                <w:color w:val="000000"/>
                <w:sz w:val="16"/>
                <w:szCs w:val="16"/>
              </w:rPr>
            </w:pPr>
            <w:r w:rsidRPr="00F36A06">
              <w:rPr>
                <w:rFonts w:cs="Arial"/>
                <w:color w:val="000000"/>
                <w:sz w:val="16"/>
                <w:szCs w:val="16"/>
              </w:rPr>
              <w:t>60%</w:t>
            </w:r>
          </w:p>
        </w:tc>
        <w:tc>
          <w:tcPr>
            <w:tcW w:w="1842" w:type="dxa"/>
            <w:shd w:val="clear" w:color="auto" w:fill="auto"/>
            <w:noWrap/>
            <w:vAlign w:val="bottom"/>
            <w:hideMark/>
          </w:tcPr>
          <w:p w:rsidR="00D81FCA" w:rsidRPr="00F36A06" w:rsidRDefault="00D81FCA" w:rsidP="00A478AD">
            <w:pPr>
              <w:tabs>
                <w:tab w:val="clear" w:pos="851"/>
                <w:tab w:val="right" w:pos="1168"/>
              </w:tabs>
              <w:spacing w:before="20" w:after="20"/>
              <w:ind w:left="0"/>
              <w:jc w:val="center"/>
              <w:rPr>
                <w:rFonts w:cs="Arial"/>
                <w:color w:val="000000"/>
                <w:sz w:val="16"/>
                <w:szCs w:val="16"/>
              </w:rPr>
            </w:pPr>
            <w:r w:rsidRPr="00F36A06">
              <w:rPr>
                <w:rFonts w:cs="Arial"/>
                <w:color w:val="000000"/>
                <w:sz w:val="16"/>
                <w:szCs w:val="16"/>
              </w:rPr>
              <w:t>60%</w:t>
            </w:r>
          </w:p>
        </w:tc>
      </w:tr>
      <w:tr w:rsidR="00D81FCA" w:rsidRPr="00F36A06" w:rsidTr="00F36A06">
        <w:trPr>
          <w:trHeight w:val="288"/>
        </w:trPr>
        <w:tc>
          <w:tcPr>
            <w:tcW w:w="3260" w:type="dxa"/>
            <w:shd w:val="clear" w:color="auto" w:fill="auto"/>
            <w:noWrap/>
            <w:hideMark/>
          </w:tcPr>
          <w:p w:rsidR="00D81FCA" w:rsidRPr="00F36A06" w:rsidRDefault="00D81FCA" w:rsidP="00312A77">
            <w:pPr>
              <w:tabs>
                <w:tab w:val="clear" w:pos="851"/>
              </w:tabs>
              <w:spacing w:before="20" w:after="20"/>
              <w:ind w:left="34"/>
              <w:rPr>
                <w:rFonts w:cs="Arial"/>
                <w:bCs/>
                <w:color w:val="000000"/>
                <w:sz w:val="16"/>
                <w:szCs w:val="16"/>
              </w:rPr>
            </w:pPr>
            <w:r w:rsidRPr="00F36A06">
              <w:rPr>
                <w:rFonts w:cs="Arial"/>
                <w:bCs/>
                <w:color w:val="000000"/>
                <w:sz w:val="16"/>
                <w:szCs w:val="16"/>
              </w:rPr>
              <w:t>Cost of equity</w:t>
            </w:r>
          </w:p>
        </w:tc>
        <w:tc>
          <w:tcPr>
            <w:tcW w:w="1701" w:type="dxa"/>
            <w:shd w:val="clear" w:color="auto" w:fill="auto"/>
            <w:noWrap/>
            <w:vAlign w:val="bottom"/>
            <w:hideMark/>
          </w:tcPr>
          <w:p w:rsidR="00D81FCA" w:rsidRPr="00F36A06" w:rsidRDefault="00D81FCA" w:rsidP="00A478AD">
            <w:pPr>
              <w:tabs>
                <w:tab w:val="clear" w:pos="851"/>
                <w:tab w:val="right" w:pos="884"/>
              </w:tabs>
              <w:spacing w:before="20" w:after="20"/>
              <w:ind w:left="34"/>
              <w:jc w:val="center"/>
              <w:rPr>
                <w:rFonts w:cs="Arial"/>
                <w:bCs/>
                <w:color w:val="000000"/>
                <w:sz w:val="16"/>
                <w:szCs w:val="16"/>
              </w:rPr>
            </w:pPr>
            <w:r w:rsidRPr="00F36A06">
              <w:rPr>
                <w:rFonts w:cs="Arial"/>
                <w:bCs/>
                <w:color w:val="000000"/>
                <w:sz w:val="16"/>
                <w:szCs w:val="16"/>
              </w:rPr>
              <w:t>7.13%</w:t>
            </w:r>
          </w:p>
        </w:tc>
        <w:tc>
          <w:tcPr>
            <w:tcW w:w="1985" w:type="dxa"/>
            <w:shd w:val="clear" w:color="auto" w:fill="auto"/>
            <w:noWrap/>
            <w:vAlign w:val="bottom"/>
            <w:hideMark/>
          </w:tcPr>
          <w:p w:rsidR="00D81FCA" w:rsidRPr="00F36A06" w:rsidRDefault="00D81FCA" w:rsidP="00A478AD">
            <w:pPr>
              <w:tabs>
                <w:tab w:val="clear" w:pos="851"/>
                <w:tab w:val="right" w:pos="1026"/>
              </w:tabs>
              <w:spacing w:before="20" w:after="20"/>
              <w:ind w:left="0"/>
              <w:jc w:val="center"/>
              <w:rPr>
                <w:rFonts w:cs="Arial"/>
                <w:bCs/>
                <w:color w:val="000000"/>
                <w:sz w:val="16"/>
                <w:szCs w:val="16"/>
              </w:rPr>
            </w:pPr>
            <w:r w:rsidRPr="00F36A06">
              <w:rPr>
                <w:rFonts w:cs="Arial"/>
                <w:bCs/>
                <w:color w:val="000000"/>
                <w:sz w:val="16"/>
                <w:szCs w:val="16"/>
              </w:rPr>
              <w:t>5.03%</w:t>
            </w:r>
          </w:p>
        </w:tc>
        <w:tc>
          <w:tcPr>
            <w:tcW w:w="1842" w:type="dxa"/>
            <w:shd w:val="clear" w:color="auto" w:fill="auto"/>
            <w:noWrap/>
            <w:vAlign w:val="bottom"/>
            <w:hideMark/>
          </w:tcPr>
          <w:p w:rsidR="00D81FCA" w:rsidRPr="00F36A06" w:rsidRDefault="00D81FCA" w:rsidP="00A478AD">
            <w:pPr>
              <w:tabs>
                <w:tab w:val="clear" w:pos="851"/>
                <w:tab w:val="right" w:pos="1168"/>
              </w:tabs>
              <w:spacing w:before="20" w:after="20"/>
              <w:ind w:left="0"/>
              <w:jc w:val="center"/>
              <w:rPr>
                <w:rFonts w:cs="Arial"/>
                <w:bCs/>
                <w:color w:val="000000"/>
                <w:sz w:val="16"/>
                <w:szCs w:val="16"/>
              </w:rPr>
            </w:pPr>
            <w:r w:rsidRPr="00F36A06">
              <w:rPr>
                <w:rFonts w:cs="Arial"/>
                <w:bCs/>
                <w:color w:val="000000"/>
                <w:sz w:val="16"/>
                <w:szCs w:val="16"/>
              </w:rPr>
              <w:t>4.01%</w:t>
            </w:r>
          </w:p>
        </w:tc>
      </w:tr>
      <w:tr w:rsidR="00D81FCA" w:rsidRPr="00F36A06" w:rsidTr="00F36A06">
        <w:trPr>
          <w:trHeight w:val="288"/>
        </w:trPr>
        <w:tc>
          <w:tcPr>
            <w:tcW w:w="3260" w:type="dxa"/>
            <w:shd w:val="clear" w:color="auto" w:fill="auto"/>
            <w:noWrap/>
            <w:hideMark/>
          </w:tcPr>
          <w:p w:rsidR="00D81FCA" w:rsidRPr="00F36A06" w:rsidRDefault="00D81FCA" w:rsidP="00312A77">
            <w:pPr>
              <w:tabs>
                <w:tab w:val="clear" w:pos="851"/>
              </w:tabs>
              <w:spacing w:before="20" w:after="20"/>
              <w:ind w:left="34"/>
              <w:rPr>
                <w:rFonts w:cs="Arial"/>
                <w:bCs/>
                <w:color w:val="000000"/>
                <w:sz w:val="16"/>
                <w:szCs w:val="16"/>
              </w:rPr>
            </w:pPr>
            <w:r w:rsidRPr="00F36A06">
              <w:rPr>
                <w:rFonts w:cs="Arial"/>
                <w:bCs/>
                <w:color w:val="000000"/>
                <w:sz w:val="16"/>
                <w:szCs w:val="16"/>
              </w:rPr>
              <w:t>Overall cost of debt</w:t>
            </w:r>
          </w:p>
        </w:tc>
        <w:tc>
          <w:tcPr>
            <w:tcW w:w="1701" w:type="dxa"/>
            <w:shd w:val="clear" w:color="auto" w:fill="auto"/>
            <w:noWrap/>
            <w:vAlign w:val="bottom"/>
            <w:hideMark/>
          </w:tcPr>
          <w:p w:rsidR="00D81FCA" w:rsidRPr="00F36A06" w:rsidRDefault="00D81FCA" w:rsidP="00A478AD">
            <w:pPr>
              <w:tabs>
                <w:tab w:val="clear" w:pos="851"/>
                <w:tab w:val="right" w:pos="884"/>
              </w:tabs>
              <w:spacing w:before="20" w:after="20"/>
              <w:ind w:left="34"/>
              <w:jc w:val="center"/>
              <w:rPr>
                <w:rFonts w:cs="Arial"/>
                <w:bCs/>
                <w:color w:val="000000"/>
                <w:sz w:val="16"/>
                <w:szCs w:val="16"/>
              </w:rPr>
            </w:pPr>
            <w:r w:rsidRPr="00F36A06">
              <w:rPr>
                <w:rFonts w:cs="Arial"/>
                <w:bCs/>
                <w:color w:val="000000"/>
                <w:sz w:val="16"/>
                <w:szCs w:val="16"/>
              </w:rPr>
              <w:t>4.36%</w:t>
            </w:r>
          </w:p>
        </w:tc>
        <w:tc>
          <w:tcPr>
            <w:tcW w:w="1985" w:type="dxa"/>
            <w:shd w:val="clear" w:color="auto" w:fill="auto"/>
            <w:noWrap/>
            <w:vAlign w:val="bottom"/>
            <w:hideMark/>
          </w:tcPr>
          <w:p w:rsidR="00D81FCA" w:rsidRPr="00F36A06" w:rsidRDefault="00D81FCA" w:rsidP="00A478AD">
            <w:pPr>
              <w:tabs>
                <w:tab w:val="clear" w:pos="851"/>
                <w:tab w:val="right" w:pos="1026"/>
              </w:tabs>
              <w:spacing w:before="20" w:after="20"/>
              <w:ind w:left="0"/>
              <w:jc w:val="center"/>
              <w:rPr>
                <w:rFonts w:cs="Arial"/>
                <w:bCs/>
                <w:color w:val="000000"/>
                <w:sz w:val="16"/>
                <w:szCs w:val="16"/>
              </w:rPr>
            </w:pPr>
            <w:r w:rsidRPr="00F36A06">
              <w:rPr>
                <w:rFonts w:cs="Arial"/>
                <w:bCs/>
                <w:color w:val="000000"/>
                <w:sz w:val="16"/>
                <w:szCs w:val="16"/>
              </w:rPr>
              <w:t>2.32%</w:t>
            </w:r>
          </w:p>
        </w:tc>
        <w:tc>
          <w:tcPr>
            <w:tcW w:w="1842" w:type="dxa"/>
            <w:shd w:val="clear" w:color="auto" w:fill="auto"/>
            <w:noWrap/>
            <w:vAlign w:val="bottom"/>
            <w:hideMark/>
          </w:tcPr>
          <w:p w:rsidR="00D81FCA" w:rsidRPr="00F36A06" w:rsidRDefault="00D81FCA" w:rsidP="00A478AD">
            <w:pPr>
              <w:tabs>
                <w:tab w:val="clear" w:pos="851"/>
                <w:tab w:val="right" w:pos="1168"/>
              </w:tabs>
              <w:spacing w:before="20" w:after="20"/>
              <w:ind w:left="0"/>
              <w:jc w:val="center"/>
              <w:rPr>
                <w:rFonts w:cs="Arial"/>
                <w:bCs/>
                <w:color w:val="000000"/>
                <w:sz w:val="16"/>
                <w:szCs w:val="16"/>
              </w:rPr>
            </w:pPr>
            <w:r w:rsidRPr="00F36A06">
              <w:rPr>
                <w:rFonts w:cs="Arial"/>
                <w:bCs/>
                <w:color w:val="000000"/>
                <w:sz w:val="16"/>
                <w:szCs w:val="16"/>
              </w:rPr>
              <w:t>1.33%</w:t>
            </w:r>
          </w:p>
        </w:tc>
      </w:tr>
      <w:tr w:rsidR="00D81FCA" w:rsidRPr="00F36A06" w:rsidTr="00F36A06">
        <w:trPr>
          <w:trHeight w:val="288"/>
        </w:trPr>
        <w:tc>
          <w:tcPr>
            <w:tcW w:w="3260" w:type="dxa"/>
            <w:shd w:val="clear" w:color="auto" w:fill="auto"/>
            <w:noWrap/>
          </w:tcPr>
          <w:p w:rsidR="00D81FCA" w:rsidRPr="00F36A06" w:rsidRDefault="00D81FCA" w:rsidP="00312A77">
            <w:pPr>
              <w:tabs>
                <w:tab w:val="clear" w:pos="851"/>
              </w:tabs>
              <w:spacing w:before="20" w:after="20"/>
              <w:ind w:left="34"/>
              <w:rPr>
                <w:rFonts w:cs="Arial"/>
                <w:bCs/>
                <w:color w:val="000000"/>
                <w:sz w:val="16"/>
                <w:szCs w:val="16"/>
              </w:rPr>
            </w:pPr>
            <w:r w:rsidRPr="00F36A06">
              <w:rPr>
                <w:rFonts w:cs="Arial"/>
                <w:bCs/>
                <w:color w:val="000000"/>
                <w:sz w:val="16"/>
                <w:szCs w:val="16"/>
              </w:rPr>
              <w:t xml:space="preserve">Company Specific </w:t>
            </w:r>
            <w:r w:rsidR="00D705AC">
              <w:rPr>
                <w:rFonts w:cs="Arial"/>
                <w:bCs/>
                <w:color w:val="000000"/>
                <w:sz w:val="16"/>
                <w:szCs w:val="16"/>
              </w:rPr>
              <w:t xml:space="preserve">Debt </w:t>
            </w:r>
            <w:r w:rsidRPr="00F36A06">
              <w:rPr>
                <w:rFonts w:cs="Arial"/>
                <w:bCs/>
                <w:color w:val="000000"/>
                <w:sz w:val="16"/>
                <w:szCs w:val="16"/>
              </w:rPr>
              <w:t>Premium</w:t>
            </w:r>
            <w:r w:rsidR="00D705AC">
              <w:rPr>
                <w:rFonts w:cs="Arial"/>
                <w:bCs/>
                <w:color w:val="000000"/>
                <w:sz w:val="16"/>
                <w:szCs w:val="16"/>
              </w:rPr>
              <w:t xml:space="preserve"> (10</w:t>
            </w:r>
            <w:r w:rsidRPr="00F36A06">
              <w:rPr>
                <w:rFonts w:cs="Arial"/>
                <w:bCs/>
                <w:color w:val="000000"/>
                <w:sz w:val="16"/>
                <w:szCs w:val="16"/>
              </w:rPr>
              <w:t>.2 below)</w:t>
            </w:r>
          </w:p>
        </w:tc>
        <w:tc>
          <w:tcPr>
            <w:tcW w:w="1701" w:type="dxa"/>
            <w:tcBorders>
              <w:bottom w:val="single" w:sz="4" w:space="0" w:color="auto"/>
            </w:tcBorders>
            <w:shd w:val="clear" w:color="auto" w:fill="auto"/>
            <w:noWrap/>
            <w:vAlign w:val="bottom"/>
          </w:tcPr>
          <w:p w:rsidR="00D81FCA" w:rsidRPr="00F36A06" w:rsidRDefault="00D81FCA" w:rsidP="00A478AD">
            <w:pPr>
              <w:tabs>
                <w:tab w:val="clear" w:pos="851"/>
                <w:tab w:val="right" w:pos="884"/>
              </w:tabs>
              <w:spacing w:before="20" w:after="20"/>
              <w:ind w:left="34"/>
              <w:jc w:val="center"/>
              <w:rPr>
                <w:rFonts w:cs="Arial"/>
                <w:bCs/>
                <w:color w:val="000000"/>
                <w:sz w:val="16"/>
                <w:szCs w:val="16"/>
              </w:rPr>
            </w:pPr>
            <w:r w:rsidRPr="00F36A06">
              <w:rPr>
                <w:rFonts w:cs="Arial"/>
                <w:bCs/>
                <w:color w:val="000000"/>
                <w:sz w:val="16"/>
                <w:szCs w:val="16"/>
              </w:rPr>
              <w:t>0.30%</w:t>
            </w:r>
          </w:p>
        </w:tc>
        <w:tc>
          <w:tcPr>
            <w:tcW w:w="1985" w:type="dxa"/>
            <w:tcBorders>
              <w:bottom w:val="single" w:sz="4" w:space="0" w:color="auto"/>
            </w:tcBorders>
            <w:shd w:val="clear" w:color="auto" w:fill="auto"/>
            <w:noWrap/>
            <w:vAlign w:val="bottom"/>
          </w:tcPr>
          <w:p w:rsidR="00D81FCA" w:rsidRPr="00F36A06" w:rsidRDefault="00D81FCA" w:rsidP="00A478AD">
            <w:pPr>
              <w:tabs>
                <w:tab w:val="clear" w:pos="851"/>
                <w:tab w:val="right" w:pos="1026"/>
              </w:tabs>
              <w:spacing w:before="20" w:after="20"/>
              <w:ind w:left="0"/>
              <w:jc w:val="center"/>
              <w:rPr>
                <w:rFonts w:cs="Arial"/>
                <w:bCs/>
                <w:color w:val="000000"/>
                <w:sz w:val="16"/>
                <w:szCs w:val="16"/>
              </w:rPr>
            </w:pPr>
            <w:r w:rsidRPr="00F36A06">
              <w:rPr>
                <w:rFonts w:cs="Arial"/>
                <w:bCs/>
                <w:color w:val="000000"/>
                <w:sz w:val="16"/>
                <w:szCs w:val="16"/>
              </w:rPr>
              <w:t>0.30%</w:t>
            </w:r>
          </w:p>
        </w:tc>
        <w:tc>
          <w:tcPr>
            <w:tcW w:w="1842" w:type="dxa"/>
            <w:tcBorders>
              <w:bottom w:val="single" w:sz="4" w:space="0" w:color="auto"/>
            </w:tcBorders>
            <w:shd w:val="clear" w:color="auto" w:fill="auto"/>
            <w:noWrap/>
            <w:vAlign w:val="bottom"/>
          </w:tcPr>
          <w:p w:rsidR="00D81FCA" w:rsidRPr="00F36A06" w:rsidRDefault="00D81FCA" w:rsidP="00A478AD">
            <w:pPr>
              <w:tabs>
                <w:tab w:val="clear" w:pos="851"/>
                <w:tab w:val="right" w:pos="1168"/>
              </w:tabs>
              <w:spacing w:before="20" w:after="20"/>
              <w:ind w:left="0"/>
              <w:jc w:val="center"/>
              <w:rPr>
                <w:rFonts w:cs="Arial"/>
                <w:bCs/>
                <w:color w:val="000000"/>
                <w:sz w:val="16"/>
                <w:szCs w:val="16"/>
              </w:rPr>
            </w:pPr>
            <w:r w:rsidRPr="00F36A06">
              <w:rPr>
                <w:rFonts w:cs="Arial"/>
                <w:bCs/>
                <w:color w:val="000000"/>
                <w:sz w:val="16"/>
                <w:szCs w:val="16"/>
              </w:rPr>
              <w:t>0.30%</w:t>
            </w:r>
          </w:p>
        </w:tc>
      </w:tr>
      <w:tr w:rsidR="00D81FCA" w:rsidRPr="00F36A06" w:rsidTr="00F36A06">
        <w:trPr>
          <w:trHeight w:val="289"/>
        </w:trPr>
        <w:tc>
          <w:tcPr>
            <w:tcW w:w="3260" w:type="dxa"/>
            <w:shd w:val="clear" w:color="auto" w:fill="auto"/>
            <w:noWrap/>
          </w:tcPr>
          <w:p w:rsidR="00D81FCA" w:rsidRPr="00F36A06" w:rsidRDefault="00D81FCA" w:rsidP="00312A77">
            <w:pPr>
              <w:tabs>
                <w:tab w:val="clear" w:pos="851"/>
              </w:tabs>
              <w:spacing w:before="20" w:after="20"/>
              <w:ind w:left="34"/>
              <w:rPr>
                <w:rFonts w:cs="Arial"/>
                <w:bCs/>
                <w:color w:val="000000"/>
                <w:sz w:val="16"/>
                <w:szCs w:val="16"/>
              </w:rPr>
            </w:pPr>
            <w:r w:rsidRPr="00F36A06">
              <w:rPr>
                <w:rFonts w:cs="Arial"/>
                <w:bCs/>
                <w:color w:val="000000"/>
                <w:sz w:val="16"/>
                <w:szCs w:val="16"/>
              </w:rPr>
              <w:t>Company Cost of Debt</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D81FCA" w:rsidRPr="00F36A06" w:rsidRDefault="00D81FCA" w:rsidP="00A478AD">
            <w:pPr>
              <w:tabs>
                <w:tab w:val="clear" w:pos="851"/>
                <w:tab w:val="right" w:pos="884"/>
              </w:tabs>
              <w:spacing w:before="20" w:after="20"/>
              <w:ind w:left="34"/>
              <w:jc w:val="center"/>
              <w:rPr>
                <w:rFonts w:cs="Arial"/>
                <w:bCs/>
                <w:color w:val="000000"/>
                <w:sz w:val="16"/>
                <w:szCs w:val="16"/>
              </w:rPr>
            </w:pPr>
            <w:r w:rsidRPr="00F36A06">
              <w:rPr>
                <w:rFonts w:cs="Arial"/>
                <w:bCs/>
                <w:color w:val="000000"/>
                <w:sz w:val="16"/>
                <w:szCs w:val="16"/>
              </w:rPr>
              <w:t>4.66%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FCA" w:rsidRPr="00F36A06" w:rsidRDefault="00D81FCA" w:rsidP="00A478AD">
            <w:pPr>
              <w:tabs>
                <w:tab w:val="clear" w:pos="851"/>
                <w:tab w:val="right" w:pos="1026"/>
              </w:tabs>
              <w:spacing w:before="20" w:after="20"/>
              <w:ind w:left="0"/>
              <w:jc w:val="center"/>
              <w:rPr>
                <w:rFonts w:cs="Arial"/>
                <w:bCs/>
                <w:color w:val="000000"/>
                <w:sz w:val="16"/>
                <w:szCs w:val="16"/>
              </w:rPr>
            </w:pPr>
            <w:r w:rsidRPr="00F36A06">
              <w:rPr>
                <w:rFonts w:cs="Arial"/>
                <w:bCs/>
                <w:color w:val="000000"/>
                <w:sz w:val="16"/>
                <w:szCs w:val="16"/>
              </w:rPr>
              <w:t>2.62%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FCA" w:rsidRPr="00F36A06" w:rsidRDefault="00D81FCA" w:rsidP="00A478AD">
            <w:pPr>
              <w:tabs>
                <w:tab w:val="clear" w:pos="851"/>
                <w:tab w:val="right" w:pos="1168"/>
              </w:tabs>
              <w:spacing w:before="20" w:after="20"/>
              <w:ind w:left="0"/>
              <w:jc w:val="center"/>
              <w:rPr>
                <w:rFonts w:cs="Arial"/>
                <w:bCs/>
                <w:color w:val="000000"/>
                <w:sz w:val="16"/>
                <w:szCs w:val="16"/>
              </w:rPr>
            </w:pPr>
            <w:r w:rsidRPr="00F36A06">
              <w:rPr>
                <w:rFonts w:cs="Arial"/>
                <w:bCs/>
                <w:color w:val="000000"/>
                <w:sz w:val="16"/>
                <w:szCs w:val="16"/>
              </w:rPr>
              <w:t>1.63%</w:t>
            </w:r>
          </w:p>
        </w:tc>
      </w:tr>
      <w:tr w:rsidR="00D81FCA" w:rsidRPr="00F36A06" w:rsidTr="00F36A06">
        <w:trPr>
          <w:trHeight w:val="289"/>
        </w:trPr>
        <w:tc>
          <w:tcPr>
            <w:tcW w:w="3260" w:type="dxa"/>
            <w:shd w:val="clear" w:color="auto" w:fill="auto"/>
            <w:noWrap/>
            <w:hideMark/>
          </w:tcPr>
          <w:p w:rsidR="00D81FCA" w:rsidRPr="00F36A06" w:rsidRDefault="00D81FCA" w:rsidP="00312A77">
            <w:pPr>
              <w:tabs>
                <w:tab w:val="clear" w:pos="851"/>
              </w:tabs>
              <w:spacing w:before="20" w:after="20"/>
              <w:ind w:left="34"/>
              <w:rPr>
                <w:rFonts w:cs="Arial"/>
                <w:bCs/>
                <w:color w:val="000000"/>
                <w:sz w:val="16"/>
                <w:szCs w:val="16"/>
              </w:rPr>
            </w:pPr>
            <w:r w:rsidRPr="00F36A06">
              <w:rPr>
                <w:rFonts w:cs="Arial"/>
                <w:bCs/>
                <w:color w:val="000000"/>
                <w:sz w:val="16"/>
                <w:szCs w:val="16"/>
              </w:rPr>
              <w:t>Company Appointed WACC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81FCA" w:rsidRPr="00F36A06" w:rsidRDefault="00D81FCA" w:rsidP="00A478AD">
            <w:pPr>
              <w:tabs>
                <w:tab w:val="clear" w:pos="851"/>
                <w:tab w:val="right" w:pos="884"/>
              </w:tabs>
              <w:spacing w:before="20" w:after="20"/>
              <w:ind w:left="34"/>
              <w:jc w:val="center"/>
              <w:rPr>
                <w:rFonts w:cs="Arial"/>
                <w:bCs/>
                <w:color w:val="000000"/>
                <w:sz w:val="16"/>
                <w:szCs w:val="16"/>
              </w:rPr>
            </w:pPr>
            <w:r w:rsidRPr="00F36A06">
              <w:rPr>
                <w:rFonts w:cs="Arial"/>
                <w:bCs/>
                <w:color w:val="000000"/>
                <w:sz w:val="16"/>
                <w:szCs w:val="16"/>
              </w:rPr>
              <w:t>5.65%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FCA" w:rsidRPr="00F36A06" w:rsidRDefault="00D81FCA" w:rsidP="00A478AD">
            <w:pPr>
              <w:tabs>
                <w:tab w:val="clear" w:pos="851"/>
                <w:tab w:val="right" w:pos="1026"/>
              </w:tabs>
              <w:spacing w:before="20" w:after="20"/>
              <w:ind w:left="0"/>
              <w:jc w:val="center"/>
              <w:rPr>
                <w:rFonts w:cs="Arial"/>
                <w:bCs/>
                <w:color w:val="000000"/>
                <w:sz w:val="16"/>
                <w:szCs w:val="16"/>
              </w:rPr>
            </w:pPr>
            <w:r w:rsidRPr="00F36A06">
              <w:rPr>
                <w:rFonts w:cs="Arial"/>
                <w:bCs/>
                <w:color w:val="000000"/>
                <w:sz w:val="16"/>
                <w:szCs w:val="16"/>
              </w:rPr>
              <w:t>3.58%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FCA" w:rsidRPr="00F36A06" w:rsidRDefault="00D81FCA" w:rsidP="00A478AD">
            <w:pPr>
              <w:tabs>
                <w:tab w:val="clear" w:pos="851"/>
                <w:tab w:val="right" w:pos="1168"/>
              </w:tabs>
              <w:spacing w:before="20" w:after="20"/>
              <w:ind w:left="0"/>
              <w:jc w:val="center"/>
              <w:rPr>
                <w:rFonts w:cs="Arial"/>
                <w:bCs/>
                <w:color w:val="000000"/>
                <w:sz w:val="16"/>
                <w:szCs w:val="16"/>
              </w:rPr>
            </w:pPr>
            <w:r w:rsidRPr="00F36A06">
              <w:rPr>
                <w:rFonts w:cs="Arial"/>
                <w:bCs/>
                <w:color w:val="000000"/>
                <w:sz w:val="16"/>
                <w:szCs w:val="16"/>
              </w:rPr>
              <w:t>2.58%</w:t>
            </w:r>
          </w:p>
        </w:tc>
      </w:tr>
      <w:tr w:rsidR="00D81FCA" w:rsidRPr="00F36A06" w:rsidTr="00F36A06">
        <w:trPr>
          <w:trHeight w:val="289"/>
        </w:trPr>
        <w:tc>
          <w:tcPr>
            <w:tcW w:w="3260" w:type="dxa"/>
            <w:shd w:val="clear" w:color="auto" w:fill="auto"/>
            <w:noWrap/>
            <w:hideMark/>
          </w:tcPr>
          <w:p w:rsidR="00D81FCA" w:rsidRPr="00F36A06" w:rsidRDefault="00D81FCA" w:rsidP="00312A77">
            <w:pPr>
              <w:tabs>
                <w:tab w:val="clear" w:pos="851"/>
              </w:tabs>
              <w:spacing w:before="20" w:after="20"/>
              <w:ind w:left="34"/>
              <w:rPr>
                <w:rFonts w:cs="Arial"/>
                <w:bCs/>
                <w:color w:val="000000"/>
                <w:sz w:val="16"/>
                <w:szCs w:val="16"/>
              </w:rPr>
            </w:pPr>
            <w:r w:rsidRPr="00F36A06">
              <w:rPr>
                <w:rFonts w:cs="Arial"/>
                <w:bCs/>
                <w:color w:val="000000"/>
                <w:sz w:val="16"/>
                <w:szCs w:val="16"/>
              </w:rPr>
              <w:t>Retail Margin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81FCA" w:rsidRPr="00F36A06" w:rsidRDefault="00D81FCA" w:rsidP="00A478AD">
            <w:pPr>
              <w:tabs>
                <w:tab w:val="clear" w:pos="851"/>
                <w:tab w:val="right" w:pos="884"/>
              </w:tabs>
              <w:spacing w:before="20" w:after="20"/>
              <w:ind w:left="34"/>
              <w:jc w:val="center"/>
              <w:rPr>
                <w:rFonts w:cs="Arial"/>
                <w:bCs/>
                <w:color w:val="000000"/>
                <w:sz w:val="16"/>
                <w:szCs w:val="16"/>
              </w:rPr>
            </w:pPr>
            <w:r w:rsidRPr="00F36A06">
              <w:rPr>
                <w:rFonts w:cs="Arial"/>
                <w:bCs/>
                <w:color w:val="000000"/>
                <w:sz w:val="16"/>
                <w:szCs w:val="16"/>
              </w:rPr>
              <w:t>0.10%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FCA" w:rsidRPr="00F36A06" w:rsidRDefault="00D81FCA" w:rsidP="00A478AD">
            <w:pPr>
              <w:tabs>
                <w:tab w:val="clear" w:pos="851"/>
                <w:tab w:val="right" w:pos="1026"/>
              </w:tabs>
              <w:spacing w:before="20" w:after="20"/>
              <w:ind w:left="0"/>
              <w:jc w:val="center"/>
              <w:rPr>
                <w:rFonts w:cs="Arial"/>
                <w:bCs/>
                <w:color w:val="000000"/>
                <w:sz w:val="16"/>
                <w:szCs w:val="16"/>
              </w:rPr>
            </w:pPr>
            <w:r w:rsidRPr="00F36A06">
              <w:rPr>
                <w:rFonts w:cs="Arial"/>
                <w:bCs/>
                <w:color w:val="000000"/>
                <w:sz w:val="16"/>
                <w:szCs w:val="16"/>
              </w:rPr>
              <w:t>0.10%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FCA" w:rsidRPr="00F36A06" w:rsidRDefault="00D81FCA" w:rsidP="00A478AD">
            <w:pPr>
              <w:tabs>
                <w:tab w:val="clear" w:pos="851"/>
                <w:tab w:val="right" w:pos="1168"/>
              </w:tabs>
              <w:spacing w:before="20" w:after="20"/>
              <w:ind w:left="0"/>
              <w:jc w:val="center"/>
              <w:rPr>
                <w:rFonts w:cs="Arial"/>
                <w:bCs/>
                <w:color w:val="000000"/>
                <w:sz w:val="16"/>
                <w:szCs w:val="16"/>
              </w:rPr>
            </w:pPr>
            <w:r w:rsidRPr="00F36A06">
              <w:rPr>
                <w:rFonts w:cs="Arial"/>
                <w:bCs/>
                <w:color w:val="000000"/>
                <w:sz w:val="16"/>
                <w:szCs w:val="16"/>
              </w:rPr>
              <w:t>0.10%</w:t>
            </w:r>
          </w:p>
        </w:tc>
      </w:tr>
      <w:tr w:rsidR="00D81FCA" w:rsidRPr="00F36A06" w:rsidTr="00F36A06">
        <w:trPr>
          <w:trHeight w:val="289"/>
        </w:trPr>
        <w:tc>
          <w:tcPr>
            <w:tcW w:w="3260" w:type="dxa"/>
            <w:shd w:val="clear" w:color="auto" w:fill="auto"/>
            <w:noWrap/>
            <w:hideMark/>
          </w:tcPr>
          <w:p w:rsidR="00D81FCA" w:rsidRPr="00F36A06" w:rsidRDefault="00D81FCA" w:rsidP="00312A77">
            <w:pPr>
              <w:tabs>
                <w:tab w:val="clear" w:pos="851"/>
              </w:tabs>
              <w:spacing w:before="20" w:after="20"/>
              <w:ind w:left="34"/>
              <w:rPr>
                <w:rFonts w:cs="Arial"/>
                <w:bCs/>
                <w:color w:val="000000"/>
                <w:sz w:val="16"/>
                <w:szCs w:val="16"/>
              </w:rPr>
            </w:pPr>
            <w:r w:rsidRPr="00F36A06">
              <w:rPr>
                <w:rFonts w:cs="Arial"/>
                <w:bCs/>
                <w:color w:val="000000"/>
                <w:sz w:val="16"/>
                <w:szCs w:val="16"/>
              </w:rPr>
              <w:t>Company Wholesale WACC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81FCA" w:rsidRPr="00F36A06" w:rsidRDefault="00D81FCA" w:rsidP="00A478AD">
            <w:pPr>
              <w:tabs>
                <w:tab w:val="clear" w:pos="851"/>
                <w:tab w:val="right" w:pos="884"/>
              </w:tabs>
              <w:spacing w:before="20" w:after="20"/>
              <w:ind w:left="34"/>
              <w:jc w:val="center"/>
              <w:rPr>
                <w:rFonts w:cs="Arial"/>
                <w:bCs/>
                <w:color w:val="000000"/>
                <w:sz w:val="16"/>
                <w:szCs w:val="16"/>
              </w:rPr>
            </w:pPr>
            <w:r w:rsidRPr="00F36A06">
              <w:rPr>
                <w:rFonts w:cs="Arial"/>
                <w:bCs/>
                <w:color w:val="000000"/>
                <w:sz w:val="16"/>
                <w:szCs w:val="16"/>
              </w:rPr>
              <w:t>5.55%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FCA" w:rsidRPr="00F36A06" w:rsidRDefault="00D81FCA" w:rsidP="00A478AD">
            <w:pPr>
              <w:tabs>
                <w:tab w:val="clear" w:pos="851"/>
                <w:tab w:val="right" w:pos="1026"/>
              </w:tabs>
              <w:spacing w:before="20" w:after="20"/>
              <w:ind w:left="0"/>
              <w:jc w:val="center"/>
              <w:rPr>
                <w:rFonts w:cs="Arial"/>
                <w:bCs/>
                <w:color w:val="000000"/>
                <w:sz w:val="16"/>
                <w:szCs w:val="16"/>
              </w:rPr>
            </w:pPr>
            <w:r w:rsidRPr="00F36A06">
              <w:rPr>
                <w:rFonts w:cs="Arial"/>
                <w:bCs/>
                <w:color w:val="000000"/>
                <w:sz w:val="16"/>
                <w:szCs w:val="16"/>
              </w:rPr>
              <w:t>3.48%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FCA" w:rsidRPr="00F36A06" w:rsidRDefault="00D81FCA" w:rsidP="00A478AD">
            <w:pPr>
              <w:tabs>
                <w:tab w:val="clear" w:pos="851"/>
                <w:tab w:val="right" w:pos="1168"/>
              </w:tabs>
              <w:spacing w:before="20" w:after="20"/>
              <w:ind w:left="0"/>
              <w:jc w:val="center"/>
              <w:rPr>
                <w:rFonts w:cs="Arial"/>
                <w:bCs/>
                <w:color w:val="000000"/>
                <w:sz w:val="16"/>
                <w:szCs w:val="16"/>
              </w:rPr>
            </w:pPr>
            <w:r w:rsidRPr="00F36A06">
              <w:rPr>
                <w:rFonts w:cs="Arial"/>
                <w:bCs/>
                <w:color w:val="000000"/>
                <w:sz w:val="16"/>
                <w:szCs w:val="16"/>
              </w:rPr>
              <w:t>2.48%</w:t>
            </w:r>
          </w:p>
        </w:tc>
      </w:tr>
    </w:tbl>
    <w:p w:rsidR="00A478AD" w:rsidRDefault="00A478AD" w:rsidP="0035083C">
      <w:pPr>
        <w:spacing w:after="0"/>
      </w:pPr>
    </w:p>
    <w:p w:rsidR="008B1A93" w:rsidRDefault="00D81FCA" w:rsidP="0035083C">
      <w:pPr>
        <w:rPr>
          <w:rFonts w:cs="Arial"/>
        </w:rPr>
      </w:pPr>
      <w:r>
        <w:t>In line with Ofwat’s view for 2020-2025 we have applied the WACC consistently across the two wholesale price controls</w:t>
      </w:r>
      <w:r w:rsidR="008B1A93">
        <w:rPr>
          <w:rFonts w:cs="Arial"/>
        </w:rPr>
        <w:t>, Water Resources and Network</w:t>
      </w:r>
      <w:r w:rsidR="00B17568">
        <w:rPr>
          <w:rFonts w:cs="Arial"/>
        </w:rPr>
        <w:t xml:space="preserve"> </w:t>
      </w:r>
      <w:r w:rsidR="00F108D0">
        <w:rPr>
          <w:rFonts w:cs="Arial"/>
        </w:rPr>
        <w:t>Plus</w:t>
      </w:r>
      <w:r w:rsidR="008B1A93">
        <w:rPr>
          <w:rFonts w:cs="Arial"/>
        </w:rPr>
        <w:t>.</w:t>
      </w:r>
    </w:p>
    <w:p w:rsidR="008B1A93" w:rsidRPr="008B1A93" w:rsidRDefault="008B1A93" w:rsidP="0035083C">
      <w:pPr>
        <w:rPr>
          <w:rFonts w:cs="Arial"/>
        </w:rPr>
      </w:pPr>
      <w:r>
        <w:rPr>
          <w:rFonts w:cs="Arial"/>
        </w:rPr>
        <w:t xml:space="preserve">Similarly, the Retail Margin of 1% has been applied in line with Ofwat’s early view on the cost of capital to the retail price control. </w:t>
      </w:r>
    </w:p>
    <w:p w:rsidR="0099774F" w:rsidRDefault="0099774F" w:rsidP="0099774F">
      <w:pPr>
        <w:pStyle w:val="Heading2"/>
      </w:pPr>
      <w:bookmarkStart w:id="234" w:name="_Toc522200035"/>
      <w:bookmarkStart w:id="235" w:name="_Toc522200132"/>
      <w:bookmarkStart w:id="236" w:name="_Toc523651325"/>
      <w:r>
        <w:t>Company Specific Premium</w:t>
      </w:r>
      <w:bookmarkEnd w:id="234"/>
      <w:bookmarkEnd w:id="235"/>
      <w:bookmarkEnd w:id="236"/>
    </w:p>
    <w:p w:rsidR="00D81FCA" w:rsidRDefault="00D81FCA" w:rsidP="004456AC">
      <w:r>
        <w:t xml:space="preserve">In Delivering Water 2020 Ofwat recognised that </w:t>
      </w:r>
      <w:r w:rsidRPr="00956B15">
        <w:t>“</w:t>
      </w:r>
      <w:r w:rsidRPr="004456AC">
        <w:rPr>
          <w:i/>
        </w:rPr>
        <w:t>There is some evidence that some of the smaller water only companies have historically had more limited options available to them for raising efficient debt. This may suggest it is reasonable to allow a higher cost of debt for such companies. However, given our statutory duties taken together, we remain of the view that we should only consider this reasonable where there is compelling evidence that customers will benefit and support the proposal.”</w:t>
      </w:r>
      <w:r>
        <w:t xml:space="preserve">  </w:t>
      </w:r>
    </w:p>
    <w:p w:rsidR="00D81FCA" w:rsidRDefault="00D81FCA" w:rsidP="004456AC">
      <w:r>
        <w:t xml:space="preserve">It is our view that the Company has, historically, had more limited options available for raising debt but </w:t>
      </w:r>
      <w:r w:rsidR="008B1A93">
        <w:t xml:space="preserve">we have </w:t>
      </w:r>
      <w:r>
        <w:t xml:space="preserve">evidenced clearly, both historically and for PR19, the overall benefit that it has brought to customers both in terms of efficient </w:t>
      </w:r>
      <w:r w:rsidR="008B1A93">
        <w:t xml:space="preserve">industry </w:t>
      </w:r>
      <w:r>
        <w:t xml:space="preserve">cost benchmarking and in driving customer service levels.  </w:t>
      </w:r>
      <w:r w:rsidR="00F108D0">
        <w:t>As a small company these limits on financing options are likely to continue.</w:t>
      </w:r>
    </w:p>
    <w:p w:rsidR="00D81FCA" w:rsidRPr="00956B15" w:rsidRDefault="00D81FCA" w:rsidP="004456AC">
      <w:r>
        <w:t xml:space="preserve">We recognise the importance of a high evidential bar supporting this position.  We therefore include in our </w:t>
      </w:r>
      <w:r w:rsidR="00427C3F">
        <w:t>Appendices</w:t>
      </w:r>
      <w:r>
        <w:t xml:space="preserve"> four reports evidencing customer support, customer benefits, and calculation of the adjustment.  These reports are referenced further below where we have summarised the key points in line with Ofwat’s evidentiary tests.</w:t>
      </w:r>
    </w:p>
    <w:p w:rsidR="00D81FCA" w:rsidRDefault="00D81FCA" w:rsidP="004456AC">
      <w:r>
        <w:t xml:space="preserve">We have proposed a 30bp increase in the cost of debt.  This is higher than the 25bp increased assumed by Ofwat </w:t>
      </w:r>
      <w:r w:rsidR="00F108D0">
        <w:t xml:space="preserve">in the </w:t>
      </w:r>
      <w:r>
        <w:t>PR1</w:t>
      </w:r>
      <w:r w:rsidR="00F108D0">
        <w:t>4 determination</w:t>
      </w:r>
      <w:r>
        <w:t>.</w:t>
      </w:r>
      <w:r w:rsidR="00F108D0">
        <w:t xml:space="preserve"> </w:t>
      </w:r>
      <w:r>
        <w:t xml:space="preserve"> Accordingly, we have set out under </w:t>
      </w:r>
      <w:r w:rsidR="00B17568">
        <w:t>10</w:t>
      </w:r>
      <w:r>
        <w:t xml:space="preserve">.2.3 below the compelling evidence supporting this level.  </w:t>
      </w:r>
    </w:p>
    <w:p w:rsidR="00D81FCA" w:rsidRPr="00C63D37" w:rsidRDefault="00D81FCA" w:rsidP="006D12EE">
      <w:pPr>
        <w:pStyle w:val="Heading3"/>
      </w:pPr>
      <w:bookmarkStart w:id="237" w:name="_Toc522200036"/>
      <w:bookmarkStart w:id="238" w:name="_Toc522200133"/>
      <w:bookmarkStart w:id="239" w:name="_Toc523651326"/>
      <w:r w:rsidRPr="00C63D37">
        <w:t>Evidence of customer support</w:t>
      </w:r>
      <w:bookmarkEnd w:id="237"/>
      <w:bookmarkEnd w:id="238"/>
      <w:bookmarkEnd w:id="239"/>
    </w:p>
    <w:p w:rsidR="00D81FCA" w:rsidRPr="00E1498B" w:rsidRDefault="00D81FCA" w:rsidP="00D81FCA">
      <w:r w:rsidRPr="00E1498B">
        <w:t>The overall impact of the 30bp company specific adjustment</w:t>
      </w:r>
      <w:r>
        <w:t>, upon bill levels in</w:t>
      </w:r>
      <w:r w:rsidRPr="00E1498B">
        <w:t xml:space="preserve"> the AMP</w:t>
      </w:r>
      <w:r>
        <w:t>,</w:t>
      </w:r>
      <w:r w:rsidRPr="00E1498B">
        <w:t xml:space="preserve"> results in </w:t>
      </w:r>
      <w:r>
        <w:t xml:space="preserve">an average </w:t>
      </w:r>
      <w:r w:rsidR="008B1A93">
        <w:t xml:space="preserve">annual </w:t>
      </w:r>
      <w:r>
        <w:t>bill increase of under £0.80</w:t>
      </w:r>
      <w:r w:rsidR="00CD0ED9">
        <w:t xml:space="preserve"> which is less than 1% of the overall bill level</w:t>
      </w:r>
      <w:r w:rsidRPr="00E1498B">
        <w:t xml:space="preserve">.  We have undertaken customer </w:t>
      </w:r>
      <w:r w:rsidR="00871242" w:rsidRPr="00E1498B">
        <w:t>research that</w:t>
      </w:r>
      <w:r w:rsidRPr="00E1498B">
        <w:t xml:space="preserve"> </w:t>
      </w:r>
      <w:r w:rsidR="00CD0ED9">
        <w:t xml:space="preserve">strongly </w:t>
      </w:r>
      <w:r w:rsidRPr="00E1498B">
        <w:t xml:space="preserve">supports this level premium together </w:t>
      </w:r>
      <w:r w:rsidR="00BE487E">
        <w:t>with bill levels in the round.</w:t>
      </w:r>
      <w:r w:rsidR="00F108D0">
        <w:t xml:space="preserve">  Customers, in focus groups, gave very strong support to the value of being served by a small, well performing, local company.  They felt that the modest £0.80 bill increase was more than compensated by the benefits.</w:t>
      </w:r>
      <w:r w:rsidR="00BE487E">
        <w:t xml:space="preserve">  This is set out in Appendix 2.26 and Appendix 2.28.</w:t>
      </w:r>
    </w:p>
    <w:p w:rsidR="00D81FCA" w:rsidRPr="00C63D37" w:rsidRDefault="00D81FCA" w:rsidP="006D12EE">
      <w:pPr>
        <w:pStyle w:val="Heading3"/>
      </w:pPr>
      <w:bookmarkStart w:id="240" w:name="_Toc522200037"/>
      <w:bookmarkStart w:id="241" w:name="_Toc522200134"/>
      <w:bookmarkStart w:id="242" w:name="_Toc523651327"/>
      <w:r w:rsidRPr="00C63D37">
        <w:t>Benefits compensating customers for the increased cost</w:t>
      </w:r>
      <w:bookmarkEnd w:id="240"/>
      <w:bookmarkEnd w:id="241"/>
      <w:bookmarkEnd w:id="242"/>
    </w:p>
    <w:p w:rsidR="00D81FCA" w:rsidRPr="00E1498B" w:rsidRDefault="00D81FCA" w:rsidP="00D81FCA">
      <w:r w:rsidRPr="00E1498B">
        <w:t>We have commissioned NERA Economic Consulting (NERA)</w:t>
      </w:r>
      <w:r w:rsidR="008B1A93">
        <w:t xml:space="preserve">, </w:t>
      </w:r>
      <w:r w:rsidRPr="00E1498B">
        <w:t>to prepare a detailed report calculating the value of benefits to customer</w:t>
      </w:r>
      <w:r w:rsidR="008B1A93">
        <w:t>s</w:t>
      </w:r>
      <w:r w:rsidR="00B17568">
        <w:t xml:space="preserve">, </w:t>
      </w:r>
      <w:r w:rsidR="00427C3F">
        <w:t>Appendix</w:t>
      </w:r>
      <w:r w:rsidR="00B17568">
        <w:t xml:space="preserve"> 10.</w:t>
      </w:r>
      <w:r w:rsidR="00BE487E">
        <w:t>2</w:t>
      </w:r>
      <w:r w:rsidR="00B17568">
        <w:t xml:space="preserve"> Customer Benefit Test for a specific Company adjustment for the Cost of Debt</w:t>
      </w:r>
      <w:r w:rsidRPr="00E1498B">
        <w:t>.  This clearly demonstrates a net benefit arising to customers</w:t>
      </w:r>
      <w:r w:rsidR="008B1A93">
        <w:t xml:space="preserve"> (both our own and the industry as a whole)</w:t>
      </w:r>
      <w:r w:rsidRPr="00E1498B">
        <w:t xml:space="preserve"> as </w:t>
      </w:r>
      <w:r w:rsidR="00B17568">
        <w:t xml:space="preserve">both </w:t>
      </w:r>
      <w:r w:rsidRPr="00E1498B">
        <w:t>an upper quartile efficient cost comparator and strong perform</w:t>
      </w:r>
      <w:r w:rsidR="00850C3A">
        <w:t>er</w:t>
      </w:r>
      <w:r w:rsidRPr="00E1498B">
        <w:t xml:space="preserve"> in customer services metrics particularly the Service Incentive Mechanism (SIM).</w:t>
      </w:r>
    </w:p>
    <w:p w:rsidR="00D81FCA" w:rsidRDefault="00D81FCA" w:rsidP="00ED732A">
      <w:r w:rsidRPr="00E1498B">
        <w:t xml:space="preserve">The NERA analysis has been prepared using </w:t>
      </w:r>
      <w:r w:rsidR="00A478AD">
        <w:t xml:space="preserve">a </w:t>
      </w:r>
      <w:r w:rsidRPr="00E1498B">
        <w:t>methodology in line with the Statement of Methods for assessing the benefits arising from mergers.  This is also consistent with the PR14 methodology.  The merger tests have been modified to reflect only the</w:t>
      </w:r>
      <w:r>
        <w:t xml:space="preserve"> costs and</w:t>
      </w:r>
      <w:r w:rsidRPr="00E1498B">
        <w:t xml:space="preserve"> benefits for the PR19 period, as this is the only period over which the Company Specific Premium will be </w:t>
      </w:r>
      <w:r w:rsidR="008B1A93">
        <w:t>recognised</w:t>
      </w:r>
      <w:r>
        <w:t xml:space="preserve">.  No commitment is made by Ofwat over multiple price control </w:t>
      </w:r>
      <w:r w:rsidR="00871242">
        <w:t>periods,</w:t>
      </w:r>
      <w:r w:rsidRPr="00E1498B">
        <w:t xml:space="preserve"> as</w:t>
      </w:r>
      <w:r>
        <w:t xml:space="preserve"> the premium</w:t>
      </w:r>
      <w:r w:rsidRPr="00E1498B">
        <w:t xml:space="preserve"> would be reconsidered as part of the next price review.</w:t>
      </w:r>
      <w:r>
        <w:t xml:space="preserve">  In </w:t>
      </w:r>
      <w:r w:rsidR="005E4D50">
        <w:t>addition,</w:t>
      </w:r>
      <w:r>
        <w:t xml:space="preserve"> NERA disagrees with the </w:t>
      </w:r>
      <w:r w:rsidR="00A478AD">
        <w:t>scaling back</w:t>
      </w:r>
      <w:r>
        <w:t xml:space="preserve"> of </w:t>
      </w:r>
      <w:r w:rsidR="00A478AD">
        <w:t xml:space="preserve">the </w:t>
      </w:r>
      <w:r>
        <w:t>benefits by 1/6</w:t>
      </w:r>
      <w:r w:rsidRPr="00CE02A5">
        <w:rPr>
          <w:vertAlign w:val="superscript"/>
        </w:rPr>
        <w:t>th</w:t>
      </w:r>
      <w:r>
        <w:t xml:space="preserve"> to 1/3</w:t>
      </w:r>
      <w:r w:rsidRPr="00CE02A5">
        <w:rPr>
          <w:vertAlign w:val="superscript"/>
        </w:rPr>
        <w:t>rd</w:t>
      </w:r>
      <w:r>
        <w:t xml:space="preserve"> </w:t>
      </w:r>
      <w:r w:rsidR="007501C4">
        <w:t xml:space="preserve">to reflect Ofwat’s view of the probability of a merger, </w:t>
      </w:r>
      <w:r>
        <w:t xml:space="preserve">as this </w:t>
      </w:r>
      <w:r w:rsidR="00B30BB3">
        <w:t>is an unjustified and</w:t>
      </w:r>
      <w:r>
        <w:t xml:space="preserve"> arbitrary adjustment</w:t>
      </w:r>
      <w:r w:rsidR="000F2153">
        <w:t>, as noted by the</w:t>
      </w:r>
      <w:r w:rsidR="00560B22">
        <w:t xml:space="preserve"> </w:t>
      </w:r>
      <w:r w:rsidR="00560B22" w:rsidRPr="00560B22">
        <w:t>Competitive &amp; Markets Authority</w:t>
      </w:r>
      <w:r w:rsidR="000F2153">
        <w:t xml:space="preserve"> CMA</w:t>
      </w:r>
      <w:r>
        <w:t xml:space="preserve">. </w:t>
      </w:r>
      <w:r w:rsidR="00AC5C91">
        <w:t xml:space="preserve"> </w:t>
      </w:r>
      <w:r w:rsidR="000F2153">
        <w:t>Notwithstanding our concerns with this adjustment,</w:t>
      </w:r>
      <w:r>
        <w:t xml:space="preserve"> </w:t>
      </w:r>
      <w:r w:rsidR="000F2153">
        <w:t>NERA calculates a positive</w:t>
      </w:r>
      <w:r>
        <w:t xml:space="preserve"> net benefit </w:t>
      </w:r>
      <w:r w:rsidR="000F2153">
        <w:t>where the benefits are scaled-back</w:t>
      </w:r>
      <w:r>
        <w:t>.</w:t>
      </w:r>
    </w:p>
    <w:p w:rsidR="00D81FCA" w:rsidRPr="00E1498B" w:rsidRDefault="00D81FCA" w:rsidP="00ED732A">
      <w:r>
        <w:t>The analysis by NERA has c</w:t>
      </w:r>
      <w:r w:rsidR="00871242">
        <w:t>onsidered the two key questions:</w:t>
      </w:r>
    </w:p>
    <w:p w:rsidR="00D81FCA" w:rsidRPr="00336A93" w:rsidRDefault="00D81FCA" w:rsidP="00F36A06">
      <w:pPr>
        <w:pStyle w:val="Bullets"/>
      </w:pPr>
      <w:r w:rsidRPr="00336A93">
        <w:t xml:space="preserve">Has the </w:t>
      </w:r>
      <w:r w:rsidR="00850C3A">
        <w:t>C</w:t>
      </w:r>
      <w:r w:rsidRPr="00336A93">
        <w:t>ompany had a beneficial effect on Ofwat cost benchmarks?</w:t>
      </w:r>
    </w:p>
    <w:p w:rsidR="00D81FCA" w:rsidRDefault="00D81FCA" w:rsidP="00F36A06">
      <w:pPr>
        <w:pStyle w:val="Bullets"/>
      </w:pPr>
      <w:r w:rsidRPr="00336A93">
        <w:t>Has the Company has a beneficial effect on Ofwat Service benchmarks?</w:t>
      </w:r>
    </w:p>
    <w:p w:rsidR="000F2153" w:rsidRDefault="000F2153" w:rsidP="000F2153">
      <w:pPr>
        <w:pStyle w:val="Bullets"/>
        <w:numPr>
          <w:ilvl w:val="0"/>
          <w:numId w:val="0"/>
        </w:numPr>
        <w:ind w:left="1854"/>
      </w:pPr>
    </w:p>
    <w:p w:rsidR="00AC5C91" w:rsidRDefault="00AC5C91">
      <w:pPr>
        <w:tabs>
          <w:tab w:val="clear" w:pos="851"/>
        </w:tabs>
        <w:spacing w:after="0"/>
        <w:ind w:left="0"/>
        <w:jc w:val="left"/>
        <w:rPr>
          <w:b/>
          <w:bCs/>
        </w:rPr>
      </w:pPr>
      <w:r>
        <w:rPr>
          <w:b/>
          <w:bCs/>
        </w:rPr>
        <w:br w:type="page"/>
      </w:r>
    </w:p>
    <w:p w:rsidR="00D81FCA" w:rsidRPr="00AE11CA" w:rsidRDefault="00D81FCA" w:rsidP="00AE11CA">
      <w:pPr>
        <w:rPr>
          <w:b/>
          <w:bCs/>
        </w:rPr>
      </w:pPr>
      <w:r w:rsidRPr="00AE11CA">
        <w:rPr>
          <w:b/>
          <w:bCs/>
        </w:rPr>
        <w:t>Cost of Company specific premium - £1.2m</w:t>
      </w:r>
    </w:p>
    <w:p w:rsidR="00D81FCA" w:rsidRPr="00336A93" w:rsidRDefault="00D81FCA" w:rsidP="00AE11CA">
      <w:r>
        <w:t>Based upon a company specific premium of 30bp and notional gearing of 60% NERA calculated the cost of this allowance at a NPV of £1.2m</w:t>
      </w:r>
      <w:r w:rsidR="00AC257D">
        <w:t xml:space="preserve"> over the AMP</w:t>
      </w:r>
      <w:r>
        <w:t>.  This has been used for the basis of the cost benefit analysis below.</w:t>
      </w:r>
    </w:p>
    <w:p w:rsidR="00D81FCA" w:rsidRPr="00AE11CA" w:rsidRDefault="00D81FCA" w:rsidP="00AE11CA">
      <w:pPr>
        <w:rPr>
          <w:b/>
          <w:bCs/>
        </w:rPr>
      </w:pPr>
      <w:r w:rsidRPr="00AE11CA">
        <w:rPr>
          <w:b/>
          <w:bCs/>
        </w:rPr>
        <w:t>Benefit as an upper quartile efficiency comparator - £42.9m</w:t>
      </w:r>
    </w:p>
    <w:p w:rsidR="00D81FCA" w:rsidRPr="00336A93" w:rsidRDefault="00D81FCA" w:rsidP="00AE11CA">
      <w:r>
        <w:t xml:space="preserve">Drawing on the Ofwat wholesale cost benchmark models, published in March 2018, the NERA report demonstrates that </w:t>
      </w:r>
      <w:r w:rsidR="00B17568">
        <w:t xml:space="preserve">we </w:t>
      </w:r>
      <w:r>
        <w:t xml:space="preserve">perform consistently well across the range of aggregated and disaggregated models.  </w:t>
      </w:r>
    </w:p>
    <w:p w:rsidR="00D81FCA" w:rsidRDefault="00D81FCA" w:rsidP="00AE11CA">
      <w:r>
        <w:t>Using the 12 aggregated models</w:t>
      </w:r>
      <w:r w:rsidR="000F2153">
        <w:rPr>
          <w:rStyle w:val="FootnoteReference"/>
        </w:rPr>
        <w:footnoteReference w:id="2"/>
      </w:r>
      <w:r>
        <w:t xml:space="preserve"> NERA </w:t>
      </w:r>
      <w:r w:rsidRPr="0081417F">
        <w:t xml:space="preserve">calculate </w:t>
      </w:r>
      <w:r>
        <w:t xml:space="preserve">the </w:t>
      </w:r>
      <w:r w:rsidRPr="0081417F">
        <w:t>efficiency score</w:t>
      </w:r>
      <w:r>
        <w:t xml:space="preserve"> for each company</w:t>
      </w:r>
      <w:r w:rsidRPr="0081417F">
        <w:t xml:space="preserve"> by taking the ratio between the </w:t>
      </w:r>
      <w:r>
        <w:t xml:space="preserve">company’s </w:t>
      </w:r>
      <w:r w:rsidRPr="0081417F">
        <w:t>actual and modelled wholesale base water costs, and then calculate the upper quar</w:t>
      </w:r>
      <w:r>
        <w:t xml:space="preserve">tile efficiency score.  </w:t>
      </w:r>
      <w:r w:rsidR="00B17568">
        <w:t xml:space="preserve">Portsmouth Water </w:t>
      </w:r>
      <w:r>
        <w:t>has an efficiency score of 0.89 (i.e. its actual costs are around 11</w:t>
      </w:r>
      <w:r w:rsidR="00560B22">
        <w:t>%</w:t>
      </w:r>
      <w:r>
        <w:t xml:space="preserve"> less than modelled), and ranks third among 17 comparators</w:t>
      </w:r>
      <w:r w:rsidR="000F2153">
        <w:t>, and therefore lies within the upper quartile which is the 5</w:t>
      </w:r>
      <w:r w:rsidR="000F2153" w:rsidRPr="000F2153">
        <w:rPr>
          <w:vertAlign w:val="superscript"/>
        </w:rPr>
        <w:t>th</w:t>
      </w:r>
      <w:r w:rsidR="000F2153">
        <w:t xml:space="preserve"> ranked company</w:t>
      </w:r>
      <w:r>
        <w:t xml:space="preserve">.  </w:t>
      </w:r>
      <w:r w:rsidR="000F2153">
        <w:t>As an upper quartile company, NERA’s analysis shows that retaining Portsmouth as an independent comparator provides a value of £42.9m in terms of Ofwat’s ability to set more challenging efficiency target</w:t>
      </w:r>
      <w:r w:rsidR="00682BD0">
        <w:t>s for the</w:t>
      </w:r>
      <w:r w:rsidR="001E09F0">
        <w:t xml:space="preserve"> wider industry over PR19</w:t>
      </w:r>
      <w:r w:rsidR="001E09F0">
        <w:rPr>
          <w:rStyle w:val="FootnoteReference"/>
        </w:rPr>
        <w:footnoteReference w:id="3"/>
      </w:r>
      <w:r w:rsidR="001E09F0">
        <w:t xml:space="preserve"> and results in an efficiency net benefit of £42.9m. </w:t>
      </w:r>
    </w:p>
    <w:p w:rsidR="00D81FCA" w:rsidRPr="00AE11CA" w:rsidRDefault="00D81FCA" w:rsidP="00AE11CA">
      <w:pPr>
        <w:rPr>
          <w:b/>
          <w:bCs/>
        </w:rPr>
      </w:pPr>
      <w:r w:rsidRPr="00AE11CA">
        <w:rPr>
          <w:b/>
          <w:bCs/>
        </w:rPr>
        <w:t>Benefit of upper quartile service performance - £7.4m</w:t>
      </w:r>
    </w:p>
    <w:p w:rsidR="00D81FCA" w:rsidRDefault="00C95542" w:rsidP="00AE11CA">
      <w:r>
        <w:t xml:space="preserve">We have </w:t>
      </w:r>
      <w:r w:rsidR="00D81FCA">
        <w:t>shown consistently strong customer service</w:t>
      </w:r>
      <w:r>
        <w:t>,</w:t>
      </w:r>
      <w:r w:rsidR="00D81FCA">
        <w:t xml:space="preserve"> as measured in the Service Incentive Mechanism (SIM).  In line with Ofwat’s </w:t>
      </w:r>
      <w:r w:rsidR="00871242">
        <w:t>methodology,</w:t>
      </w:r>
      <w:r w:rsidR="00D81FCA">
        <w:t xml:space="preserve"> NERA has calculated the expected benefit over PR19 </w:t>
      </w:r>
      <w:r w:rsidR="001E09F0">
        <w:t>retaining</w:t>
      </w:r>
      <w:r w:rsidR="00D81FCA">
        <w:t xml:space="preserve"> </w:t>
      </w:r>
      <w:r>
        <w:t xml:space="preserve">Portsmouth Water </w:t>
      </w:r>
      <w:r w:rsidR="00D81FCA">
        <w:t>as</w:t>
      </w:r>
      <w:r w:rsidR="001E09F0">
        <w:t xml:space="preserve"> an</w:t>
      </w:r>
      <w:r w:rsidR="00D81FCA">
        <w:t xml:space="preserve"> independent comparator of between £1.1</w:t>
      </w:r>
      <w:r w:rsidR="00B24CAC">
        <w:t>m</w:t>
      </w:r>
      <w:r w:rsidR="00D81FCA">
        <w:t xml:space="preserve"> and £2.2m per annum</w:t>
      </w:r>
      <w:r>
        <w:t xml:space="preserve">.  </w:t>
      </w:r>
      <w:r w:rsidR="00D81FCA">
        <w:t>Discounting these benefits using the social discount rate (equal to 3.5%), NERA estimate that the overall benefit of retaining Portsmouth in the SIM benchmarking is equal to £7.4m.</w:t>
      </w:r>
    </w:p>
    <w:p w:rsidR="00D81FCA" w:rsidRPr="00AE11CA" w:rsidRDefault="00D81FCA" w:rsidP="00AE11CA">
      <w:pPr>
        <w:rPr>
          <w:b/>
          <w:bCs/>
        </w:rPr>
      </w:pPr>
      <w:r w:rsidRPr="00AE11CA">
        <w:rPr>
          <w:b/>
          <w:bCs/>
        </w:rPr>
        <w:t>Net benefit position</w:t>
      </w:r>
    </w:p>
    <w:p w:rsidR="00A02ED8" w:rsidRDefault="001E09F0" w:rsidP="00AE11CA">
      <w:r>
        <w:t>NERA compare the impact on customers from losing Portsmouth as an independent comparator with the additional financing cost to calculate the overall net benefit.  Overall, NERA shows that the incremental costs of 1.2 million related to the Small Company Premium are a fraction of the benefits from retaining Portsmouth</w:t>
      </w:r>
      <w:r w:rsidR="00850C3A">
        <w:t xml:space="preserve"> Water</w:t>
      </w:r>
      <w:r>
        <w:t xml:space="preserve"> as an average independent comparator at PR19 equal to £50.3 million, equal to the sum of wholesale cost modelling benefits (£42.9m) and SIM (£7.4m).  The overall net benefit is £49.1 million and therefore our higher debt costs should be recognised in allowed revenues in full. </w:t>
      </w:r>
    </w:p>
    <w:p w:rsidR="00D81FCA" w:rsidRDefault="00A02ED8" w:rsidP="00AE11CA">
      <w:r>
        <w:t>NERA also set out the net</w:t>
      </w:r>
      <w:r w:rsidR="00D81FCA">
        <w:t xml:space="preserve"> benefits with </w:t>
      </w:r>
      <w:r w:rsidR="008B1A93">
        <w:t>reference</w:t>
      </w:r>
      <w:r w:rsidR="00D81FCA">
        <w:t xml:space="preserve"> to Ofwat’s proposal that benefits should be scaled back by </w:t>
      </w:r>
      <w:r w:rsidR="008B1A93">
        <w:t>1/6</w:t>
      </w:r>
      <w:r w:rsidR="00560B22" w:rsidRPr="00560B22">
        <w:rPr>
          <w:vertAlign w:val="superscript"/>
        </w:rPr>
        <w:t>th</w:t>
      </w:r>
      <w:r w:rsidR="00D81FCA">
        <w:t xml:space="preserve"> to </w:t>
      </w:r>
      <w:r w:rsidR="008B1A93">
        <w:t>1/3</w:t>
      </w:r>
      <w:r w:rsidR="00560B22" w:rsidRPr="00560B22">
        <w:rPr>
          <w:vertAlign w:val="superscript"/>
        </w:rPr>
        <w:t>rd</w:t>
      </w:r>
      <w:r w:rsidR="00D81FCA">
        <w:t xml:space="preserve"> to take account of Ofwat methodology in relation to the incremental probability of a merger.  This continues to result in an overall net benefit position even after scaling back benefits to the most conservative 1/6</w:t>
      </w:r>
      <w:r w:rsidR="00560B22" w:rsidRPr="00560B22">
        <w:rPr>
          <w:vertAlign w:val="superscript"/>
        </w:rPr>
        <w:t>th</w:t>
      </w:r>
      <w:r w:rsidR="00D81FCA">
        <w:t xml:space="preserve"> level.</w:t>
      </w:r>
    </w:p>
    <w:tbl>
      <w:tblPr>
        <w:tblStyle w:val="TableGrid"/>
        <w:tblW w:w="8788" w:type="dxa"/>
        <w:tblInd w:w="846" w:type="dxa"/>
        <w:tblLook w:val="04A0" w:firstRow="1" w:lastRow="0" w:firstColumn="1" w:lastColumn="0" w:noHBand="0" w:noVBand="1"/>
      </w:tblPr>
      <w:tblGrid>
        <w:gridCol w:w="2693"/>
        <w:gridCol w:w="1985"/>
        <w:gridCol w:w="1984"/>
        <w:gridCol w:w="2126"/>
      </w:tblGrid>
      <w:tr w:rsidR="005257DA" w:rsidRPr="005257DA" w:rsidTr="0058181A">
        <w:tc>
          <w:tcPr>
            <w:tcW w:w="2693" w:type="dxa"/>
            <w:shd w:val="clear" w:color="auto" w:fill="2E74B5" w:themeFill="accent1" w:themeFillShade="BF"/>
          </w:tcPr>
          <w:p w:rsidR="00D81FCA" w:rsidRPr="005257DA" w:rsidRDefault="00D81FCA" w:rsidP="00312A77">
            <w:pPr>
              <w:tabs>
                <w:tab w:val="clear" w:pos="851"/>
              </w:tabs>
              <w:spacing w:before="20" w:after="20"/>
              <w:ind w:left="175"/>
              <w:rPr>
                <w:b/>
                <w:bCs/>
                <w:color w:val="FFFFFF" w:themeColor="background1"/>
                <w:sz w:val="16"/>
                <w:szCs w:val="16"/>
              </w:rPr>
            </w:pPr>
            <w:r w:rsidRPr="005257DA">
              <w:rPr>
                <w:b/>
                <w:bCs/>
                <w:color w:val="FFFFFF" w:themeColor="background1"/>
                <w:sz w:val="16"/>
                <w:szCs w:val="16"/>
              </w:rPr>
              <w:t>£m valuation</w:t>
            </w:r>
          </w:p>
        </w:tc>
        <w:tc>
          <w:tcPr>
            <w:tcW w:w="1985" w:type="dxa"/>
            <w:shd w:val="clear" w:color="auto" w:fill="2E74B5" w:themeFill="accent1" w:themeFillShade="BF"/>
          </w:tcPr>
          <w:p w:rsidR="00D81FCA" w:rsidRPr="005257DA" w:rsidRDefault="00D81FCA" w:rsidP="00312A77">
            <w:pPr>
              <w:tabs>
                <w:tab w:val="clear" w:pos="851"/>
                <w:tab w:val="decimal" w:pos="884"/>
              </w:tabs>
              <w:spacing w:before="20" w:after="20"/>
              <w:ind w:left="251"/>
              <w:jc w:val="center"/>
              <w:rPr>
                <w:b/>
                <w:bCs/>
                <w:color w:val="FFFFFF" w:themeColor="background1"/>
                <w:sz w:val="16"/>
                <w:szCs w:val="16"/>
              </w:rPr>
            </w:pPr>
            <w:r w:rsidRPr="005257DA">
              <w:rPr>
                <w:b/>
                <w:bCs/>
                <w:color w:val="FFFFFF" w:themeColor="background1"/>
                <w:sz w:val="16"/>
                <w:szCs w:val="16"/>
              </w:rPr>
              <w:t>No scaling back</w:t>
            </w:r>
          </w:p>
        </w:tc>
        <w:tc>
          <w:tcPr>
            <w:tcW w:w="1984" w:type="dxa"/>
            <w:shd w:val="clear" w:color="auto" w:fill="2E74B5" w:themeFill="accent1" w:themeFillShade="BF"/>
          </w:tcPr>
          <w:p w:rsidR="00D81FCA" w:rsidRPr="005257DA" w:rsidRDefault="00D81FCA" w:rsidP="00312A77">
            <w:pPr>
              <w:tabs>
                <w:tab w:val="clear" w:pos="851"/>
              </w:tabs>
              <w:spacing w:before="20" w:after="20"/>
              <w:ind w:left="34"/>
              <w:jc w:val="center"/>
              <w:rPr>
                <w:b/>
                <w:bCs/>
                <w:color w:val="FFFFFF" w:themeColor="background1"/>
                <w:sz w:val="16"/>
                <w:szCs w:val="16"/>
              </w:rPr>
            </w:pPr>
            <w:r w:rsidRPr="005257DA">
              <w:rPr>
                <w:b/>
                <w:bCs/>
                <w:color w:val="FFFFFF" w:themeColor="background1"/>
                <w:sz w:val="16"/>
                <w:szCs w:val="16"/>
              </w:rPr>
              <w:t>1/3 benefit</w:t>
            </w:r>
          </w:p>
        </w:tc>
        <w:tc>
          <w:tcPr>
            <w:tcW w:w="2126" w:type="dxa"/>
            <w:shd w:val="clear" w:color="auto" w:fill="2E74B5" w:themeFill="accent1" w:themeFillShade="BF"/>
          </w:tcPr>
          <w:p w:rsidR="00D81FCA" w:rsidRPr="005257DA" w:rsidRDefault="00D81FCA" w:rsidP="00312A77">
            <w:pPr>
              <w:tabs>
                <w:tab w:val="clear" w:pos="851"/>
              </w:tabs>
              <w:spacing w:before="20" w:after="20"/>
              <w:ind w:left="176"/>
              <w:jc w:val="center"/>
              <w:rPr>
                <w:b/>
                <w:bCs/>
                <w:color w:val="FFFFFF" w:themeColor="background1"/>
                <w:sz w:val="16"/>
                <w:szCs w:val="16"/>
              </w:rPr>
            </w:pPr>
            <w:r w:rsidRPr="005257DA">
              <w:rPr>
                <w:b/>
                <w:bCs/>
                <w:color w:val="FFFFFF" w:themeColor="background1"/>
                <w:sz w:val="16"/>
                <w:szCs w:val="16"/>
              </w:rPr>
              <w:t>1/6 benefit</w:t>
            </w:r>
          </w:p>
        </w:tc>
      </w:tr>
      <w:tr w:rsidR="00D81FCA" w:rsidRPr="00AE11CA" w:rsidTr="0058181A">
        <w:tc>
          <w:tcPr>
            <w:tcW w:w="2693" w:type="dxa"/>
          </w:tcPr>
          <w:p w:rsidR="00D81FCA" w:rsidRPr="00AE11CA" w:rsidRDefault="00D81FCA" w:rsidP="00312A77">
            <w:pPr>
              <w:tabs>
                <w:tab w:val="clear" w:pos="851"/>
              </w:tabs>
              <w:spacing w:before="20" w:after="20"/>
              <w:ind w:left="175"/>
              <w:rPr>
                <w:sz w:val="16"/>
                <w:szCs w:val="16"/>
              </w:rPr>
            </w:pPr>
            <w:r w:rsidRPr="00AE11CA">
              <w:rPr>
                <w:sz w:val="16"/>
                <w:szCs w:val="16"/>
              </w:rPr>
              <w:t>Efficiency benchmark</w:t>
            </w:r>
          </w:p>
        </w:tc>
        <w:tc>
          <w:tcPr>
            <w:tcW w:w="1985" w:type="dxa"/>
          </w:tcPr>
          <w:p w:rsidR="00D81FCA" w:rsidRPr="00AE11CA" w:rsidRDefault="00D81FCA" w:rsidP="00312A77">
            <w:pPr>
              <w:tabs>
                <w:tab w:val="clear" w:pos="851"/>
                <w:tab w:val="decimal" w:pos="884"/>
              </w:tabs>
              <w:spacing w:before="20" w:after="20"/>
              <w:ind w:left="251"/>
              <w:rPr>
                <w:sz w:val="16"/>
                <w:szCs w:val="16"/>
              </w:rPr>
            </w:pPr>
            <w:r w:rsidRPr="00AE11CA">
              <w:rPr>
                <w:sz w:val="16"/>
                <w:szCs w:val="16"/>
              </w:rPr>
              <w:t>42.9</w:t>
            </w:r>
          </w:p>
        </w:tc>
        <w:tc>
          <w:tcPr>
            <w:tcW w:w="1984" w:type="dxa"/>
          </w:tcPr>
          <w:p w:rsidR="00D81FCA" w:rsidRPr="00AE11CA" w:rsidRDefault="00D81FCA" w:rsidP="00312A77">
            <w:pPr>
              <w:tabs>
                <w:tab w:val="clear" w:pos="851"/>
                <w:tab w:val="decimal" w:pos="884"/>
              </w:tabs>
              <w:spacing w:before="20" w:after="20"/>
              <w:ind w:left="34"/>
              <w:jc w:val="left"/>
              <w:rPr>
                <w:sz w:val="16"/>
                <w:szCs w:val="16"/>
              </w:rPr>
            </w:pPr>
            <w:r w:rsidRPr="00AE11CA">
              <w:rPr>
                <w:sz w:val="16"/>
                <w:szCs w:val="16"/>
              </w:rPr>
              <w:t>14.3</w:t>
            </w:r>
          </w:p>
        </w:tc>
        <w:tc>
          <w:tcPr>
            <w:tcW w:w="2126" w:type="dxa"/>
          </w:tcPr>
          <w:p w:rsidR="00D81FCA" w:rsidRPr="00AE11CA" w:rsidRDefault="00D81FCA" w:rsidP="00312A77">
            <w:pPr>
              <w:tabs>
                <w:tab w:val="clear" w:pos="851"/>
                <w:tab w:val="decimal" w:pos="885"/>
              </w:tabs>
              <w:spacing w:before="20" w:after="20"/>
              <w:ind w:left="176"/>
              <w:jc w:val="left"/>
              <w:rPr>
                <w:sz w:val="16"/>
                <w:szCs w:val="16"/>
              </w:rPr>
            </w:pPr>
            <w:r w:rsidRPr="00AE11CA">
              <w:rPr>
                <w:sz w:val="16"/>
                <w:szCs w:val="16"/>
              </w:rPr>
              <w:t>7.2</w:t>
            </w:r>
          </w:p>
        </w:tc>
      </w:tr>
      <w:tr w:rsidR="00D81FCA" w:rsidRPr="00AE11CA" w:rsidTr="0058181A">
        <w:tc>
          <w:tcPr>
            <w:tcW w:w="2693" w:type="dxa"/>
          </w:tcPr>
          <w:p w:rsidR="00D81FCA" w:rsidRPr="00AE11CA" w:rsidRDefault="00D81FCA" w:rsidP="00312A77">
            <w:pPr>
              <w:tabs>
                <w:tab w:val="clear" w:pos="851"/>
              </w:tabs>
              <w:spacing w:before="20" w:after="20"/>
              <w:ind w:left="175"/>
              <w:rPr>
                <w:sz w:val="16"/>
                <w:szCs w:val="16"/>
              </w:rPr>
            </w:pPr>
            <w:r w:rsidRPr="00AE11CA">
              <w:rPr>
                <w:sz w:val="16"/>
                <w:szCs w:val="16"/>
              </w:rPr>
              <w:t>Service benchmark</w:t>
            </w:r>
          </w:p>
        </w:tc>
        <w:tc>
          <w:tcPr>
            <w:tcW w:w="1985" w:type="dxa"/>
          </w:tcPr>
          <w:p w:rsidR="00D81FCA" w:rsidRPr="00AE11CA" w:rsidRDefault="00D81FCA" w:rsidP="00312A77">
            <w:pPr>
              <w:tabs>
                <w:tab w:val="clear" w:pos="851"/>
                <w:tab w:val="decimal" w:pos="884"/>
              </w:tabs>
              <w:spacing w:before="20" w:after="20"/>
              <w:ind w:left="251"/>
              <w:rPr>
                <w:sz w:val="16"/>
                <w:szCs w:val="16"/>
              </w:rPr>
            </w:pPr>
            <w:r w:rsidRPr="00AE11CA">
              <w:rPr>
                <w:sz w:val="16"/>
                <w:szCs w:val="16"/>
              </w:rPr>
              <w:t>7.4</w:t>
            </w:r>
          </w:p>
        </w:tc>
        <w:tc>
          <w:tcPr>
            <w:tcW w:w="1984" w:type="dxa"/>
          </w:tcPr>
          <w:p w:rsidR="00D81FCA" w:rsidRPr="00AE11CA" w:rsidRDefault="00D81FCA" w:rsidP="00312A77">
            <w:pPr>
              <w:tabs>
                <w:tab w:val="clear" w:pos="851"/>
                <w:tab w:val="decimal" w:pos="884"/>
              </w:tabs>
              <w:spacing w:before="20" w:after="20"/>
              <w:ind w:left="34"/>
              <w:jc w:val="left"/>
              <w:rPr>
                <w:sz w:val="16"/>
                <w:szCs w:val="16"/>
              </w:rPr>
            </w:pPr>
            <w:r w:rsidRPr="00AE11CA">
              <w:rPr>
                <w:sz w:val="16"/>
                <w:szCs w:val="16"/>
              </w:rPr>
              <w:t>2.5</w:t>
            </w:r>
          </w:p>
        </w:tc>
        <w:tc>
          <w:tcPr>
            <w:tcW w:w="2126" w:type="dxa"/>
          </w:tcPr>
          <w:p w:rsidR="00D81FCA" w:rsidRPr="00AE11CA" w:rsidRDefault="00D81FCA" w:rsidP="00312A77">
            <w:pPr>
              <w:tabs>
                <w:tab w:val="clear" w:pos="851"/>
                <w:tab w:val="decimal" w:pos="885"/>
              </w:tabs>
              <w:spacing w:before="20" w:after="20"/>
              <w:ind w:left="176"/>
              <w:jc w:val="left"/>
              <w:rPr>
                <w:sz w:val="16"/>
                <w:szCs w:val="16"/>
              </w:rPr>
            </w:pPr>
            <w:r w:rsidRPr="00AE11CA">
              <w:rPr>
                <w:sz w:val="16"/>
                <w:szCs w:val="16"/>
              </w:rPr>
              <w:t>1.2</w:t>
            </w:r>
          </w:p>
        </w:tc>
      </w:tr>
      <w:tr w:rsidR="00D81FCA" w:rsidRPr="00AE11CA" w:rsidTr="0058181A">
        <w:tc>
          <w:tcPr>
            <w:tcW w:w="2693" w:type="dxa"/>
          </w:tcPr>
          <w:p w:rsidR="00D81FCA" w:rsidRPr="00AE11CA" w:rsidRDefault="00D81FCA" w:rsidP="00312A77">
            <w:pPr>
              <w:tabs>
                <w:tab w:val="clear" w:pos="851"/>
              </w:tabs>
              <w:spacing w:before="20" w:after="20"/>
              <w:ind w:left="175"/>
              <w:rPr>
                <w:b/>
                <w:sz w:val="16"/>
                <w:szCs w:val="16"/>
              </w:rPr>
            </w:pPr>
            <w:r w:rsidRPr="00AE11CA">
              <w:rPr>
                <w:b/>
                <w:sz w:val="16"/>
                <w:szCs w:val="16"/>
              </w:rPr>
              <w:t>Combined benefit</w:t>
            </w:r>
          </w:p>
        </w:tc>
        <w:tc>
          <w:tcPr>
            <w:tcW w:w="1985" w:type="dxa"/>
          </w:tcPr>
          <w:p w:rsidR="00D81FCA" w:rsidRPr="00AE11CA" w:rsidRDefault="00D81FCA" w:rsidP="00312A77">
            <w:pPr>
              <w:tabs>
                <w:tab w:val="clear" w:pos="851"/>
                <w:tab w:val="decimal" w:pos="884"/>
              </w:tabs>
              <w:spacing w:before="20" w:after="20"/>
              <w:ind w:left="251"/>
              <w:rPr>
                <w:b/>
                <w:sz w:val="16"/>
                <w:szCs w:val="16"/>
              </w:rPr>
            </w:pPr>
            <w:r w:rsidRPr="00AE11CA">
              <w:rPr>
                <w:b/>
                <w:sz w:val="16"/>
                <w:szCs w:val="16"/>
              </w:rPr>
              <w:t>50.3</w:t>
            </w:r>
          </w:p>
        </w:tc>
        <w:tc>
          <w:tcPr>
            <w:tcW w:w="1984" w:type="dxa"/>
          </w:tcPr>
          <w:p w:rsidR="00D81FCA" w:rsidRPr="00AE11CA" w:rsidRDefault="00D81FCA" w:rsidP="00312A77">
            <w:pPr>
              <w:tabs>
                <w:tab w:val="clear" w:pos="851"/>
                <w:tab w:val="decimal" w:pos="884"/>
              </w:tabs>
              <w:spacing w:before="20" w:after="20"/>
              <w:ind w:left="34"/>
              <w:jc w:val="left"/>
              <w:rPr>
                <w:b/>
                <w:sz w:val="16"/>
                <w:szCs w:val="16"/>
              </w:rPr>
            </w:pPr>
            <w:r w:rsidRPr="00AE11CA">
              <w:rPr>
                <w:b/>
                <w:sz w:val="16"/>
                <w:szCs w:val="16"/>
              </w:rPr>
              <w:t>16.8</w:t>
            </w:r>
          </w:p>
        </w:tc>
        <w:tc>
          <w:tcPr>
            <w:tcW w:w="2126" w:type="dxa"/>
          </w:tcPr>
          <w:p w:rsidR="00D81FCA" w:rsidRPr="00AE11CA" w:rsidRDefault="00D81FCA" w:rsidP="00312A77">
            <w:pPr>
              <w:tabs>
                <w:tab w:val="clear" w:pos="851"/>
                <w:tab w:val="decimal" w:pos="885"/>
              </w:tabs>
              <w:spacing w:before="20" w:after="20"/>
              <w:ind w:left="176"/>
              <w:jc w:val="left"/>
              <w:rPr>
                <w:b/>
                <w:sz w:val="16"/>
                <w:szCs w:val="16"/>
              </w:rPr>
            </w:pPr>
            <w:r w:rsidRPr="00AE11CA">
              <w:rPr>
                <w:b/>
                <w:sz w:val="16"/>
                <w:szCs w:val="16"/>
              </w:rPr>
              <w:t>8.4</w:t>
            </w:r>
          </w:p>
        </w:tc>
      </w:tr>
      <w:tr w:rsidR="00D81FCA" w:rsidRPr="00AE11CA" w:rsidTr="0058181A">
        <w:tc>
          <w:tcPr>
            <w:tcW w:w="2693" w:type="dxa"/>
          </w:tcPr>
          <w:p w:rsidR="00D81FCA" w:rsidRPr="00AE11CA" w:rsidRDefault="00D81FCA" w:rsidP="00312A77">
            <w:pPr>
              <w:tabs>
                <w:tab w:val="clear" w:pos="851"/>
              </w:tabs>
              <w:spacing w:before="20" w:after="20"/>
              <w:ind w:left="175"/>
              <w:rPr>
                <w:sz w:val="16"/>
                <w:szCs w:val="16"/>
              </w:rPr>
            </w:pPr>
            <w:r w:rsidRPr="00AE11CA">
              <w:rPr>
                <w:sz w:val="16"/>
                <w:szCs w:val="16"/>
              </w:rPr>
              <w:t>NPV of 30bp debt premium</w:t>
            </w:r>
          </w:p>
        </w:tc>
        <w:tc>
          <w:tcPr>
            <w:tcW w:w="1985" w:type="dxa"/>
          </w:tcPr>
          <w:p w:rsidR="00D81FCA" w:rsidRPr="00AE11CA" w:rsidRDefault="00D81FCA" w:rsidP="00312A77">
            <w:pPr>
              <w:tabs>
                <w:tab w:val="clear" w:pos="851"/>
                <w:tab w:val="decimal" w:pos="884"/>
              </w:tabs>
              <w:spacing w:before="20" w:after="20"/>
              <w:ind w:left="251"/>
              <w:rPr>
                <w:sz w:val="16"/>
                <w:szCs w:val="16"/>
              </w:rPr>
            </w:pPr>
            <w:r w:rsidRPr="00AE11CA">
              <w:rPr>
                <w:sz w:val="16"/>
                <w:szCs w:val="16"/>
              </w:rPr>
              <w:t>-1.2</w:t>
            </w:r>
          </w:p>
        </w:tc>
        <w:tc>
          <w:tcPr>
            <w:tcW w:w="1984" w:type="dxa"/>
          </w:tcPr>
          <w:p w:rsidR="00D81FCA" w:rsidRPr="00AE11CA" w:rsidRDefault="00D81FCA" w:rsidP="00312A77">
            <w:pPr>
              <w:tabs>
                <w:tab w:val="clear" w:pos="851"/>
                <w:tab w:val="decimal" w:pos="884"/>
              </w:tabs>
              <w:spacing w:before="20" w:after="20"/>
              <w:ind w:left="34"/>
              <w:jc w:val="left"/>
              <w:rPr>
                <w:sz w:val="16"/>
                <w:szCs w:val="16"/>
              </w:rPr>
            </w:pPr>
            <w:r w:rsidRPr="00AE11CA">
              <w:rPr>
                <w:sz w:val="16"/>
                <w:szCs w:val="16"/>
              </w:rPr>
              <w:t>-1.2</w:t>
            </w:r>
          </w:p>
        </w:tc>
        <w:tc>
          <w:tcPr>
            <w:tcW w:w="2126" w:type="dxa"/>
          </w:tcPr>
          <w:p w:rsidR="00D81FCA" w:rsidRPr="00AE11CA" w:rsidRDefault="00D81FCA" w:rsidP="00312A77">
            <w:pPr>
              <w:tabs>
                <w:tab w:val="clear" w:pos="851"/>
                <w:tab w:val="decimal" w:pos="885"/>
              </w:tabs>
              <w:spacing w:before="20" w:after="20"/>
              <w:ind w:left="176"/>
              <w:jc w:val="left"/>
              <w:rPr>
                <w:sz w:val="16"/>
                <w:szCs w:val="16"/>
              </w:rPr>
            </w:pPr>
            <w:r w:rsidRPr="00AE11CA">
              <w:rPr>
                <w:sz w:val="16"/>
                <w:szCs w:val="16"/>
              </w:rPr>
              <w:t>-1.2</w:t>
            </w:r>
          </w:p>
        </w:tc>
      </w:tr>
      <w:tr w:rsidR="00D81FCA" w:rsidRPr="00AE11CA" w:rsidTr="0058181A">
        <w:tc>
          <w:tcPr>
            <w:tcW w:w="2693" w:type="dxa"/>
          </w:tcPr>
          <w:p w:rsidR="00D81FCA" w:rsidRPr="00AE11CA" w:rsidRDefault="00D81FCA" w:rsidP="00312A77">
            <w:pPr>
              <w:tabs>
                <w:tab w:val="clear" w:pos="851"/>
              </w:tabs>
              <w:spacing w:before="20" w:after="20"/>
              <w:ind w:left="175"/>
              <w:rPr>
                <w:b/>
                <w:sz w:val="16"/>
                <w:szCs w:val="16"/>
              </w:rPr>
            </w:pPr>
            <w:r w:rsidRPr="00AE11CA">
              <w:rPr>
                <w:b/>
                <w:sz w:val="16"/>
                <w:szCs w:val="16"/>
              </w:rPr>
              <w:t>Net benefit</w:t>
            </w:r>
          </w:p>
        </w:tc>
        <w:tc>
          <w:tcPr>
            <w:tcW w:w="1985" w:type="dxa"/>
          </w:tcPr>
          <w:p w:rsidR="00D81FCA" w:rsidRPr="00AE11CA" w:rsidRDefault="00D81FCA" w:rsidP="00312A77">
            <w:pPr>
              <w:tabs>
                <w:tab w:val="clear" w:pos="851"/>
                <w:tab w:val="decimal" w:pos="884"/>
              </w:tabs>
              <w:spacing w:before="20" w:after="20"/>
              <w:ind w:left="251"/>
              <w:rPr>
                <w:b/>
                <w:sz w:val="16"/>
                <w:szCs w:val="16"/>
              </w:rPr>
            </w:pPr>
            <w:r w:rsidRPr="00AE11CA">
              <w:rPr>
                <w:b/>
                <w:sz w:val="16"/>
                <w:szCs w:val="16"/>
              </w:rPr>
              <w:t>49.1</w:t>
            </w:r>
          </w:p>
        </w:tc>
        <w:tc>
          <w:tcPr>
            <w:tcW w:w="1984" w:type="dxa"/>
          </w:tcPr>
          <w:p w:rsidR="00D81FCA" w:rsidRPr="00AE11CA" w:rsidRDefault="00D81FCA" w:rsidP="00312A77">
            <w:pPr>
              <w:tabs>
                <w:tab w:val="clear" w:pos="851"/>
                <w:tab w:val="decimal" w:pos="884"/>
              </w:tabs>
              <w:spacing w:before="20" w:after="20"/>
              <w:ind w:left="34"/>
              <w:jc w:val="left"/>
              <w:rPr>
                <w:b/>
                <w:sz w:val="16"/>
                <w:szCs w:val="16"/>
              </w:rPr>
            </w:pPr>
            <w:r w:rsidRPr="00AE11CA">
              <w:rPr>
                <w:b/>
                <w:sz w:val="16"/>
                <w:szCs w:val="16"/>
              </w:rPr>
              <w:t>15.6</w:t>
            </w:r>
          </w:p>
        </w:tc>
        <w:tc>
          <w:tcPr>
            <w:tcW w:w="2126" w:type="dxa"/>
          </w:tcPr>
          <w:p w:rsidR="00D81FCA" w:rsidRPr="00AE11CA" w:rsidRDefault="00D81FCA" w:rsidP="00312A77">
            <w:pPr>
              <w:tabs>
                <w:tab w:val="clear" w:pos="851"/>
                <w:tab w:val="decimal" w:pos="885"/>
              </w:tabs>
              <w:spacing w:before="20" w:after="20"/>
              <w:ind w:left="176"/>
              <w:jc w:val="left"/>
              <w:rPr>
                <w:b/>
                <w:sz w:val="16"/>
                <w:szCs w:val="16"/>
              </w:rPr>
            </w:pPr>
            <w:r w:rsidRPr="00AE11CA">
              <w:rPr>
                <w:b/>
                <w:sz w:val="16"/>
                <w:szCs w:val="16"/>
              </w:rPr>
              <w:t>7.2</w:t>
            </w:r>
          </w:p>
        </w:tc>
      </w:tr>
    </w:tbl>
    <w:p w:rsidR="00C95542" w:rsidRPr="00C95542" w:rsidRDefault="00C95542" w:rsidP="00932C1F">
      <w:r w:rsidRPr="00C95542">
        <w:t>NERA have therefore concluded that there is strong evidence for the benefits supporting the Company Specific Premium – both for our customers and the industry as a whole.</w:t>
      </w:r>
    </w:p>
    <w:p w:rsidR="00D81FCA" w:rsidRPr="0033020E" w:rsidRDefault="00D81FCA" w:rsidP="006D12EE">
      <w:pPr>
        <w:pStyle w:val="Heading3"/>
      </w:pPr>
      <w:bookmarkStart w:id="243" w:name="_Toc522200038"/>
      <w:bookmarkStart w:id="244" w:name="_Toc522200135"/>
      <w:bookmarkStart w:id="245" w:name="_Toc523651328"/>
      <w:r w:rsidRPr="0033020E">
        <w:t>Evidence for the level of adjustment</w:t>
      </w:r>
      <w:bookmarkEnd w:id="243"/>
      <w:bookmarkEnd w:id="244"/>
      <w:bookmarkEnd w:id="245"/>
    </w:p>
    <w:p w:rsidR="00D81FCA" w:rsidRDefault="00D81FCA" w:rsidP="00D81FCA">
      <w:r w:rsidRPr="002256F7">
        <w:t xml:space="preserve">The Company commissioned NERA Economic Consulting </w:t>
      </w:r>
      <w:r>
        <w:t xml:space="preserve">(NERA) to review market evidence to support the level of appropriate adjustment.  This report “Evidence on Company Specific Adjustment for Portsmouth Water’s Cost of Debt” has been included in full in </w:t>
      </w:r>
      <w:r w:rsidR="00427C3F">
        <w:t>Appendix</w:t>
      </w:r>
      <w:r w:rsidR="008B1A93">
        <w:t xml:space="preserve"> </w:t>
      </w:r>
      <w:r w:rsidR="00BE487E">
        <w:t xml:space="preserve">10.1 </w:t>
      </w:r>
      <w:r w:rsidR="008B1A93">
        <w:t xml:space="preserve">Evidence on Company Specific adjustment for Portsmouth Water’s cost of debt. </w:t>
      </w:r>
      <w:r>
        <w:t xml:space="preserve">  </w:t>
      </w:r>
    </w:p>
    <w:p w:rsidR="00D81FCA" w:rsidRDefault="00D81FCA" w:rsidP="00D81FCA">
      <w:r>
        <w:t xml:space="preserve">NERA </w:t>
      </w:r>
      <w:r w:rsidR="00A02ED8">
        <w:t xml:space="preserve">reviewed </w:t>
      </w:r>
      <w:r w:rsidR="0008192E">
        <w:t>evidence presented</w:t>
      </w:r>
      <w:r>
        <w:t xml:space="preserve"> </w:t>
      </w:r>
      <w:r w:rsidR="0008192E">
        <w:t>by Ofwat and its advisors at PR14, where Ofwat determined</w:t>
      </w:r>
      <w:r>
        <w:t xml:space="preserve"> an uplift of 25bps for the Company.  </w:t>
      </w:r>
      <w:r w:rsidR="0008192E">
        <w:t>NERA</w:t>
      </w:r>
      <w:r>
        <w:t xml:space="preserve"> has updated and </w:t>
      </w:r>
      <w:r w:rsidR="0008192E">
        <w:t xml:space="preserve">extended the </w:t>
      </w:r>
      <w:r w:rsidR="00871242">
        <w:t>analysis that</w:t>
      </w:r>
      <w:r>
        <w:t xml:space="preserve"> support</w:t>
      </w:r>
      <w:r w:rsidR="0008192E">
        <w:t>s</w:t>
      </w:r>
      <w:r>
        <w:t xml:space="preserve"> </w:t>
      </w:r>
      <w:r w:rsidR="00CD0ED9">
        <w:t xml:space="preserve">at least </w:t>
      </w:r>
      <w:r>
        <w:t>30bps uplift for PR19.  NERA concludes that there is compelling evidence for a</w:t>
      </w:r>
      <w:r w:rsidR="00CD0ED9">
        <w:t xml:space="preserve"> 30 bps</w:t>
      </w:r>
      <w:r>
        <w:t xml:space="preserve"> premium for small water only company (WoC) debt costs.</w:t>
      </w:r>
    </w:p>
    <w:p w:rsidR="00D81FCA" w:rsidRDefault="00D81FCA" w:rsidP="00D81FCA">
      <w:r>
        <w:t xml:space="preserve">In preparing this </w:t>
      </w:r>
      <w:r w:rsidR="00871242">
        <w:t>report,</w:t>
      </w:r>
      <w:r>
        <w:t xml:space="preserve"> NERA considered a number of different aspects. Summarised below we have considered the support in relation to;</w:t>
      </w:r>
    </w:p>
    <w:p w:rsidR="00D81FCA" w:rsidRDefault="0008192E" w:rsidP="005E4D50">
      <w:pPr>
        <w:pStyle w:val="Bullets"/>
      </w:pPr>
      <w:r>
        <w:t>Market evidence presented at PR14 and regulatory</w:t>
      </w:r>
      <w:r w:rsidR="00D81FCA">
        <w:t xml:space="preserve"> </w:t>
      </w:r>
      <w:r>
        <w:t>p</w:t>
      </w:r>
      <w:r w:rsidR="00D81FCA">
        <w:t>recedent (section 2 of the NERA report)</w:t>
      </w:r>
    </w:p>
    <w:p w:rsidR="00D81FCA" w:rsidRDefault="0008192E" w:rsidP="005E4D50">
      <w:pPr>
        <w:pStyle w:val="Bullets"/>
      </w:pPr>
      <w:r>
        <w:t xml:space="preserve">Updated </w:t>
      </w:r>
      <w:r w:rsidR="00D81FCA">
        <w:t>evidence for debt premia (section 3 of the NERA report)</w:t>
      </w:r>
    </w:p>
    <w:p w:rsidR="008B1A93" w:rsidRDefault="008B1A93" w:rsidP="008B1A93">
      <w:pPr>
        <w:pStyle w:val="Bullets"/>
        <w:numPr>
          <w:ilvl w:val="0"/>
          <w:numId w:val="0"/>
        </w:numPr>
        <w:ind w:left="1848"/>
      </w:pPr>
    </w:p>
    <w:p w:rsidR="00D81FCA" w:rsidRPr="006C2B42" w:rsidRDefault="0008192E" w:rsidP="00D81FCA">
      <w:pPr>
        <w:rPr>
          <w:b/>
          <w:bCs/>
        </w:rPr>
      </w:pPr>
      <w:r>
        <w:rPr>
          <w:b/>
          <w:bCs/>
        </w:rPr>
        <w:t xml:space="preserve">Market Evidence and </w:t>
      </w:r>
      <w:r w:rsidR="00D81FCA" w:rsidRPr="006C2B42">
        <w:rPr>
          <w:b/>
          <w:bCs/>
        </w:rPr>
        <w:t>Regulatory Precedent</w:t>
      </w:r>
      <w:r>
        <w:rPr>
          <w:b/>
          <w:bCs/>
        </w:rPr>
        <w:t xml:space="preserve"> (PR14)</w:t>
      </w:r>
    </w:p>
    <w:p w:rsidR="00D81FCA" w:rsidRDefault="005E4D50" w:rsidP="00D81FCA">
      <w:r>
        <w:t>At PR</w:t>
      </w:r>
      <w:r w:rsidR="00D81FCA">
        <w:t>14 Ofwat allowed P</w:t>
      </w:r>
      <w:r w:rsidR="008B1A93">
        <w:t xml:space="preserve">ortsmouth </w:t>
      </w:r>
      <w:r w:rsidR="00560B22">
        <w:t>W</w:t>
      </w:r>
      <w:r w:rsidR="008B1A93">
        <w:t>ater</w:t>
      </w:r>
      <w:r w:rsidR="00D81FCA">
        <w:t xml:space="preserve"> an uplift equivalent to 25bps on cost of debt.  At that </w:t>
      </w:r>
      <w:r>
        <w:t>time,</w:t>
      </w:r>
      <w:r w:rsidR="00D81FCA">
        <w:t xml:space="preserve"> PwC (Ofwat’s advisors) reviewed a number of different sources of evidence including Artesian </w:t>
      </w:r>
      <w:r w:rsidR="00560B22">
        <w:t>F</w:t>
      </w:r>
      <w:r w:rsidR="00D81FCA">
        <w:t xml:space="preserve">inance, public bonds and bank loan finance. PwC estimated debt premia for small WoCs at </w:t>
      </w:r>
      <w:r w:rsidR="00D81FCA" w:rsidRPr="005C5C74">
        <w:rPr>
          <w:i/>
        </w:rPr>
        <w:t>issuance</w:t>
      </w:r>
      <w:r w:rsidR="00D81FCA">
        <w:t xml:space="preserve"> of 26 bps for Artesian, 30 bps for public bonds and 20-40 bps for bank debt.  In interpreting this </w:t>
      </w:r>
      <w:r>
        <w:t>evidence,</w:t>
      </w:r>
      <w:r w:rsidR="00D81FCA">
        <w:t xml:space="preserve"> Ofwat allowed an uplift of 25 bps – in the lower part of the observed range.  Ofwat discounted the upper end value based on the position that this was heavily influenced by a single observation.  NERA disagree with this latter point.</w:t>
      </w:r>
    </w:p>
    <w:p w:rsidR="00D81FCA" w:rsidRDefault="00D81FCA" w:rsidP="00D81FCA">
      <w:r>
        <w:t>The CMA, in the Bristol Water 2015 decision, estimated a company specific adjustment of 37 bps based on Ofwat’s estimates of the higher costs associated with Artesian debt finance.</w:t>
      </w:r>
    </w:p>
    <w:p w:rsidR="00AC5C91" w:rsidRDefault="00AC5C91">
      <w:pPr>
        <w:tabs>
          <w:tab w:val="clear" w:pos="851"/>
        </w:tabs>
        <w:spacing w:after="0"/>
        <w:ind w:left="0"/>
        <w:jc w:val="left"/>
        <w:rPr>
          <w:b/>
        </w:rPr>
      </w:pPr>
      <w:r>
        <w:rPr>
          <w:b/>
        </w:rPr>
        <w:br w:type="page"/>
      </w:r>
    </w:p>
    <w:p w:rsidR="00AC257D" w:rsidRPr="000A0CF5" w:rsidRDefault="0008192E" w:rsidP="000A0CF5">
      <w:pPr>
        <w:rPr>
          <w:b/>
        </w:rPr>
      </w:pPr>
      <w:r>
        <w:rPr>
          <w:b/>
        </w:rPr>
        <w:t xml:space="preserve">Updated </w:t>
      </w:r>
      <w:r w:rsidR="008B1A93">
        <w:rPr>
          <w:b/>
        </w:rPr>
        <w:t>Market Evidence for Debt Premia</w:t>
      </w:r>
    </w:p>
    <w:p w:rsidR="00AC257D" w:rsidRPr="003B60CF" w:rsidRDefault="008B1A93" w:rsidP="004456AC">
      <w:r>
        <w:t xml:space="preserve">In </w:t>
      </w:r>
      <w:r w:rsidR="00F108D0">
        <w:t>s</w:t>
      </w:r>
      <w:r>
        <w:t>ection 3 of NERA’s r</w:t>
      </w:r>
      <w:r w:rsidRPr="003B60CF">
        <w:t>eport,</w:t>
      </w:r>
      <w:r w:rsidR="00AC257D" w:rsidRPr="003B60CF">
        <w:t xml:space="preserve"> they set out </w:t>
      </w:r>
      <w:r w:rsidR="0008192E">
        <w:t xml:space="preserve">updated </w:t>
      </w:r>
      <w:r>
        <w:t>m</w:t>
      </w:r>
      <w:r w:rsidR="00AC257D" w:rsidRPr="003B60CF">
        <w:t>arket evidence for higher debt financing costs for Portsmouth Water based on a comparison of WoC and WaSC relative bond financing costs.  The</w:t>
      </w:r>
      <w:r>
        <w:t>y</w:t>
      </w:r>
      <w:r w:rsidR="00AC257D" w:rsidRPr="003B60CF">
        <w:t xml:space="preserve"> reviewed and updated bond market evidence for the bond issues since PR14, as well as including public bond issues omitted from Ofwat’s analysis at PR14.</w:t>
      </w:r>
    </w:p>
    <w:p w:rsidR="00AC257D" w:rsidRPr="003B60CF" w:rsidRDefault="00AC257D" w:rsidP="004456AC">
      <w:r w:rsidRPr="003B60CF">
        <w:t>They conclude that the latest evidence for an adjustment for debt costs for Portsmouth Water</w:t>
      </w:r>
      <w:r w:rsidR="00871242">
        <w:t>,</w:t>
      </w:r>
      <w:r w:rsidRPr="003B60CF">
        <w:t xml:space="preserve"> relative to the notionally efficient company</w:t>
      </w:r>
      <w:r w:rsidR="004445D5">
        <w:t>,</w:t>
      </w:r>
      <w:r w:rsidRPr="003B60CF">
        <w:t xml:space="preserve"> is more compelling than at PR14 and that it supports an uplift of 30bps for PW at PR19.</w:t>
      </w:r>
    </w:p>
    <w:p w:rsidR="00AC257D" w:rsidRPr="003B60CF" w:rsidRDefault="00AC257D" w:rsidP="004456AC">
      <w:r w:rsidRPr="003B60CF">
        <w:t>A summary of their conclusion is included in the table below.</w:t>
      </w:r>
    </w:p>
    <w:p w:rsidR="000A0CF5" w:rsidRPr="00C95542" w:rsidRDefault="00EA5626" w:rsidP="004456AC">
      <w:r w:rsidRPr="00C95542">
        <w:t>Comparison of Ofwat PR14 and NERA updated market evidence for debt premium</w:t>
      </w:r>
      <w:r w:rsidR="00C95542">
        <w:t>.</w:t>
      </w:r>
    </w:p>
    <w:tbl>
      <w:tblPr>
        <w:tblStyle w:val="TableGrid"/>
        <w:tblW w:w="0" w:type="auto"/>
        <w:tblInd w:w="851" w:type="dxa"/>
        <w:tblLook w:val="04A0" w:firstRow="1" w:lastRow="0" w:firstColumn="1" w:lastColumn="0" w:noHBand="0" w:noVBand="1"/>
      </w:tblPr>
      <w:tblGrid>
        <w:gridCol w:w="1412"/>
        <w:gridCol w:w="1560"/>
        <w:gridCol w:w="1842"/>
        <w:gridCol w:w="3963"/>
      </w:tblGrid>
      <w:tr w:rsidR="00EA5626" w:rsidTr="00EA5626">
        <w:tc>
          <w:tcPr>
            <w:tcW w:w="1412" w:type="dxa"/>
            <w:shd w:val="clear" w:color="auto" w:fill="2E74B5" w:themeFill="accent1" w:themeFillShade="BF"/>
          </w:tcPr>
          <w:p w:rsidR="00EA5626" w:rsidRPr="00EA5626" w:rsidRDefault="00EA5626" w:rsidP="00EA5626">
            <w:pPr>
              <w:spacing w:after="0"/>
              <w:ind w:left="0"/>
              <w:rPr>
                <w:b/>
                <w:color w:val="FFFFFF" w:themeColor="background1"/>
                <w:sz w:val="16"/>
                <w:szCs w:val="16"/>
              </w:rPr>
            </w:pPr>
            <w:r w:rsidRPr="00EA5626">
              <w:rPr>
                <w:b/>
                <w:color w:val="FFFFFF" w:themeColor="background1"/>
                <w:sz w:val="16"/>
                <w:szCs w:val="16"/>
              </w:rPr>
              <w:t>Source</w:t>
            </w:r>
          </w:p>
        </w:tc>
        <w:tc>
          <w:tcPr>
            <w:tcW w:w="1560" w:type="dxa"/>
            <w:shd w:val="clear" w:color="auto" w:fill="2E74B5" w:themeFill="accent1" w:themeFillShade="BF"/>
          </w:tcPr>
          <w:p w:rsidR="00EA5626" w:rsidRPr="00EA5626" w:rsidRDefault="00EA5626" w:rsidP="00EA5626">
            <w:pPr>
              <w:spacing w:after="0"/>
              <w:ind w:left="0"/>
              <w:jc w:val="center"/>
              <w:rPr>
                <w:b/>
                <w:color w:val="FFFFFF" w:themeColor="background1"/>
                <w:sz w:val="16"/>
                <w:szCs w:val="16"/>
              </w:rPr>
            </w:pPr>
            <w:r w:rsidRPr="00EA5626">
              <w:rPr>
                <w:b/>
                <w:color w:val="FFFFFF" w:themeColor="background1"/>
                <w:sz w:val="16"/>
                <w:szCs w:val="16"/>
              </w:rPr>
              <w:t>Ofwat PR14/CMA</w:t>
            </w:r>
          </w:p>
        </w:tc>
        <w:tc>
          <w:tcPr>
            <w:tcW w:w="1842" w:type="dxa"/>
            <w:shd w:val="clear" w:color="auto" w:fill="2E74B5" w:themeFill="accent1" w:themeFillShade="BF"/>
          </w:tcPr>
          <w:p w:rsidR="00EA5626" w:rsidRPr="00EA5626" w:rsidRDefault="00EA5626" w:rsidP="00EA5626">
            <w:pPr>
              <w:spacing w:after="0"/>
              <w:ind w:left="0"/>
              <w:jc w:val="center"/>
              <w:rPr>
                <w:b/>
                <w:color w:val="FFFFFF" w:themeColor="background1"/>
                <w:sz w:val="16"/>
                <w:szCs w:val="16"/>
              </w:rPr>
            </w:pPr>
            <w:r w:rsidRPr="00EA5626">
              <w:rPr>
                <w:b/>
                <w:color w:val="FFFFFF" w:themeColor="background1"/>
                <w:sz w:val="16"/>
                <w:szCs w:val="16"/>
              </w:rPr>
              <w:t>NERA updated Evidence</w:t>
            </w:r>
          </w:p>
        </w:tc>
        <w:tc>
          <w:tcPr>
            <w:tcW w:w="3963" w:type="dxa"/>
            <w:shd w:val="clear" w:color="auto" w:fill="2E74B5" w:themeFill="accent1" w:themeFillShade="BF"/>
          </w:tcPr>
          <w:p w:rsidR="00EA5626" w:rsidRPr="00EA5626" w:rsidRDefault="00EA5626" w:rsidP="00EA5626">
            <w:pPr>
              <w:spacing w:after="0"/>
              <w:ind w:left="0"/>
              <w:rPr>
                <w:b/>
                <w:color w:val="FFFFFF" w:themeColor="background1"/>
                <w:sz w:val="16"/>
                <w:szCs w:val="16"/>
              </w:rPr>
            </w:pPr>
            <w:r w:rsidRPr="00EA5626">
              <w:rPr>
                <w:b/>
                <w:color w:val="FFFFFF" w:themeColor="background1"/>
                <w:sz w:val="16"/>
                <w:szCs w:val="16"/>
              </w:rPr>
              <w:t>Comment</w:t>
            </w:r>
          </w:p>
        </w:tc>
      </w:tr>
      <w:tr w:rsidR="00EA5626" w:rsidTr="00EA5626">
        <w:tc>
          <w:tcPr>
            <w:tcW w:w="2972" w:type="dxa"/>
            <w:gridSpan w:val="2"/>
          </w:tcPr>
          <w:p w:rsidR="00EA5626" w:rsidRPr="00EA5626" w:rsidRDefault="00EA5626" w:rsidP="00EA5626">
            <w:pPr>
              <w:spacing w:after="0"/>
              <w:ind w:left="0"/>
              <w:jc w:val="center"/>
              <w:rPr>
                <w:b/>
                <w:sz w:val="16"/>
                <w:szCs w:val="16"/>
              </w:rPr>
            </w:pPr>
            <w:r w:rsidRPr="00EA5626">
              <w:rPr>
                <w:b/>
                <w:sz w:val="16"/>
                <w:szCs w:val="16"/>
              </w:rPr>
              <w:t>Market evidence for bonds</w:t>
            </w:r>
          </w:p>
        </w:tc>
        <w:tc>
          <w:tcPr>
            <w:tcW w:w="1842" w:type="dxa"/>
          </w:tcPr>
          <w:p w:rsidR="00EA5626" w:rsidRPr="00EA5626" w:rsidRDefault="00EA5626" w:rsidP="00EA5626">
            <w:pPr>
              <w:spacing w:after="0"/>
              <w:ind w:left="0"/>
              <w:jc w:val="center"/>
              <w:rPr>
                <w:sz w:val="16"/>
                <w:szCs w:val="16"/>
              </w:rPr>
            </w:pPr>
          </w:p>
        </w:tc>
        <w:tc>
          <w:tcPr>
            <w:tcW w:w="3963" w:type="dxa"/>
          </w:tcPr>
          <w:p w:rsidR="00EA5626" w:rsidRPr="00EA5626" w:rsidRDefault="00EA5626" w:rsidP="00EA5626">
            <w:pPr>
              <w:spacing w:after="0"/>
              <w:ind w:left="0"/>
              <w:rPr>
                <w:sz w:val="16"/>
                <w:szCs w:val="16"/>
              </w:rPr>
            </w:pPr>
          </w:p>
        </w:tc>
      </w:tr>
      <w:tr w:rsidR="00EA5626" w:rsidTr="00EA5626">
        <w:tc>
          <w:tcPr>
            <w:tcW w:w="1412" w:type="dxa"/>
          </w:tcPr>
          <w:p w:rsidR="00EA5626" w:rsidRPr="00EA5626" w:rsidRDefault="00EA5626" w:rsidP="00EA5626">
            <w:pPr>
              <w:spacing w:after="0"/>
              <w:ind w:left="0"/>
              <w:rPr>
                <w:sz w:val="16"/>
                <w:szCs w:val="16"/>
              </w:rPr>
            </w:pPr>
            <w:r>
              <w:rPr>
                <w:sz w:val="16"/>
                <w:szCs w:val="16"/>
              </w:rPr>
              <w:t>Yield at issue</w:t>
            </w:r>
          </w:p>
        </w:tc>
        <w:tc>
          <w:tcPr>
            <w:tcW w:w="1560" w:type="dxa"/>
          </w:tcPr>
          <w:p w:rsidR="00EA5626" w:rsidRPr="00EA5626" w:rsidRDefault="00EA5626" w:rsidP="00EA5626">
            <w:pPr>
              <w:spacing w:after="0"/>
              <w:ind w:left="0"/>
              <w:jc w:val="center"/>
              <w:rPr>
                <w:sz w:val="16"/>
                <w:szCs w:val="16"/>
              </w:rPr>
            </w:pPr>
            <w:r>
              <w:rPr>
                <w:sz w:val="16"/>
                <w:szCs w:val="16"/>
              </w:rPr>
              <w:t>30 bps</w:t>
            </w:r>
          </w:p>
        </w:tc>
        <w:tc>
          <w:tcPr>
            <w:tcW w:w="1842" w:type="dxa"/>
          </w:tcPr>
          <w:p w:rsidR="00EA5626" w:rsidRPr="00EA5626" w:rsidRDefault="00EA5626" w:rsidP="00EA5626">
            <w:pPr>
              <w:spacing w:after="0"/>
              <w:ind w:left="0"/>
              <w:jc w:val="center"/>
              <w:rPr>
                <w:sz w:val="16"/>
                <w:szCs w:val="16"/>
              </w:rPr>
            </w:pPr>
            <w:r>
              <w:rPr>
                <w:sz w:val="16"/>
                <w:szCs w:val="16"/>
              </w:rPr>
              <w:t>28bps</w:t>
            </w:r>
          </w:p>
        </w:tc>
        <w:tc>
          <w:tcPr>
            <w:tcW w:w="3963" w:type="dxa"/>
          </w:tcPr>
          <w:p w:rsidR="00EA5626" w:rsidRPr="00EA5626" w:rsidRDefault="00EA5626" w:rsidP="00EA5626">
            <w:pPr>
              <w:spacing w:after="0"/>
              <w:ind w:left="0"/>
              <w:rPr>
                <w:sz w:val="16"/>
                <w:szCs w:val="16"/>
              </w:rPr>
            </w:pPr>
            <w:r>
              <w:rPr>
                <w:sz w:val="16"/>
                <w:szCs w:val="16"/>
              </w:rPr>
              <w:t>NERA estimate based on all GBP outstanding debt issues; Ofwat restricted to 2008-2014</w:t>
            </w:r>
          </w:p>
        </w:tc>
      </w:tr>
      <w:tr w:rsidR="00EA5626" w:rsidTr="00EA5626">
        <w:tc>
          <w:tcPr>
            <w:tcW w:w="1412" w:type="dxa"/>
          </w:tcPr>
          <w:p w:rsidR="00EA5626" w:rsidRDefault="00EA5626" w:rsidP="00EA5626">
            <w:pPr>
              <w:spacing w:after="0"/>
              <w:ind w:left="0"/>
              <w:rPr>
                <w:sz w:val="16"/>
                <w:szCs w:val="16"/>
              </w:rPr>
            </w:pPr>
          </w:p>
        </w:tc>
        <w:tc>
          <w:tcPr>
            <w:tcW w:w="1560" w:type="dxa"/>
          </w:tcPr>
          <w:p w:rsidR="00EA5626" w:rsidRDefault="00EA5626" w:rsidP="00EA5626">
            <w:pPr>
              <w:spacing w:after="0"/>
              <w:ind w:left="0"/>
              <w:jc w:val="center"/>
              <w:rPr>
                <w:sz w:val="16"/>
                <w:szCs w:val="16"/>
              </w:rPr>
            </w:pPr>
          </w:p>
        </w:tc>
        <w:tc>
          <w:tcPr>
            <w:tcW w:w="1842" w:type="dxa"/>
          </w:tcPr>
          <w:p w:rsidR="00EA5626" w:rsidRDefault="00EA5626" w:rsidP="00EA5626">
            <w:pPr>
              <w:spacing w:after="0"/>
              <w:ind w:left="0"/>
              <w:jc w:val="center"/>
              <w:rPr>
                <w:sz w:val="16"/>
                <w:szCs w:val="16"/>
              </w:rPr>
            </w:pPr>
          </w:p>
        </w:tc>
        <w:tc>
          <w:tcPr>
            <w:tcW w:w="3963" w:type="dxa"/>
          </w:tcPr>
          <w:p w:rsidR="00EA5626" w:rsidRDefault="00EA5626" w:rsidP="00EA5626">
            <w:pPr>
              <w:spacing w:after="0"/>
              <w:ind w:left="0"/>
              <w:rPr>
                <w:sz w:val="16"/>
                <w:szCs w:val="16"/>
              </w:rPr>
            </w:pPr>
          </w:p>
        </w:tc>
      </w:tr>
      <w:tr w:rsidR="00EA5626" w:rsidTr="00EA5626">
        <w:tc>
          <w:tcPr>
            <w:tcW w:w="1412" w:type="dxa"/>
          </w:tcPr>
          <w:p w:rsidR="00EA5626" w:rsidRDefault="00EA5626" w:rsidP="00EA5626">
            <w:pPr>
              <w:spacing w:after="0"/>
              <w:ind w:left="0"/>
              <w:rPr>
                <w:sz w:val="16"/>
                <w:szCs w:val="16"/>
              </w:rPr>
            </w:pPr>
            <w:r>
              <w:rPr>
                <w:sz w:val="16"/>
                <w:szCs w:val="16"/>
              </w:rPr>
              <w:t>Traded yields</w:t>
            </w:r>
          </w:p>
        </w:tc>
        <w:tc>
          <w:tcPr>
            <w:tcW w:w="1560" w:type="dxa"/>
          </w:tcPr>
          <w:p w:rsidR="00EA5626" w:rsidRDefault="00E66B8D" w:rsidP="00EA5626">
            <w:pPr>
              <w:spacing w:after="0"/>
              <w:ind w:left="0"/>
              <w:jc w:val="center"/>
              <w:rPr>
                <w:sz w:val="16"/>
                <w:szCs w:val="16"/>
              </w:rPr>
            </w:pPr>
            <w:r>
              <w:rPr>
                <w:sz w:val="16"/>
                <w:szCs w:val="16"/>
              </w:rPr>
              <w:t>No evidence</w:t>
            </w:r>
          </w:p>
        </w:tc>
        <w:tc>
          <w:tcPr>
            <w:tcW w:w="1842" w:type="dxa"/>
          </w:tcPr>
          <w:p w:rsidR="00EA5626" w:rsidRDefault="00E66B8D" w:rsidP="00EA5626">
            <w:pPr>
              <w:spacing w:after="0"/>
              <w:ind w:left="0"/>
              <w:jc w:val="center"/>
              <w:rPr>
                <w:sz w:val="16"/>
                <w:szCs w:val="16"/>
              </w:rPr>
            </w:pPr>
            <w:r>
              <w:rPr>
                <w:sz w:val="16"/>
                <w:szCs w:val="16"/>
              </w:rPr>
              <w:t>22 bps</w:t>
            </w:r>
          </w:p>
        </w:tc>
        <w:tc>
          <w:tcPr>
            <w:tcW w:w="3963" w:type="dxa"/>
          </w:tcPr>
          <w:p w:rsidR="00EA5626" w:rsidRDefault="00E66B8D" w:rsidP="00EA5626">
            <w:pPr>
              <w:spacing w:after="0"/>
              <w:ind w:left="0"/>
              <w:rPr>
                <w:sz w:val="16"/>
                <w:szCs w:val="16"/>
              </w:rPr>
            </w:pPr>
            <w:r>
              <w:rPr>
                <w:sz w:val="16"/>
                <w:szCs w:val="16"/>
              </w:rPr>
              <w:t>NERA estimate based on 5 WoC bonds vs Ofwat’s 2 bonds.  Excludes AFW where debt costs may be affected by timing of securitisation as noted by Ofwat at PR14</w:t>
            </w:r>
          </w:p>
        </w:tc>
      </w:tr>
      <w:tr w:rsidR="00E66B8D" w:rsidTr="00E66B8D">
        <w:tc>
          <w:tcPr>
            <w:tcW w:w="2972" w:type="dxa"/>
            <w:gridSpan w:val="2"/>
          </w:tcPr>
          <w:p w:rsidR="00E66B8D" w:rsidRPr="00E66B8D" w:rsidRDefault="00E66B8D" w:rsidP="00E66B8D">
            <w:pPr>
              <w:spacing w:after="0"/>
              <w:ind w:left="0"/>
              <w:jc w:val="left"/>
              <w:rPr>
                <w:b/>
                <w:sz w:val="16"/>
                <w:szCs w:val="16"/>
              </w:rPr>
            </w:pPr>
            <w:r>
              <w:rPr>
                <w:b/>
                <w:sz w:val="16"/>
                <w:szCs w:val="16"/>
              </w:rPr>
              <w:t>Artesian and Bank Finance</w:t>
            </w:r>
          </w:p>
        </w:tc>
        <w:tc>
          <w:tcPr>
            <w:tcW w:w="1842" w:type="dxa"/>
          </w:tcPr>
          <w:p w:rsidR="00E66B8D" w:rsidRDefault="00E66B8D" w:rsidP="00EA5626">
            <w:pPr>
              <w:spacing w:after="0"/>
              <w:ind w:left="0"/>
              <w:jc w:val="center"/>
              <w:rPr>
                <w:sz w:val="16"/>
                <w:szCs w:val="16"/>
              </w:rPr>
            </w:pPr>
          </w:p>
        </w:tc>
        <w:tc>
          <w:tcPr>
            <w:tcW w:w="3963" w:type="dxa"/>
          </w:tcPr>
          <w:p w:rsidR="00E66B8D" w:rsidRDefault="00E66B8D" w:rsidP="00EA5626">
            <w:pPr>
              <w:spacing w:after="0"/>
              <w:ind w:left="0"/>
              <w:rPr>
                <w:sz w:val="16"/>
                <w:szCs w:val="16"/>
              </w:rPr>
            </w:pPr>
          </w:p>
        </w:tc>
      </w:tr>
      <w:tr w:rsidR="00E66B8D" w:rsidTr="00EA5626">
        <w:tc>
          <w:tcPr>
            <w:tcW w:w="1412" w:type="dxa"/>
          </w:tcPr>
          <w:p w:rsidR="00E66B8D" w:rsidRDefault="00E66B8D" w:rsidP="00EA5626">
            <w:pPr>
              <w:spacing w:after="0"/>
              <w:ind w:left="0"/>
              <w:rPr>
                <w:sz w:val="16"/>
                <w:szCs w:val="16"/>
              </w:rPr>
            </w:pPr>
            <w:r>
              <w:rPr>
                <w:sz w:val="16"/>
                <w:szCs w:val="16"/>
              </w:rPr>
              <w:t>Artesian</w:t>
            </w:r>
          </w:p>
        </w:tc>
        <w:tc>
          <w:tcPr>
            <w:tcW w:w="1560" w:type="dxa"/>
          </w:tcPr>
          <w:p w:rsidR="00E66B8D" w:rsidRDefault="00E66B8D" w:rsidP="00EA5626">
            <w:pPr>
              <w:spacing w:after="0"/>
              <w:ind w:left="0"/>
              <w:jc w:val="center"/>
              <w:rPr>
                <w:sz w:val="16"/>
                <w:szCs w:val="16"/>
              </w:rPr>
            </w:pPr>
            <w:r>
              <w:rPr>
                <w:sz w:val="16"/>
                <w:szCs w:val="16"/>
              </w:rPr>
              <w:t>26 bps (Ofwat)</w:t>
            </w:r>
          </w:p>
          <w:p w:rsidR="00E66B8D" w:rsidRDefault="00E66B8D" w:rsidP="00EA5626">
            <w:pPr>
              <w:spacing w:after="0"/>
              <w:ind w:left="0"/>
              <w:jc w:val="center"/>
              <w:rPr>
                <w:sz w:val="16"/>
                <w:szCs w:val="16"/>
              </w:rPr>
            </w:pPr>
            <w:r>
              <w:rPr>
                <w:sz w:val="16"/>
                <w:szCs w:val="16"/>
              </w:rPr>
              <w:t>40 bps (CMA)</w:t>
            </w:r>
          </w:p>
        </w:tc>
        <w:tc>
          <w:tcPr>
            <w:tcW w:w="1842" w:type="dxa"/>
          </w:tcPr>
          <w:p w:rsidR="00E66B8D" w:rsidRDefault="00E66B8D" w:rsidP="00EA5626">
            <w:pPr>
              <w:spacing w:after="0"/>
              <w:ind w:left="0"/>
              <w:jc w:val="center"/>
              <w:rPr>
                <w:sz w:val="16"/>
                <w:szCs w:val="16"/>
              </w:rPr>
            </w:pPr>
            <w:r>
              <w:rPr>
                <w:sz w:val="16"/>
                <w:szCs w:val="16"/>
              </w:rPr>
              <w:t>26-40 bps</w:t>
            </w:r>
          </w:p>
        </w:tc>
        <w:tc>
          <w:tcPr>
            <w:tcW w:w="3963" w:type="dxa"/>
          </w:tcPr>
          <w:p w:rsidR="00E66B8D" w:rsidRDefault="00E66B8D" w:rsidP="0008192E">
            <w:pPr>
              <w:spacing w:after="0"/>
              <w:ind w:left="0"/>
              <w:rPr>
                <w:sz w:val="16"/>
                <w:szCs w:val="16"/>
              </w:rPr>
            </w:pPr>
            <w:r>
              <w:rPr>
                <w:sz w:val="16"/>
                <w:szCs w:val="16"/>
              </w:rPr>
              <w:t>There are no further Artesian issues since PR14</w:t>
            </w:r>
            <w:r w:rsidR="0008192E">
              <w:rPr>
                <w:sz w:val="16"/>
                <w:szCs w:val="16"/>
              </w:rPr>
              <w:t>.</w:t>
            </w:r>
          </w:p>
        </w:tc>
      </w:tr>
      <w:tr w:rsidR="00E66B8D" w:rsidTr="00EA5626">
        <w:tc>
          <w:tcPr>
            <w:tcW w:w="1412" w:type="dxa"/>
          </w:tcPr>
          <w:p w:rsidR="00E66B8D" w:rsidRDefault="00E66B8D" w:rsidP="00EA5626">
            <w:pPr>
              <w:spacing w:after="0"/>
              <w:ind w:left="0"/>
              <w:rPr>
                <w:sz w:val="16"/>
                <w:szCs w:val="16"/>
              </w:rPr>
            </w:pPr>
            <w:r>
              <w:rPr>
                <w:sz w:val="16"/>
                <w:szCs w:val="16"/>
              </w:rPr>
              <w:t>Bank loan</w:t>
            </w:r>
          </w:p>
        </w:tc>
        <w:tc>
          <w:tcPr>
            <w:tcW w:w="1560" w:type="dxa"/>
          </w:tcPr>
          <w:p w:rsidR="00E66B8D" w:rsidRDefault="00E66B8D" w:rsidP="00EA5626">
            <w:pPr>
              <w:spacing w:after="0"/>
              <w:ind w:left="0"/>
              <w:jc w:val="center"/>
              <w:rPr>
                <w:sz w:val="16"/>
                <w:szCs w:val="16"/>
              </w:rPr>
            </w:pPr>
            <w:r>
              <w:rPr>
                <w:sz w:val="16"/>
                <w:szCs w:val="16"/>
              </w:rPr>
              <w:t>20 bps (PR14 BP)</w:t>
            </w:r>
          </w:p>
          <w:p w:rsidR="00E66B8D" w:rsidRDefault="00E66B8D" w:rsidP="00EA5626">
            <w:pPr>
              <w:spacing w:after="0"/>
              <w:ind w:left="0"/>
              <w:jc w:val="center"/>
              <w:rPr>
                <w:sz w:val="16"/>
                <w:szCs w:val="16"/>
              </w:rPr>
            </w:pPr>
            <w:r>
              <w:rPr>
                <w:sz w:val="16"/>
                <w:szCs w:val="16"/>
              </w:rPr>
              <w:t>40 bps (survey)</w:t>
            </w:r>
          </w:p>
        </w:tc>
        <w:tc>
          <w:tcPr>
            <w:tcW w:w="1842" w:type="dxa"/>
          </w:tcPr>
          <w:p w:rsidR="00E66B8D" w:rsidRDefault="00E66B8D" w:rsidP="00EA5626">
            <w:pPr>
              <w:spacing w:after="0"/>
              <w:ind w:left="0"/>
              <w:jc w:val="center"/>
              <w:rPr>
                <w:sz w:val="16"/>
                <w:szCs w:val="16"/>
              </w:rPr>
            </w:pPr>
            <w:r>
              <w:rPr>
                <w:sz w:val="16"/>
                <w:szCs w:val="16"/>
              </w:rPr>
              <w:t>20-40 bps</w:t>
            </w:r>
          </w:p>
        </w:tc>
        <w:tc>
          <w:tcPr>
            <w:tcW w:w="3963" w:type="dxa"/>
          </w:tcPr>
          <w:p w:rsidR="00E66B8D" w:rsidRDefault="0008192E" w:rsidP="00EA5626">
            <w:pPr>
              <w:spacing w:after="0"/>
              <w:ind w:left="0"/>
              <w:rPr>
                <w:sz w:val="16"/>
                <w:szCs w:val="16"/>
              </w:rPr>
            </w:pPr>
            <w:r>
              <w:rPr>
                <w:sz w:val="16"/>
                <w:szCs w:val="16"/>
              </w:rPr>
              <w:t>No further publicly available evidence on relative costs of bank loan finance.</w:t>
            </w:r>
          </w:p>
        </w:tc>
      </w:tr>
    </w:tbl>
    <w:p w:rsidR="00EA5626" w:rsidRPr="00E66B8D" w:rsidRDefault="00E66B8D" w:rsidP="004456AC">
      <w:pPr>
        <w:rPr>
          <w:i/>
          <w:sz w:val="16"/>
          <w:szCs w:val="16"/>
        </w:rPr>
      </w:pPr>
      <w:r w:rsidRPr="00E66B8D">
        <w:rPr>
          <w:i/>
          <w:sz w:val="16"/>
          <w:szCs w:val="16"/>
        </w:rPr>
        <w:t>Source: NERA analysis of data from Bloomberg, Bank of England and PwC report</w:t>
      </w:r>
    </w:p>
    <w:p w:rsidR="00AC257D" w:rsidRPr="00AC257D" w:rsidRDefault="00AC257D" w:rsidP="00E3666D">
      <w:pPr>
        <w:pStyle w:val="ListParagraph"/>
        <w:numPr>
          <w:ilvl w:val="0"/>
          <w:numId w:val="9"/>
        </w:numPr>
        <w:spacing w:after="0"/>
        <w:rPr>
          <w:rFonts w:cs="Arial"/>
          <w:sz w:val="16"/>
          <w:szCs w:val="16"/>
        </w:rPr>
      </w:pPr>
      <w:r w:rsidRPr="00AC257D">
        <w:rPr>
          <w:rFonts w:cs="Arial"/>
          <w:sz w:val="16"/>
          <w:szCs w:val="16"/>
        </w:rPr>
        <w:t>Evidence on Company Specific Adjustment for Portsmouth Water’s cost of debt – August 2017</w:t>
      </w:r>
    </w:p>
    <w:p w:rsidR="008B3495" w:rsidRDefault="008B3495">
      <w:pPr>
        <w:tabs>
          <w:tab w:val="clear" w:pos="851"/>
        </w:tabs>
        <w:spacing w:after="0"/>
        <w:ind w:left="0"/>
        <w:jc w:val="left"/>
      </w:pPr>
    </w:p>
    <w:p w:rsidR="0099774F" w:rsidRDefault="0099774F" w:rsidP="0099774F">
      <w:pPr>
        <w:pStyle w:val="Heading2"/>
      </w:pPr>
      <w:bookmarkStart w:id="246" w:name="_Toc522200039"/>
      <w:bookmarkStart w:id="247" w:name="_Toc522200136"/>
      <w:bookmarkStart w:id="248" w:name="_Toc523651329"/>
      <w:r>
        <w:t>Risks and Mitigation</w:t>
      </w:r>
      <w:bookmarkEnd w:id="246"/>
      <w:bookmarkEnd w:id="247"/>
      <w:bookmarkEnd w:id="248"/>
    </w:p>
    <w:p w:rsidR="00816A14" w:rsidRDefault="00816A14" w:rsidP="00816A14">
      <w:r>
        <w:t xml:space="preserve">The Company is committed to effective risk management </w:t>
      </w:r>
      <w:r w:rsidR="00560B22">
        <w:t>and</w:t>
      </w:r>
      <w:r>
        <w:t xml:space="preserve"> governance processes to support the business.  Set out in </w:t>
      </w:r>
      <w:r w:rsidR="00C95542">
        <w:t xml:space="preserve">Chapter 6 – Resilience in the Round </w:t>
      </w:r>
      <w:r>
        <w:t xml:space="preserve">is a summary of </w:t>
      </w:r>
      <w:r w:rsidR="00C95542">
        <w:t xml:space="preserve">our </w:t>
      </w:r>
      <w:r>
        <w:t>approach to risk management and governance and a detailed explanation of how this has informed and driven activities in the Business Plan.</w:t>
      </w:r>
    </w:p>
    <w:p w:rsidR="00C95542" w:rsidRDefault="00816A14" w:rsidP="00816A14">
      <w:r>
        <w:t>The Board, senior management and investors have both the clear intention to manage risk effectively and the skills and resources to achieve this.  Our risk management framework sets out a clear “tone at the top” which is communicated through aligned Board and management objectives coupled to a clearly documented governance framework.  This framework is embedded into our daily working practices including within our business systems.  Supporting this is a culture that recognises the importance of continual improvement and learning.</w:t>
      </w:r>
    </w:p>
    <w:p w:rsidR="00816A14" w:rsidRDefault="00816A14" w:rsidP="00816A14">
      <w:r>
        <w:t>The Company has established practises of “lessons learned” which run throughout the business processes from “major incidents” to day-to-day activities such a</w:t>
      </w:r>
      <w:r w:rsidR="00CD0ED9">
        <w:t>s</w:t>
      </w:r>
      <w:r>
        <w:t xml:space="preserve"> reviewing complaints.  </w:t>
      </w:r>
      <w:r w:rsidR="00CD0ED9">
        <w:t>T</w:t>
      </w:r>
      <w:r>
        <w:t xml:space="preserve">his has helped to develop the </w:t>
      </w:r>
      <w:r w:rsidR="004977F6">
        <w:t xml:space="preserve">appropriate </w:t>
      </w:r>
      <w:r>
        <w:t>risk management culture in the business</w:t>
      </w:r>
      <w:r w:rsidR="004977F6">
        <w:t xml:space="preserve"> to allow it to remain consistent with the latest risk management practices</w:t>
      </w:r>
      <w:r>
        <w:t>.</w:t>
      </w:r>
    </w:p>
    <w:p w:rsidR="005C2748" w:rsidRDefault="00816A14" w:rsidP="00816A14">
      <w:r>
        <w:t>Effective risk management benefits both customers, shareholders and management as the successful outcomes of risk management can be seen to support objectives for all. Set out below is a summary of how the business aligns the outcomes from effective risk management to overall business success.</w:t>
      </w:r>
    </w:p>
    <w:p w:rsidR="005C2748" w:rsidRDefault="005C2748">
      <w:pPr>
        <w:tabs>
          <w:tab w:val="clear" w:pos="851"/>
        </w:tabs>
        <w:spacing w:after="0"/>
        <w:ind w:left="0"/>
        <w:jc w:val="left"/>
      </w:pPr>
    </w:p>
    <w:tbl>
      <w:tblPr>
        <w:tblStyle w:val="TableGrid34"/>
        <w:tblW w:w="9214" w:type="dxa"/>
        <w:tblInd w:w="846" w:type="dxa"/>
        <w:tblLayout w:type="fixed"/>
        <w:tblLook w:val="04A0" w:firstRow="1" w:lastRow="0" w:firstColumn="1" w:lastColumn="0" w:noHBand="0" w:noVBand="1"/>
      </w:tblPr>
      <w:tblGrid>
        <w:gridCol w:w="1841"/>
        <w:gridCol w:w="4821"/>
        <w:gridCol w:w="851"/>
        <w:gridCol w:w="850"/>
        <w:gridCol w:w="851"/>
      </w:tblGrid>
      <w:tr w:rsidR="00533998" w:rsidRPr="00533998" w:rsidTr="00BE487E">
        <w:tc>
          <w:tcPr>
            <w:tcW w:w="6662" w:type="dxa"/>
            <w:gridSpan w:val="2"/>
            <w:shd w:val="clear" w:color="auto" w:fill="2E74B5" w:themeFill="accent1" w:themeFillShade="BF"/>
          </w:tcPr>
          <w:p w:rsidR="00533998" w:rsidRPr="00533998" w:rsidRDefault="00533998" w:rsidP="00816A14">
            <w:pPr>
              <w:tabs>
                <w:tab w:val="clear" w:pos="851"/>
              </w:tabs>
              <w:spacing w:after="0"/>
              <w:ind w:left="0"/>
              <w:jc w:val="left"/>
              <w:rPr>
                <w:rFonts w:asciiTheme="minorHAnsi" w:hAnsiTheme="minorHAnsi"/>
                <w:b/>
                <w:color w:val="FFFFFF" w:themeColor="background1"/>
                <w:sz w:val="16"/>
                <w:szCs w:val="16"/>
              </w:rPr>
            </w:pPr>
            <w:r w:rsidRPr="00533998">
              <w:rPr>
                <w:rFonts w:asciiTheme="minorHAnsi" w:hAnsiTheme="minorHAnsi"/>
                <w:b/>
                <w:color w:val="FFFFFF" w:themeColor="background1"/>
                <w:sz w:val="16"/>
                <w:szCs w:val="16"/>
              </w:rPr>
              <w:t>Outcomes of effective risk management</w:t>
            </w:r>
          </w:p>
        </w:tc>
        <w:tc>
          <w:tcPr>
            <w:tcW w:w="851" w:type="dxa"/>
            <w:shd w:val="clear" w:color="auto" w:fill="2E74B5" w:themeFill="accent1" w:themeFillShade="BF"/>
          </w:tcPr>
          <w:p w:rsidR="00533998" w:rsidRPr="00533998" w:rsidRDefault="00533998" w:rsidP="00816A14">
            <w:pPr>
              <w:tabs>
                <w:tab w:val="clear" w:pos="851"/>
              </w:tabs>
              <w:spacing w:after="0"/>
              <w:ind w:left="0"/>
              <w:jc w:val="center"/>
              <w:rPr>
                <w:rFonts w:asciiTheme="minorHAnsi" w:hAnsiTheme="minorHAnsi"/>
                <w:b/>
                <w:color w:val="FFFFFF" w:themeColor="background1"/>
                <w:sz w:val="14"/>
                <w:szCs w:val="14"/>
              </w:rPr>
            </w:pPr>
            <w:r w:rsidRPr="00533998">
              <w:rPr>
                <w:rFonts w:asciiTheme="minorHAnsi" w:hAnsiTheme="minorHAnsi"/>
                <w:b/>
                <w:color w:val="FFFFFF" w:themeColor="background1"/>
                <w:sz w:val="14"/>
                <w:szCs w:val="14"/>
              </w:rPr>
              <w:t>Customers</w:t>
            </w:r>
          </w:p>
        </w:tc>
        <w:tc>
          <w:tcPr>
            <w:tcW w:w="850" w:type="dxa"/>
            <w:shd w:val="clear" w:color="auto" w:fill="2E74B5" w:themeFill="accent1" w:themeFillShade="BF"/>
          </w:tcPr>
          <w:p w:rsidR="00533998" w:rsidRPr="00533998" w:rsidRDefault="00533998" w:rsidP="00816A14">
            <w:pPr>
              <w:tabs>
                <w:tab w:val="clear" w:pos="851"/>
              </w:tabs>
              <w:spacing w:after="0"/>
              <w:ind w:left="0"/>
              <w:jc w:val="center"/>
              <w:rPr>
                <w:rFonts w:asciiTheme="minorHAnsi" w:hAnsiTheme="minorHAnsi"/>
                <w:b/>
                <w:color w:val="FFFFFF" w:themeColor="background1"/>
                <w:sz w:val="14"/>
                <w:szCs w:val="14"/>
              </w:rPr>
            </w:pPr>
            <w:r w:rsidRPr="00533998">
              <w:rPr>
                <w:rFonts w:asciiTheme="minorHAnsi" w:hAnsiTheme="minorHAnsi"/>
                <w:b/>
                <w:color w:val="FFFFFF" w:themeColor="background1"/>
                <w:sz w:val="14"/>
                <w:szCs w:val="14"/>
              </w:rPr>
              <w:t>Investors</w:t>
            </w:r>
          </w:p>
        </w:tc>
        <w:tc>
          <w:tcPr>
            <w:tcW w:w="851" w:type="dxa"/>
            <w:shd w:val="clear" w:color="auto" w:fill="2E74B5" w:themeFill="accent1" w:themeFillShade="BF"/>
          </w:tcPr>
          <w:p w:rsidR="00533998" w:rsidRPr="00533998" w:rsidRDefault="00533998" w:rsidP="00816A14">
            <w:pPr>
              <w:tabs>
                <w:tab w:val="clear" w:pos="851"/>
              </w:tabs>
              <w:spacing w:after="0"/>
              <w:ind w:left="0"/>
              <w:jc w:val="center"/>
              <w:rPr>
                <w:rFonts w:asciiTheme="minorHAnsi" w:hAnsiTheme="minorHAnsi"/>
                <w:b/>
                <w:color w:val="FFFFFF" w:themeColor="background1"/>
                <w:sz w:val="14"/>
                <w:szCs w:val="14"/>
              </w:rPr>
            </w:pPr>
            <w:r w:rsidRPr="00533998">
              <w:rPr>
                <w:rFonts w:asciiTheme="minorHAnsi" w:hAnsiTheme="minorHAnsi"/>
                <w:b/>
                <w:color w:val="FFFFFF" w:themeColor="background1"/>
                <w:sz w:val="14"/>
                <w:szCs w:val="14"/>
              </w:rPr>
              <w:t>Company</w:t>
            </w:r>
          </w:p>
        </w:tc>
      </w:tr>
      <w:tr w:rsidR="00C95542" w:rsidRPr="00816A14" w:rsidTr="00BE487E">
        <w:tc>
          <w:tcPr>
            <w:tcW w:w="184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Sound decision making</w:t>
            </w:r>
          </w:p>
        </w:tc>
        <w:tc>
          <w:tcPr>
            <w:tcW w:w="4821" w:type="dxa"/>
          </w:tcPr>
          <w:p w:rsidR="00C95542" w:rsidRPr="00816A14" w:rsidRDefault="00C95542" w:rsidP="00BE487E">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 xml:space="preserve">This results in effective business performance and results in reduced risk of financial “shocks” to the business. It includes “optimisation” using effective cost benefit analysis coupled to customer preferences to get the best balance for the business and the customer.  See </w:t>
            </w:r>
            <w:r w:rsidRPr="00BE487E">
              <w:rPr>
                <w:rFonts w:asciiTheme="minorHAnsi" w:hAnsiTheme="minorHAnsi"/>
                <w:sz w:val="16"/>
                <w:szCs w:val="16"/>
              </w:rPr>
              <w:t xml:space="preserve">Optimisation Approach in section </w:t>
            </w:r>
            <w:r w:rsidR="00BE487E">
              <w:rPr>
                <w:rFonts w:asciiTheme="minorHAnsi" w:hAnsiTheme="minorHAnsi"/>
                <w:sz w:val="16"/>
                <w:szCs w:val="16"/>
              </w:rPr>
              <w:t>9.1.3.</w:t>
            </w:r>
          </w:p>
        </w:tc>
        <w:tc>
          <w:tcPr>
            <w:tcW w:w="851"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0"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1" w:type="dxa"/>
          </w:tcPr>
          <w:p w:rsidR="00C95542" w:rsidRPr="00816A14" w:rsidRDefault="00533998"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r>
      <w:tr w:rsidR="00C95542" w:rsidRPr="00816A14" w:rsidTr="00BE487E">
        <w:tc>
          <w:tcPr>
            <w:tcW w:w="184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Employee focus &amp; positive behaviours</w:t>
            </w:r>
          </w:p>
        </w:tc>
        <w:tc>
          <w:tcPr>
            <w:tcW w:w="482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 xml:space="preserve">Employees are focussed </w:t>
            </w:r>
            <w:r w:rsidR="00871242" w:rsidRPr="00816A14">
              <w:rPr>
                <w:rFonts w:asciiTheme="minorHAnsi" w:hAnsiTheme="minorHAnsi"/>
                <w:sz w:val="16"/>
                <w:szCs w:val="16"/>
              </w:rPr>
              <w:t>on both the overall business objectives and associated</w:t>
            </w:r>
            <w:r w:rsidRPr="00816A14">
              <w:rPr>
                <w:rFonts w:asciiTheme="minorHAnsi" w:hAnsiTheme="minorHAnsi"/>
                <w:sz w:val="16"/>
                <w:szCs w:val="16"/>
              </w:rPr>
              <w:t xml:space="preserve"> risk.  This results in aligned performance across the business and is linked to ability to meet Company objectives.  This ensures delivery of outcomes for customers and related financial performance.</w:t>
            </w:r>
          </w:p>
        </w:tc>
        <w:tc>
          <w:tcPr>
            <w:tcW w:w="851"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0"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1" w:type="dxa"/>
          </w:tcPr>
          <w:p w:rsidR="00C95542" w:rsidRPr="00816A14" w:rsidRDefault="00533998"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r>
      <w:tr w:rsidR="00C95542" w:rsidRPr="00816A14" w:rsidTr="00BE487E">
        <w:tc>
          <w:tcPr>
            <w:tcW w:w="184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Continual improvement</w:t>
            </w:r>
          </w:p>
        </w:tc>
        <w:tc>
          <w:tcPr>
            <w:tcW w:w="482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Continual improvement drives positive performance across the business delivering more of what matters for customers and managing efficiency and adverse performance (with associated costs).</w:t>
            </w:r>
          </w:p>
        </w:tc>
        <w:tc>
          <w:tcPr>
            <w:tcW w:w="851"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0"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1" w:type="dxa"/>
          </w:tcPr>
          <w:p w:rsidR="00C95542" w:rsidRPr="00816A14" w:rsidRDefault="00533998"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r>
      <w:tr w:rsidR="00C95542" w:rsidRPr="00816A14" w:rsidTr="00BE487E">
        <w:tc>
          <w:tcPr>
            <w:tcW w:w="184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Avoid adverse economic performance</w:t>
            </w:r>
          </w:p>
        </w:tc>
        <w:tc>
          <w:tcPr>
            <w:tcW w:w="482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 xml:space="preserve">This impacts shareholders through returns, management through rewards &amp; incentives and customers through </w:t>
            </w:r>
            <w:r w:rsidR="00FE42E8">
              <w:rPr>
                <w:rFonts w:asciiTheme="minorHAnsi" w:hAnsiTheme="minorHAnsi"/>
                <w:sz w:val="16"/>
                <w:szCs w:val="16"/>
              </w:rPr>
              <w:t>Totex</w:t>
            </w:r>
            <w:r w:rsidRPr="00816A14">
              <w:rPr>
                <w:rFonts w:asciiTheme="minorHAnsi" w:hAnsiTheme="minorHAnsi"/>
                <w:sz w:val="16"/>
                <w:szCs w:val="16"/>
              </w:rPr>
              <w:t xml:space="preserve"> sharing.  </w:t>
            </w:r>
            <w:r w:rsidR="00871242" w:rsidRPr="00816A14">
              <w:rPr>
                <w:rFonts w:asciiTheme="minorHAnsi" w:hAnsiTheme="minorHAnsi"/>
                <w:sz w:val="16"/>
                <w:szCs w:val="16"/>
              </w:rPr>
              <w:t>Therefore,</w:t>
            </w:r>
            <w:r w:rsidRPr="00816A14">
              <w:rPr>
                <w:rFonts w:asciiTheme="minorHAnsi" w:hAnsiTheme="minorHAnsi"/>
                <w:sz w:val="16"/>
                <w:szCs w:val="16"/>
              </w:rPr>
              <w:t xml:space="preserve"> control has a positive impact on all stakeholders.</w:t>
            </w:r>
          </w:p>
        </w:tc>
        <w:tc>
          <w:tcPr>
            <w:tcW w:w="851"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0"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1" w:type="dxa"/>
          </w:tcPr>
          <w:p w:rsidR="00C95542" w:rsidRPr="00816A14" w:rsidRDefault="00533998"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r>
      <w:tr w:rsidR="00C95542" w:rsidRPr="00816A14" w:rsidTr="00BE487E">
        <w:tc>
          <w:tcPr>
            <w:tcW w:w="184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Innovate successfully</w:t>
            </w:r>
          </w:p>
        </w:tc>
        <w:tc>
          <w:tcPr>
            <w:tcW w:w="482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Driving better performance, operationally and financially, through successful innovation benefits all stakeholders through delivering Outcomes and managing costs.</w:t>
            </w:r>
          </w:p>
        </w:tc>
        <w:tc>
          <w:tcPr>
            <w:tcW w:w="851"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0"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1" w:type="dxa"/>
          </w:tcPr>
          <w:p w:rsidR="00C95542" w:rsidRPr="00816A14" w:rsidRDefault="00533998"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r>
      <w:tr w:rsidR="00C95542" w:rsidRPr="00816A14" w:rsidTr="00BE487E">
        <w:tc>
          <w:tcPr>
            <w:tcW w:w="184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Accountability for risks &amp; control</w:t>
            </w:r>
          </w:p>
        </w:tc>
        <w:tc>
          <w:tcPr>
            <w:tcW w:w="482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 xml:space="preserve">Clear accountability supports effective risk management which protects the business from operational and financial </w:t>
            </w:r>
            <w:r w:rsidR="00871242" w:rsidRPr="00816A14">
              <w:rPr>
                <w:rFonts w:asciiTheme="minorHAnsi" w:hAnsiTheme="minorHAnsi"/>
                <w:sz w:val="16"/>
                <w:szCs w:val="16"/>
              </w:rPr>
              <w:t>shocks, which</w:t>
            </w:r>
            <w:r w:rsidRPr="00816A14">
              <w:rPr>
                <w:rFonts w:asciiTheme="minorHAnsi" w:hAnsiTheme="minorHAnsi"/>
                <w:sz w:val="16"/>
                <w:szCs w:val="16"/>
              </w:rPr>
              <w:t xml:space="preserve"> would impact all stakeholders.</w:t>
            </w:r>
          </w:p>
        </w:tc>
        <w:tc>
          <w:tcPr>
            <w:tcW w:w="851"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0"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1" w:type="dxa"/>
          </w:tcPr>
          <w:p w:rsidR="00C95542" w:rsidRPr="00816A14" w:rsidRDefault="00533998"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r>
      <w:tr w:rsidR="00C95542" w:rsidRPr="00816A14" w:rsidTr="00BE487E">
        <w:tc>
          <w:tcPr>
            <w:tcW w:w="184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Safety &amp; productivity</w:t>
            </w:r>
          </w:p>
        </w:tc>
        <w:tc>
          <w:tcPr>
            <w:tcW w:w="482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 xml:space="preserve">Safe and productive working practices, by extension reduce performance risk, are more likely to deliver Outcomes for customers and less likely to result in additional down side costs. </w:t>
            </w:r>
          </w:p>
        </w:tc>
        <w:tc>
          <w:tcPr>
            <w:tcW w:w="851"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0"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1" w:type="dxa"/>
          </w:tcPr>
          <w:p w:rsidR="00C95542" w:rsidRPr="00816A14" w:rsidRDefault="00533998"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r>
      <w:tr w:rsidR="00C95542" w:rsidRPr="00816A14" w:rsidTr="00BE487E">
        <w:tc>
          <w:tcPr>
            <w:tcW w:w="184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Stable management</w:t>
            </w:r>
          </w:p>
        </w:tc>
        <w:tc>
          <w:tcPr>
            <w:tcW w:w="4821" w:type="dxa"/>
          </w:tcPr>
          <w:p w:rsidR="00C95542" w:rsidRPr="00816A14" w:rsidRDefault="00C95542" w:rsidP="00816A14">
            <w:pPr>
              <w:tabs>
                <w:tab w:val="clear" w:pos="851"/>
              </w:tabs>
              <w:spacing w:after="0"/>
              <w:ind w:left="0"/>
              <w:jc w:val="left"/>
              <w:rPr>
                <w:rFonts w:asciiTheme="minorHAnsi" w:hAnsiTheme="minorHAnsi"/>
                <w:sz w:val="16"/>
                <w:szCs w:val="16"/>
              </w:rPr>
            </w:pPr>
            <w:r w:rsidRPr="00816A14">
              <w:rPr>
                <w:rFonts w:asciiTheme="minorHAnsi" w:hAnsiTheme="minorHAnsi"/>
                <w:sz w:val="16"/>
                <w:szCs w:val="16"/>
              </w:rPr>
              <w:t>A stable management team, who are aligned and understand the business challenges and risks are more likely to deliver the business objectives in an efficient and sustainable fashion.</w:t>
            </w:r>
          </w:p>
        </w:tc>
        <w:tc>
          <w:tcPr>
            <w:tcW w:w="851"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0" w:type="dxa"/>
          </w:tcPr>
          <w:p w:rsidR="00C95542" w:rsidRPr="00816A14" w:rsidRDefault="00C95542"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c>
          <w:tcPr>
            <w:tcW w:w="851" w:type="dxa"/>
          </w:tcPr>
          <w:p w:rsidR="00C95542" w:rsidRPr="00816A14" w:rsidRDefault="00533998" w:rsidP="00816A14">
            <w:pPr>
              <w:tabs>
                <w:tab w:val="clear" w:pos="851"/>
              </w:tabs>
              <w:spacing w:after="0"/>
              <w:ind w:left="0"/>
              <w:jc w:val="center"/>
              <w:rPr>
                <w:rFonts w:asciiTheme="minorHAnsi" w:hAnsiTheme="minorHAnsi"/>
                <w:sz w:val="22"/>
                <w:szCs w:val="22"/>
              </w:rPr>
            </w:pPr>
            <w:r w:rsidRPr="00816A14">
              <w:rPr>
                <w:rFonts w:asciiTheme="minorHAnsi" w:hAnsiTheme="minorHAnsi"/>
                <w:sz w:val="22"/>
                <w:szCs w:val="22"/>
              </w:rPr>
              <w:sym w:font="Webdings" w:char="F061"/>
            </w:r>
          </w:p>
        </w:tc>
      </w:tr>
    </w:tbl>
    <w:p w:rsidR="00816A14" w:rsidRDefault="00816A14" w:rsidP="0035083C">
      <w:pPr>
        <w:spacing w:after="0"/>
      </w:pPr>
    </w:p>
    <w:p w:rsidR="00816A14" w:rsidRPr="00816A14" w:rsidRDefault="00816A14" w:rsidP="00816A14">
      <w:r w:rsidRPr="00816A14">
        <w:t xml:space="preserve">In the Board’s view, the risk management </w:t>
      </w:r>
      <w:r w:rsidR="004977F6">
        <w:t>procedures</w:t>
      </w:r>
      <w:r w:rsidRPr="00816A14">
        <w:t>, systems and processes that the Company operates (including management and Boar</w:t>
      </w:r>
      <w:r w:rsidR="0001721D">
        <w:t>d</w:t>
      </w:r>
      <w:r w:rsidRPr="00816A14">
        <w:t xml:space="preserve"> oversight) together with the Company’s ability to effectively respond to down-side events results in appropriate balance of risk for customers, shareholders and management.</w:t>
      </w:r>
    </w:p>
    <w:p w:rsidR="00816A14" w:rsidRDefault="00816A14" w:rsidP="00816A14">
      <w:r w:rsidRPr="00816A14">
        <w:t xml:space="preserve">Summarised below and set out further in </w:t>
      </w:r>
      <w:r w:rsidR="00427C3F">
        <w:t>Appendix</w:t>
      </w:r>
      <w:r w:rsidRPr="00816A14">
        <w:t xml:space="preserve"> </w:t>
      </w:r>
      <w:r w:rsidR="0005412A">
        <w:t>10.3</w:t>
      </w:r>
      <w:r w:rsidRPr="00816A14">
        <w:t xml:space="preserve"> is </w:t>
      </w:r>
      <w:r w:rsidR="0001721D">
        <w:t xml:space="preserve">our </w:t>
      </w:r>
      <w:r w:rsidRPr="00816A14">
        <w:t xml:space="preserve">analysis of overall delivery risk for PR19.  This is further underpinned by a detailed risk assessment process and captured in the risk register.  This table encapsulates the principal areas where PR19 performance delivered could vary from that set out in the Business Plan.  We have, in turn used this to develop the scenarios which have been used for the purpose of assessing RoRE </w:t>
      </w:r>
      <w:r w:rsidR="0001721D">
        <w:t>ranges</w:t>
      </w:r>
      <w:r w:rsidRPr="00816A14">
        <w:t>.</w:t>
      </w:r>
    </w:p>
    <w:p w:rsidR="00AC5C91" w:rsidRDefault="00AC5C91">
      <w:pPr>
        <w:tabs>
          <w:tab w:val="clear" w:pos="851"/>
        </w:tabs>
        <w:spacing w:after="0"/>
        <w:ind w:left="0"/>
        <w:jc w:val="left"/>
        <w:rPr>
          <w:rFonts w:eastAsia="Calibri" w:cs="Arial"/>
          <w:i/>
          <w:lang w:eastAsia="en-US"/>
        </w:rPr>
      </w:pPr>
      <w:r>
        <w:rPr>
          <w:rFonts w:eastAsia="Calibri" w:cs="Arial"/>
          <w:i/>
          <w:lang w:eastAsia="en-US"/>
        </w:rPr>
        <w:br w:type="page"/>
      </w:r>
    </w:p>
    <w:p w:rsidR="0020756E" w:rsidRPr="0020756E" w:rsidRDefault="0020756E" w:rsidP="0001721D">
      <w:pPr>
        <w:tabs>
          <w:tab w:val="clear" w:pos="851"/>
        </w:tabs>
        <w:spacing w:after="160" w:line="256" w:lineRule="auto"/>
        <w:jc w:val="left"/>
        <w:rPr>
          <w:rFonts w:eastAsia="Calibri" w:cs="Arial"/>
          <w:i/>
          <w:lang w:eastAsia="en-US"/>
        </w:rPr>
      </w:pPr>
      <w:r w:rsidRPr="0020756E">
        <w:rPr>
          <w:rFonts w:eastAsia="Calibri" w:cs="Arial"/>
          <w:i/>
          <w:lang w:eastAsia="en-US"/>
        </w:rPr>
        <w:t>Summary of PR19 Business Plan delivery risk assessment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94"/>
        <w:gridCol w:w="2268"/>
        <w:gridCol w:w="2409"/>
        <w:gridCol w:w="1701"/>
      </w:tblGrid>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20756E">
            <w:pPr>
              <w:tabs>
                <w:tab w:val="clear" w:pos="851"/>
              </w:tabs>
              <w:spacing w:after="0"/>
              <w:ind w:left="0"/>
              <w:jc w:val="left"/>
              <w:rPr>
                <w:rFonts w:cs="Arial"/>
                <w:b/>
                <w:bCs/>
                <w:color w:val="FFFFFF" w:themeColor="background1"/>
                <w:sz w:val="16"/>
                <w:szCs w:val="16"/>
              </w:rPr>
            </w:pPr>
            <w:r w:rsidRPr="009411E0">
              <w:rPr>
                <w:rFonts w:cs="Arial"/>
                <w:b/>
                <w:bCs/>
                <w:color w:val="FFFFFF" w:themeColor="background1"/>
                <w:sz w:val="16"/>
                <w:szCs w:val="16"/>
              </w:rPr>
              <w:t>Risk</w:t>
            </w:r>
          </w:p>
        </w:tc>
        <w:tc>
          <w:tcPr>
            <w:tcW w:w="2694"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20756E">
            <w:pPr>
              <w:tabs>
                <w:tab w:val="clear" w:pos="851"/>
              </w:tabs>
              <w:spacing w:after="0"/>
              <w:ind w:left="0"/>
              <w:jc w:val="left"/>
              <w:rPr>
                <w:rFonts w:cs="Arial"/>
                <w:b/>
                <w:bCs/>
                <w:color w:val="FFFFFF" w:themeColor="background1"/>
                <w:sz w:val="16"/>
                <w:szCs w:val="16"/>
              </w:rPr>
            </w:pPr>
            <w:r w:rsidRPr="009411E0">
              <w:rPr>
                <w:rFonts w:cs="Arial"/>
                <w:b/>
                <w:bCs/>
                <w:color w:val="FFFFFF" w:themeColor="background1"/>
                <w:sz w:val="16"/>
                <w:szCs w:val="16"/>
              </w:rPr>
              <w:t>Explanation</w:t>
            </w:r>
          </w:p>
        </w:tc>
        <w:tc>
          <w:tcPr>
            <w:tcW w:w="2268"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20756E">
            <w:pPr>
              <w:tabs>
                <w:tab w:val="clear" w:pos="851"/>
              </w:tabs>
              <w:spacing w:after="0"/>
              <w:ind w:left="0"/>
              <w:jc w:val="left"/>
              <w:rPr>
                <w:rFonts w:cs="Arial"/>
                <w:b/>
                <w:bCs/>
                <w:color w:val="FFFFFF" w:themeColor="background1"/>
                <w:sz w:val="16"/>
                <w:szCs w:val="16"/>
              </w:rPr>
            </w:pPr>
            <w:r w:rsidRPr="009411E0">
              <w:rPr>
                <w:rFonts w:cs="Arial"/>
                <w:b/>
                <w:bCs/>
                <w:color w:val="FFFFFF" w:themeColor="background1"/>
                <w:sz w:val="16"/>
                <w:szCs w:val="16"/>
              </w:rPr>
              <w:t>Down side impact</w:t>
            </w:r>
          </w:p>
        </w:tc>
        <w:tc>
          <w:tcPr>
            <w:tcW w:w="2409"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20756E">
            <w:pPr>
              <w:tabs>
                <w:tab w:val="clear" w:pos="851"/>
              </w:tabs>
              <w:spacing w:after="0"/>
              <w:ind w:left="0"/>
              <w:jc w:val="left"/>
              <w:rPr>
                <w:rFonts w:cs="Arial"/>
                <w:b/>
                <w:bCs/>
                <w:color w:val="FFFFFF" w:themeColor="background1"/>
                <w:sz w:val="16"/>
                <w:szCs w:val="16"/>
              </w:rPr>
            </w:pPr>
            <w:r w:rsidRPr="009411E0">
              <w:rPr>
                <w:rFonts w:cs="Arial"/>
                <w:b/>
                <w:bCs/>
                <w:color w:val="FFFFFF" w:themeColor="background1"/>
                <w:sz w:val="16"/>
                <w:szCs w:val="16"/>
              </w:rPr>
              <w:t>Management mitigation</w:t>
            </w:r>
          </w:p>
        </w:tc>
        <w:tc>
          <w:tcPr>
            <w:tcW w:w="1701"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20756E">
            <w:pPr>
              <w:tabs>
                <w:tab w:val="clear" w:pos="851"/>
              </w:tabs>
              <w:spacing w:after="0"/>
              <w:ind w:left="0"/>
              <w:jc w:val="left"/>
              <w:rPr>
                <w:rFonts w:cs="Arial"/>
                <w:b/>
                <w:bCs/>
                <w:color w:val="FFFFFF" w:themeColor="background1"/>
                <w:sz w:val="16"/>
                <w:szCs w:val="16"/>
              </w:rPr>
            </w:pPr>
            <w:r w:rsidRPr="009411E0">
              <w:rPr>
                <w:rFonts w:cs="Arial"/>
                <w:b/>
                <w:bCs/>
                <w:color w:val="FFFFFF" w:themeColor="background1"/>
                <w:sz w:val="16"/>
                <w:szCs w:val="16"/>
              </w:rPr>
              <w:t>RoRE Risk Metric</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01721D">
            <w:pPr>
              <w:tabs>
                <w:tab w:val="clear" w:pos="851"/>
              </w:tabs>
              <w:spacing w:after="0"/>
              <w:ind w:left="0"/>
              <w:jc w:val="left"/>
              <w:rPr>
                <w:rFonts w:cs="Arial"/>
                <w:bCs/>
                <w:color w:val="000000"/>
                <w:sz w:val="16"/>
                <w:szCs w:val="16"/>
              </w:rPr>
            </w:pPr>
            <w:r w:rsidRPr="0020756E">
              <w:rPr>
                <w:rFonts w:cs="Arial"/>
                <w:bCs/>
                <w:color w:val="000000"/>
                <w:sz w:val="16"/>
                <w:szCs w:val="16"/>
              </w:rPr>
              <w:t>Revenue assumptions &amp; WRFIM</w:t>
            </w:r>
          </w:p>
        </w:tc>
        <w:tc>
          <w:tcPr>
            <w:tcW w:w="269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Revenue could be impacted by a number of factors particularly weather (measured income), level of meter optants, changes in/ability to deliver bulk supply and number of new connections.</w:t>
            </w:r>
          </w:p>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The revenue “true up” mechanism WRFIM could further exacerbate impact.</w:t>
            </w:r>
          </w:p>
        </w:tc>
        <w:tc>
          <w:tcPr>
            <w:tcW w:w="2268" w:type="dxa"/>
            <w:tcBorders>
              <w:top w:val="single" w:sz="4" w:space="0" w:color="auto"/>
              <w:left w:val="single" w:sz="4" w:space="0" w:color="auto"/>
              <w:bottom w:val="single" w:sz="4" w:space="0" w:color="auto"/>
              <w:right w:val="single" w:sz="4" w:space="0" w:color="auto"/>
            </w:tcBorders>
            <w:hideMark/>
          </w:tcPr>
          <w:p w:rsidR="0020756E" w:rsidRPr="0020756E" w:rsidRDefault="0020756E" w:rsidP="0001721D">
            <w:pPr>
              <w:tabs>
                <w:tab w:val="clear" w:pos="851"/>
              </w:tabs>
              <w:spacing w:after="0"/>
              <w:ind w:left="0"/>
              <w:jc w:val="left"/>
              <w:rPr>
                <w:rFonts w:cs="Arial"/>
                <w:bCs/>
                <w:color w:val="000000"/>
                <w:sz w:val="16"/>
                <w:szCs w:val="16"/>
              </w:rPr>
            </w:pPr>
            <w:r w:rsidRPr="0020756E">
              <w:rPr>
                <w:rFonts w:cs="Arial"/>
                <w:bCs/>
                <w:color w:val="000000"/>
                <w:sz w:val="16"/>
                <w:szCs w:val="16"/>
              </w:rPr>
              <w:t>A range of factors could impact on revenue levels.  Although over time these are corrected through the WRF</w:t>
            </w:r>
            <w:r w:rsidR="0001721D">
              <w:rPr>
                <w:rFonts w:cs="Arial"/>
                <w:bCs/>
                <w:color w:val="000000"/>
                <w:sz w:val="16"/>
                <w:szCs w:val="16"/>
              </w:rPr>
              <w:t>I</w:t>
            </w:r>
            <w:r w:rsidRPr="0020756E">
              <w:rPr>
                <w:rFonts w:cs="Arial"/>
                <w:bCs/>
                <w:color w:val="000000"/>
                <w:sz w:val="16"/>
                <w:szCs w:val="16"/>
              </w:rPr>
              <w:t>M.  However</w:t>
            </w:r>
            <w:r w:rsidR="00871242">
              <w:rPr>
                <w:rFonts w:cs="Arial"/>
                <w:bCs/>
                <w:color w:val="000000"/>
                <w:sz w:val="16"/>
                <w:szCs w:val="16"/>
              </w:rPr>
              <w:t>,</w:t>
            </w:r>
            <w:r w:rsidRPr="0020756E">
              <w:rPr>
                <w:rFonts w:cs="Arial"/>
                <w:bCs/>
                <w:color w:val="000000"/>
                <w:sz w:val="16"/>
                <w:szCs w:val="16"/>
              </w:rPr>
              <w:t xml:space="preserve"> this mechanism itself could exacerbate the impact if a “low revenue” scenario combines with reduction in revenues due to over recovery in last but one year.</w:t>
            </w:r>
          </w:p>
        </w:tc>
        <w:tc>
          <w:tcPr>
            <w:tcW w:w="2409"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 xml:space="preserve">Can be mitigated to some extent by controlling factors that impact bulk supplies and work in relation to driving meter optants.  </w:t>
            </w:r>
            <w:r w:rsidR="0001721D">
              <w:rPr>
                <w:rFonts w:cs="Arial"/>
                <w:bCs/>
                <w:color w:val="000000"/>
                <w:sz w:val="16"/>
                <w:szCs w:val="16"/>
              </w:rPr>
              <w:t xml:space="preserve">Could be influenced by change in measured tariff structures.  </w:t>
            </w:r>
            <w:r w:rsidRPr="0020756E">
              <w:rPr>
                <w:rFonts w:cs="Arial"/>
                <w:bCs/>
                <w:color w:val="000000"/>
                <w:sz w:val="16"/>
                <w:szCs w:val="16"/>
              </w:rPr>
              <w:t>Will also be influenced by effective forecasting and close communication with developers regarding levels of new connection.  Weather related impact cannot be mitigated.</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Revenue</w:t>
            </w:r>
          </w:p>
          <w:p w:rsid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Bulk supply</w:t>
            </w:r>
          </w:p>
          <w:p w:rsidR="00F108D0" w:rsidRDefault="00F108D0" w:rsidP="0020756E">
            <w:pPr>
              <w:tabs>
                <w:tab w:val="clear" w:pos="851"/>
              </w:tabs>
              <w:spacing w:after="0"/>
              <w:ind w:left="0"/>
              <w:jc w:val="left"/>
              <w:rPr>
                <w:rFonts w:cs="Arial"/>
                <w:bCs/>
                <w:color w:val="000000"/>
                <w:sz w:val="16"/>
                <w:szCs w:val="16"/>
              </w:rPr>
            </w:pPr>
          </w:p>
          <w:p w:rsidR="00F108D0" w:rsidRPr="0020756E" w:rsidRDefault="00F108D0" w:rsidP="0020756E">
            <w:pPr>
              <w:tabs>
                <w:tab w:val="clear" w:pos="851"/>
              </w:tabs>
              <w:spacing w:after="0"/>
              <w:ind w:left="0"/>
              <w:jc w:val="left"/>
              <w:rPr>
                <w:rFonts w:cs="Arial"/>
                <w:bCs/>
                <w:color w:val="000000"/>
                <w:sz w:val="16"/>
                <w:szCs w:val="16"/>
              </w:rPr>
            </w:pPr>
            <w:r>
              <w:rPr>
                <w:rFonts w:cs="Arial"/>
                <w:bCs/>
                <w:color w:val="000000"/>
                <w:sz w:val="16"/>
                <w:szCs w:val="16"/>
              </w:rPr>
              <w:t>Bespoke scenario including WFRIM impact</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Delivering cost efficiency shift</w:t>
            </w:r>
          </w:p>
        </w:tc>
        <w:tc>
          <w:tcPr>
            <w:tcW w:w="269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 xml:space="preserve">Cost efficiency targets are challenging.  A range of delivery risks could impact overall </w:t>
            </w:r>
            <w:r w:rsidR="00560B22">
              <w:rPr>
                <w:rFonts w:cs="Arial"/>
                <w:bCs/>
                <w:color w:val="000000"/>
                <w:sz w:val="16"/>
                <w:szCs w:val="16"/>
              </w:rPr>
              <w:t>Totex</w:t>
            </w:r>
            <w:r w:rsidRPr="0020756E">
              <w:rPr>
                <w:rFonts w:cs="Arial"/>
                <w:bCs/>
                <w:color w:val="000000"/>
                <w:sz w:val="16"/>
                <w:szCs w:val="16"/>
              </w:rPr>
              <w:t xml:space="preserve"> including changes in water quality obligations, cost increases outstripping CPIH, emergency events arising, failure to implement technology, failure to implement planned operational savings etc.</w:t>
            </w:r>
          </w:p>
        </w:tc>
        <w:tc>
          <w:tcPr>
            <w:tcW w:w="2268" w:type="dxa"/>
            <w:tcBorders>
              <w:top w:val="single" w:sz="4" w:space="0" w:color="auto"/>
              <w:left w:val="single" w:sz="4" w:space="0" w:color="auto"/>
              <w:bottom w:val="single" w:sz="4" w:space="0" w:color="auto"/>
              <w:right w:val="single" w:sz="4" w:space="0" w:color="auto"/>
            </w:tcBorders>
            <w:hideMark/>
          </w:tcPr>
          <w:p w:rsidR="0020756E" w:rsidRPr="0020756E" w:rsidRDefault="00560B22" w:rsidP="0020756E">
            <w:pPr>
              <w:tabs>
                <w:tab w:val="clear" w:pos="851"/>
              </w:tabs>
              <w:spacing w:after="0"/>
              <w:ind w:left="0"/>
              <w:jc w:val="left"/>
              <w:rPr>
                <w:rFonts w:cs="Arial"/>
                <w:bCs/>
                <w:color w:val="000000"/>
                <w:sz w:val="16"/>
                <w:szCs w:val="16"/>
              </w:rPr>
            </w:pPr>
            <w:r>
              <w:rPr>
                <w:rFonts w:cs="Arial"/>
                <w:bCs/>
                <w:color w:val="000000"/>
                <w:sz w:val="16"/>
                <w:szCs w:val="16"/>
              </w:rPr>
              <w:t>Totex</w:t>
            </w:r>
            <w:r w:rsidR="0020756E" w:rsidRPr="0020756E">
              <w:rPr>
                <w:rFonts w:cs="Arial"/>
                <w:bCs/>
                <w:color w:val="000000"/>
                <w:sz w:val="16"/>
                <w:szCs w:val="16"/>
              </w:rPr>
              <w:t xml:space="preserve"> costs could increase as a result of a number of different factors. </w:t>
            </w:r>
          </w:p>
        </w:tc>
        <w:tc>
          <w:tcPr>
            <w:tcW w:w="2409"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 xml:space="preserve">Leadership focus driving </w:t>
            </w:r>
            <w:r w:rsidR="0001721D">
              <w:rPr>
                <w:rFonts w:cs="Arial"/>
                <w:bCs/>
                <w:color w:val="000000"/>
                <w:sz w:val="16"/>
                <w:szCs w:val="16"/>
              </w:rPr>
              <w:t xml:space="preserve">effective cost control and </w:t>
            </w:r>
            <w:r w:rsidRPr="0020756E">
              <w:rPr>
                <w:rFonts w:cs="Arial"/>
                <w:bCs/>
                <w:color w:val="000000"/>
                <w:sz w:val="16"/>
                <w:szCs w:val="16"/>
              </w:rPr>
              <w:t>the right systems and processes to deliver innovation and other efficiencies.  A range of other management actions can be effective in mitigating cost rises eg effective use of markets and competitive processes.</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560B22" w:rsidP="0020756E">
            <w:pPr>
              <w:tabs>
                <w:tab w:val="clear" w:pos="851"/>
              </w:tabs>
              <w:spacing w:after="0"/>
              <w:ind w:left="0"/>
              <w:jc w:val="left"/>
              <w:rPr>
                <w:rFonts w:cs="Arial"/>
                <w:bCs/>
                <w:color w:val="000000"/>
                <w:sz w:val="16"/>
                <w:szCs w:val="16"/>
              </w:rPr>
            </w:pPr>
            <w:r>
              <w:rPr>
                <w:rFonts w:cs="Arial"/>
                <w:bCs/>
                <w:color w:val="000000"/>
                <w:sz w:val="16"/>
                <w:szCs w:val="16"/>
              </w:rPr>
              <w:t>Totex</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People – skills availability</w:t>
            </w:r>
          </w:p>
        </w:tc>
        <w:tc>
          <w:tcPr>
            <w:tcW w:w="269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Changes in the business skills mix cannot be met.  Competition for engineering resource due to large infrastructure projects in the South.</w:t>
            </w:r>
          </w:p>
        </w:tc>
        <w:tc>
          <w:tcPr>
            <w:tcW w:w="2268"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Increased use of external contractors in specialist areas, increased training effort beyond plan with attendant cost impact.</w:t>
            </w:r>
          </w:p>
        </w:tc>
        <w:tc>
          <w:tcPr>
            <w:tcW w:w="2409"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Effective implementation of “people strategy” including skills pipeline and understanding workforce demographics can mitigate.</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560B22" w:rsidP="0020756E">
            <w:pPr>
              <w:tabs>
                <w:tab w:val="clear" w:pos="851"/>
              </w:tabs>
              <w:spacing w:after="0"/>
              <w:ind w:left="0"/>
              <w:jc w:val="left"/>
              <w:rPr>
                <w:rFonts w:cs="Arial"/>
                <w:bCs/>
                <w:color w:val="000000"/>
                <w:sz w:val="16"/>
                <w:szCs w:val="16"/>
              </w:rPr>
            </w:pPr>
            <w:r>
              <w:rPr>
                <w:rFonts w:cs="Arial"/>
                <w:bCs/>
                <w:color w:val="000000"/>
                <w:sz w:val="16"/>
                <w:szCs w:val="16"/>
              </w:rPr>
              <w:t>Totex</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BF3BF0" w:rsidRDefault="00BF3BF0" w:rsidP="0020756E">
            <w:pPr>
              <w:tabs>
                <w:tab w:val="clear" w:pos="851"/>
              </w:tabs>
              <w:spacing w:after="0"/>
              <w:ind w:left="0"/>
              <w:jc w:val="left"/>
              <w:rPr>
                <w:rFonts w:cs="Arial"/>
                <w:bCs/>
                <w:color w:val="000000"/>
                <w:sz w:val="16"/>
                <w:szCs w:val="16"/>
              </w:rPr>
            </w:pPr>
            <w:r>
              <w:rPr>
                <w:rFonts w:cs="Arial"/>
                <w:bCs/>
                <w:color w:val="000000"/>
                <w:sz w:val="16"/>
                <w:szCs w:val="16"/>
              </w:rPr>
              <w:t>Catchment management</w:t>
            </w:r>
          </w:p>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deliverability</w:t>
            </w:r>
          </w:p>
        </w:tc>
        <w:tc>
          <w:tcPr>
            <w:tcW w:w="269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Catchment management take up is lower than expected or impact is less than predicted.</w:t>
            </w:r>
          </w:p>
        </w:tc>
        <w:tc>
          <w:tcPr>
            <w:tcW w:w="2268"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sz w:val="16"/>
                <w:szCs w:val="16"/>
              </w:rPr>
              <w:t xml:space="preserve">Necessity for Nitrate blending plant at West Sussex group of sources with </w:t>
            </w:r>
            <w:r w:rsidR="00560B22">
              <w:rPr>
                <w:rFonts w:cs="Arial"/>
                <w:sz w:val="16"/>
                <w:szCs w:val="16"/>
              </w:rPr>
              <w:t>Totex</w:t>
            </w:r>
            <w:r w:rsidRPr="0020756E">
              <w:rPr>
                <w:rFonts w:cs="Arial"/>
                <w:sz w:val="16"/>
                <w:szCs w:val="16"/>
              </w:rPr>
              <w:t xml:space="preserve"> impact.</w:t>
            </w:r>
          </w:p>
        </w:tc>
        <w:tc>
          <w:tcPr>
            <w:tcW w:w="2409"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Very close monitoring of both uptake and impact throughout the scheme will help the company to revise approach and mitigate risks.</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560B22" w:rsidP="0020756E">
            <w:pPr>
              <w:tabs>
                <w:tab w:val="clear" w:pos="851"/>
              </w:tabs>
              <w:spacing w:after="0"/>
              <w:ind w:left="0"/>
              <w:jc w:val="left"/>
              <w:rPr>
                <w:rFonts w:cs="Arial"/>
                <w:bCs/>
                <w:color w:val="000000"/>
                <w:sz w:val="16"/>
                <w:szCs w:val="16"/>
              </w:rPr>
            </w:pPr>
            <w:r>
              <w:rPr>
                <w:rFonts w:cs="Arial"/>
                <w:bCs/>
                <w:color w:val="000000"/>
                <w:sz w:val="16"/>
                <w:szCs w:val="16"/>
              </w:rPr>
              <w:t>Totex</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Leakage levels</w:t>
            </w:r>
          </w:p>
        </w:tc>
        <w:tc>
          <w:tcPr>
            <w:tcW w:w="269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sz w:val="16"/>
                <w:szCs w:val="16"/>
              </w:rPr>
            </w:pPr>
            <w:r w:rsidRPr="0020756E">
              <w:rPr>
                <w:rFonts w:cs="Arial"/>
                <w:sz w:val="16"/>
                <w:szCs w:val="16"/>
              </w:rPr>
              <w:t xml:space="preserve">Challenging AMP7 leakage target with plan to use novel fixed network of noise loggers to address.  Despite increased resources AMP6 leakage remains above target. </w:t>
            </w:r>
          </w:p>
          <w:p w:rsidR="0020756E" w:rsidRPr="0020756E" w:rsidRDefault="0020756E" w:rsidP="0020756E">
            <w:pPr>
              <w:tabs>
                <w:tab w:val="clear" w:pos="851"/>
              </w:tabs>
              <w:spacing w:after="0"/>
              <w:ind w:left="0"/>
              <w:jc w:val="left"/>
              <w:rPr>
                <w:rFonts w:cs="Arial"/>
                <w:sz w:val="16"/>
                <w:szCs w:val="16"/>
              </w:rPr>
            </w:pPr>
            <w:r w:rsidRPr="0020756E">
              <w:rPr>
                <w:rFonts w:cs="Arial"/>
                <w:sz w:val="16"/>
                <w:szCs w:val="16"/>
              </w:rPr>
              <w:t xml:space="preserve">Could impact on ability to deliver additional bulk supplies, </w:t>
            </w:r>
          </w:p>
        </w:tc>
        <w:tc>
          <w:tcPr>
            <w:tcW w:w="2268"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sz w:val="16"/>
                <w:szCs w:val="16"/>
              </w:rPr>
            </w:pPr>
            <w:r w:rsidRPr="0020756E">
              <w:rPr>
                <w:rFonts w:cs="Arial"/>
                <w:sz w:val="16"/>
                <w:szCs w:val="16"/>
              </w:rPr>
              <w:t xml:space="preserve">Risk that leakage cannot be tackled efficiently or that customer side leakage is higher than anticipated.  </w:t>
            </w:r>
          </w:p>
          <w:p w:rsidR="0020756E" w:rsidRPr="0020756E" w:rsidRDefault="0020756E" w:rsidP="0020756E">
            <w:pPr>
              <w:tabs>
                <w:tab w:val="clear" w:pos="851"/>
              </w:tabs>
              <w:spacing w:after="0"/>
              <w:ind w:left="0"/>
              <w:jc w:val="left"/>
              <w:rPr>
                <w:rFonts w:cs="Arial"/>
                <w:bCs/>
                <w:color w:val="000000"/>
                <w:sz w:val="16"/>
                <w:szCs w:val="16"/>
              </w:rPr>
            </w:pPr>
            <w:r w:rsidRPr="0020756E">
              <w:rPr>
                <w:rFonts w:cs="Arial"/>
                <w:sz w:val="16"/>
                <w:szCs w:val="16"/>
              </w:rPr>
              <w:t xml:space="preserve">Result in additional </w:t>
            </w:r>
            <w:r w:rsidR="00560B22">
              <w:rPr>
                <w:rFonts w:cs="Arial"/>
                <w:sz w:val="16"/>
                <w:szCs w:val="16"/>
              </w:rPr>
              <w:t>Totex</w:t>
            </w:r>
            <w:r w:rsidRPr="0020756E">
              <w:rPr>
                <w:rFonts w:cs="Arial"/>
                <w:sz w:val="16"/>
                <w:szCs w:val="16"/>
              </w:rPr>
              <w:t xml:space="preserve"> and ODI penalties. Could impact on ability to generate greater bulk supplies.</w:t>
            </w:r>
          </w:p>
        </w:tc>
        <w:tc>
          <w:tcPr>
            <w:tcW w:w="2409" w:type="dxa"/>
            <w:tcBorders>
              <w:top w:val="single" w:sz="4" w:space="0" w:color="auto"/>
              <w:left w:val="single" w:sz="4" w:space="0" w:color="auto"/>
              <w:bottom w:val="single" w:sz="4" w:space="0" w:color="auto"/>
              <w:right w:val="single" w:sz="4" w:space="0" w:color="auto"/>
            </w:tcBorders>
            <w:hideMark/>
          </w:tcPr>
          <w:p w:rsidR="0020756E" w:rsidRPr="0001721D" w:rsidRDefault="0020756E" w:rsidP="0020756E">
            <w:pPr>
              <w:tabs>
                <w:tab w:val="clear" w:pos="851"/>
              </w:tabs>
              <w:spacing w:after="0"/>
              <w:ind w:left="0"/>
              <w:jc w:val="left"/>
              <w:rPr>
                <w:rFonts w:cs="Arial"/>
                <w:bCs/>
                <w:color w:val="000000"/>
                <w:sz w:val="16"/>
                <w:szCs w:val="16"/>
              </w:rPr>
            </w:pPr>
            <w:r w:rsidRPr="0001721D">
              <w:rPr>
                <w:rFonts w:cs="Arial"/>
                <w:bCs/>
                <w:color w:val="000000"/>
                <w:sz w:val="16"/>
                <w:szCs w:val="16"/>
              </w:rPr>
              <w:t>Clear delivery strategy and close regular Board monitoring of performance.  Use of third party consultants to support approach.</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ODI</w:t>
            </w:r>
          </w:p>
          <w:p w:rsidR="0020756E" w:rsidRPr="0020756E" w:rsidRDefault="00560B22" w:rsidP="0020756E">
            <w:pPr>
              <w:tabs>
                <w:tab w:val="clear" w:pos="851"/>
              </w:tabs>
              <w:spacing w:after="0"/>
              <w:ind w:left="0"/>
              <w:jc w:val="left"/>
              <w:rPr>
                <w:rFonts w:cs="Arial"/>
                <w:bCs/>
                <w:color w:val="000000"/>
                <w:sz w:val="16"/>
                <w:szCs w:val="16"/>
              </w:rPr>
            </w:pPr>
            <w:r>
              <w:rPr>
                <w:rFonts w:cs="Arial"/>
                <w:bCs/>
                <w:color w:val="000000"/>
                <w:sz w:val="16"/>
                <w:szCs w:val="16"/>
              </w:rPr>
              <w:t>Totex</w:t>
            </w:r>
          </w:p>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Bulk supply</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20756E" w:rsidRPr="0020756E" w:rsidRDefault="009258ED" w:rsidP="0020756E">
            <w:pPr>
              <w:tabs>
                <w:tab w:val="clear" w:pos="851"/>
              </w:tabs>
              <w:spacing w:after="0"/>
              <w:ind w:left="0"/>
              <w:jc w:val="left"/>
              <w:rPr>
                <w:rFonts w:cs="Arial"/>
                <w:bCs/>
                <w:color w:val="000000"/>
                <w:sz w:val="16"/>
                <w:szCs w:val="16"/>
              </w:rPr>
            </w:pPr>
            <w:r>
              <w:rPr>
                <w:rFonts w:cs="Arial"/>
                <w:bCs/>
                <w:color w:val="000000"/>
                <w:sz w:val="16"/>
                <w:szCs w:val="16"/>
              </w:rPr>
              <w:t>PCC</w:t>
            </w:r>
            <w:r w:rsidR="0020756E" w:rsidRPr="0020756E">
              <w:rPr>
                <w:rFonts w:cs="Arial"/>
                <w:bCs/>
                <w:color w:val="000000"/>
                <w:sz w:val="16"/>
                <w:szCs w:val="16"/>
              </w:rPr>
              <w:t xml:space="preserve"> levels</w:t>
            </w:r>
          </w:p>
        </w:tc>
        <w:tc>
          <w:tcPr>
            <w:tcW w:w="269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sz w:val="16"/>
                <w:szCs w:val="16"/>
              </w:rPr>
            </w:pPr>
            <w:r w:rsidRPr="0020756E">
              <w:rPr>
                <w:rFonts w:cs="Arial"/>
                <w:sz w:val="16"/>
                <w:szCs w:val="16"/>
              </w:rPr>
              <w:t xml:space="preserve">A challenging </w:t>
            </w:r>
            <w:r w:rsidR="009258ED">
              <w:rPr>
                <w:rFonts w:cs="Arial"/>
                <w:sz w:val="16"/>
                <w:szCs w:val="16"/>
              </w:rPr>
              <w:t>PCC</w:t>
            </w:r>
            <w:r w:rsidRPr="0020756E">
              <w:rPr>
                <w:rFonts w:cs="Arial"/>
                <w:sz w:val="16"/>
                <w:szCs w:val="16"/>
              </w:rPr>
              <w:t xml:space="preserve"> reduction dependent upon changing customer behaviours, increasing meter optants and success of innovative “not for revenue” metering programme.  Failure to deliver could impact ability to deliver bulk supplies. </w:t>
            </w:r>
          </w:p>
        </w:tc>
        <w:tc>
          <w:tcPr>
            <w:tcW w:w="2268" w:type="dxa"/>
            <w:tcBorders>
              <w:top w:val="single" w:sz="4" w:space="0" w:color="auto"/>
              <w:left w:val="single" w:sz="4" w:space="0" w:color="auto"/>
              <w:bottom w:val="single" w:sz="4" w:space="0" w:color="auto"/>
              <w:right w:val="single" w:sz="4" w:space="0" w:color="auto"/>
            </w:tcBorders>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Increased promotional spend and higher level of metering on change of occupier and voids with attendant cost increase.</w:t>
            </w:r>
          </w:p>
          <w:p w:rsidR="0020756E" w:rsidRPr="0020756E" w:rsidRDefault="0020756E" w:rsidP="0020756E">
            <w:pPr>
              <w:tabs>
                <w:tab w:val="clear" w:pos="851"/>
              </w:tabs>
              <w:spacing w:after="0"/>
              <w:ind w:left="0"/>
              <w:jc w:val="left"/>
              <w:rPr>
                <w:rFonts w:cs="Arial"/>
                <w:bCs/>
                <w:color w:val="000000"/>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20756E" w:rsidRDefault="0020756E" w:rsidP="0020756E">
            <w:pPr>
              <w:tabs>
                <w:tab w:val="clear" w:pos="851"/>
              </w:tabs>
              <w:spacing w:after="0"/>
              <w:ind w:left="0"/>
              <w:jc w:val="left"/>
              <w:rPr>
                <w:rFonts w:cs="Arial"/>
                <w:bCs/>
                <w:color w:val="000000"/>
                <w:sz w:val="16"/>
                <w:szCs w:val="16"/>
              </w:rPr>
            </w:pPr>
            <w:r w:rsidRPr="0001721D">
              <w:rPr>
                <w:rFonts w:cs="Arial"/>
                <w:bCs/>
                <w:color w:val="000000"/>
                <w:sz w:val="16"/>
                <w:szCs w:val="16"/>
              </w:rPr>
              <w:t xml:space="preserve">Lobby UK Gov for a change in </w:t>
            </w:r>
            <w:r w:rsidR="0001721D">
              <w:rPr>
                <w:rFonts w:cs="Arial"/>
                <w:bCs/>
                <w:color w:val="000000"/>
                <w:sz w:val="16"/>
                <w:szCs w:val="16"/>
              </w:rPr>
              <w:t xml:space="preserve">primary </w:t>
            </w:r>
            <w:r w:rsidRPr="0001721D">
              <w:rPr>
                <w:rFonts w:cs="Arial"/>
                <w:bCs/>
                <w:color w:val="000000"/>
                <w:sz w:val="16"/>
                <w:szCs w:val="16"/>
              </w:rPr>
              <w:t>legislation to permit compulsory metering.</w:t>
            </w:r>
          </w:p>
          <w:p w:rsidR="0001721D" w:rsidRDefault="0001721D" w:rsidP="0020756E">
            <w:pPr>
              <w:tabs>
                <w:tab w:val="clear" w:pos="851"/>
              </w:tabs>
              <w:spacing w:after="0"/>
              <w:ind w:left="0"/>
              <w:jc w:val="left"/>
              <w:rPr>
                <w:rFonts w:cs="Arial"/>
                <w:bCs/>
                <w:color w:val="000000"/>
                <w:sz w:val="16"/>
                <w:szCs w:val="16"/>
              </w:rPr>
            </w:pPr>
          </w:p>
          <w:p w:rsidR="0001721D" w:rsidRPr="0001721D" w:rsidRDefault="0001721D" w:rsidP="0020756E">
            <w:pPr>
              <w:tabs>
                <w:tab w:val="clear" w:pos="851"/>
              </w:tabs>
              <w:spacing w:after="0"/>
              <w:ind w:left="0"/>
              <w:jc w:val="left"/>
              <w:rPr>
                <w:rFonts w:cs="Arial"/>
                <w:bCs/>
                <w:color w:val="000000"/>
                <w:sz w:val="16"/>
                <w:szCs w:val="16"/>
              </w:rPr>
            </w:pPr>
            <w:r>
              <w:rPr>
                <w:rFonts w:cs="Arial"/>
                <w:bCs/>
                <w:color w:val="000000"/>
                <w:sz w:val="16"/>
                <w:szCs w:val="16"/>
              </w:rPr>
              <w:t>Co-creation of solutions with customers.</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ODI</w:t>
            </w:r>
          </w:p>
          <w:p w:rsidR="0020756E" w:rsidRPr="0020756E" w:rsidRDefault="00FE42E8" w:rsidP="0020756E">
            <w:pPr>
              <w:tabs>
                <w:tab w:val="clear" w:pos="851"/>
              </w:tabs>
              <w:spacing w:after="0"/>
              <w:ind w:left="0"/>
              <w:jc w:val="left"/>
              <w:rPr>
                <w:rFonts w:cs="Arial"/>
                <w:bCs/>
                <w:color w:val="000000"/>
                <w:sz w:val="16"/>
                <w:szCs w:val="16"/>
              </w:rPr>
            </w:pPr>
            <w:r>
              <w:rPr>
                <w:rFonts w:cs="Arial"/>
                <w:bCs/>
                <w:color w:val="000000"/>
                <w:sz w:val="16"/>
                <w:szCs w:val="16"/>
              </w:rPr>
              <w:t>Totex</w:t>
            </w:r>
          </w:p>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Bulk Supply</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 xml:space="preserve">Delivering </w:t>
            </w:r>
            <w:r w:rsidR="00556CF7">
              <w:rPr>
                <w:rFonts w:cs="Arial"/>
                <w:bCs/>
                <w:color w:val="000000"/>
                <w:sz w:val="16"/>
                <w:szCs w:val="16"/>
              </w:rPr>
              <w:t xml:space="preserve">service levels </w:t>
            </w:r>
            <w:r w:rsidRPr="0020756E">
              <w:rPr>
                <w:rFonts w:cs="Arial"/>
                <w:bCs/>
                <w:color w:val="000000"/>
                <w:sz w:val="16"/>
                <w:szCs w:val="16"/>
              </w:rPr>
              <w:t>performance frontier shift</w:t>
            </w:r>
          </w:p>
        </w:tc>
        <w:tc>
          <w:tcPr>
            <w:tcW w:w="269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A stretching package of ODI measures across the board will be challenging to deliver.</w:t>
            </w:r>
          </w:p>
        </w:tc>
        <w:tc>
          <w:tcPr>
            <w:tcW w:w="2268"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 xml:space="preserve">ODI penalties may arise on a combination of measures.  Additional </w:t>
            </w:r>
            <w:r w:rsidR="00FE42E8">
              <w:rPr>
                <w:rFonts w:cs="Arial"/>
                <w:bCs/>
                <w:color w:val="000000"/>
                <w:sz w:val="16"/>
                <w:szCs w:val="16"/>
              </w:rPr>
              <w:t>Totex</w:t>
            </w:r>
            <w:r w:rsidRPr="0020756E">
              <w:rPr>
                <w:rFonts w:cs="Arial"/>
                <w:bCs/>
                <w:color w:val="000000"/>
                <w:sz w:val="16"/>
                <w:szCs w:val="16"/>
              </w:rPr>
              <w:t xml:space="preserve"> may be incurred to deliver service levels.</w:t>
            </w:r>
          </w:p>
        </w:tc>
        <w:tc>
          <w:tcPr>
            <w:tcW w:w="2409"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Clear delivery strategy and close regular Board monitoring of trends in Performance Commitments.</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ODIs</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Customer expectations</w:t>
            </w:r>
          </w:p>
        </w:tc>
        <w:tc>
          <w:tcPr>
            <w:tcW w:w="269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The company does not keep pace with changing customer expectations regarding services and service levels.</w:t>
            </w:r>
          </w:p>
        </w:tc>
        <w:tc>
          <w:tcPr>
            <w:tcW w:w="2268"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Plan to continue to innovate customer service offering for retail and developers.</w:t>
            </w:r>
          </w:p>
        </w:tc>
        <w:tc>
          <w:tcPr>
            <w:tcW w:w="2409"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Involvement with Institute of Customer Service and close monitoring of customer feedback to understand expectations and trends.</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 xml:space="preserve">C-Mex &amp; </w:t>
            </w:r>
          </w:p>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D-Mex</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Cost of debt</w:t>
            </w:r>
          </w:p>
        </w:tc>
        <w:tc>
          <w:tcPr>
            <w:tcW w:w="269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 xml:space="preserve">Additional debt will be needed during the AMP to finance increased </w:t>
            </w:r>
            <w:r w:rsidR="00964B14">
              <w:rPr>
                <w:rFonts w:cs="Arial"/>
                <w:bCs/>
                <w:color w:val="000000"/>
                <w:sz w:val="16"/>
                <w:szCs w:val="16"/>
              </w:rPr>
              <w:t>Capex</w:t>
            </w:r>
            <w:r w:rsidRPr="0020756E">
              <w:rPr>
                <w:rFonts w:cs="Arial"/>
                <w:bCs/>
                <w:color w:val="000000"/>
                <w:sz w:val="16"/>
                <w:szCs w:val="16"/>
              </w:rPr>
              <w:t xml:space="preserve"> spend.</w:t>
            </w:r>
          </w:p>
        </w:tc>
        <w:tc>
          <w:tcPr>
            <w:tcW w:w="2268"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New debt may be incurred at levels greater than allowed for in the Ofwat WACC.</w:t>
            </w:r>
          </w:p>
        </w:tc>
        <w:tc>
          <w:tcPr>
            <w:tcW w:w="2409" w:type="dxa"/>
            <w:tcBorders>
              <w:top w:val="single" w:sz="4" w:space="0" w:color="auto"/>
              <w:left w:val="single" w:sz="4" w:space="0" w:color="auto"/>
              <w:bottom w:val="single" w:sz="4" w:space="0" w:color="auto"/>
              <w:right w:val="single" w:sz="4" w:space="0" w:color="auto"/>
            </w:tcBorders>
            <w:hideMark/>
          </w:tcPr>
          <w:p w:rsidR="0020756E" w:rsidRPr="0020756E" w:rsidRDefault="00556CF7" w:rsidP="0020756E">
            <w:pPr>
              <w:tabs>
                <w:tab w:val="clear" w:pos="851"/>
              </w:tabs>
              <w:spacing w:after="0"/>
              <w:ind w:left="0"/>
              <w:jc w:val="left"/>
              <w:rPr>
                <w:rFonts w:cs="Arial"/>
                <w:bCs/>
                <w:color w:val="000000"/>
                <w:sz w:val="16"/>
                <w:szCs w:val="16"/>
                <w:highlight w:val="yellow"/>
              </w:rPr>
            </w:pPr>
            <w:r w:rsidRPr="00556CF7">
              <w:rPr>
                <w:rFonts w:cs="Arial"/>
                <w:bCs/>
                <w:color w:val="000000"/>
                <w:sz w:val="16"/>
                <w:szCs w:val="16"/>
              </w:rPr>
              <w:t>Balance of debt and equity funding</w:t>
            </w:r>
            <w:r>
              <w:rPr>
                <w:rFonts w:cs="Arial"/>
                <w:bCs/>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Finance costs</w:t>
            </w:r>
          </w:p>
        </w:tc>
      </w:tr>
      <w:tr w:rsidR="0020756E" w:rsidRPr="0020756E" w:rsidTr="00AC5C91">
        <w:trPr>
          <w:trHeight w:val="576"/>
        </w:trPr>
        <w:tc>
          <w:tcPr>
            <w:tcW w:w="1134"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HTWSR</w:t>
            </w:r>
          </w:p>
        </w:tc>
        <w:tc>
          <w:tcPr>
            <w:tcW w:w="2694" w:type="dxa"/>
            <w:tcBorders>
              <w:top w:val="nil"/>
              <w:left w:val="nil"/>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sz w:val="16"/>
                <w:szCs w:val="16"/>
              </w:rPr>
            </w:pPr>
            <w:r w:rsidRPr="0020756E">
              <w:rPr>
                <w:rFonts w:cs="Arial"/>
                <w:sz w:val="16"/>
                <w:szCs w:val="16"/>
              </w:rPr>
              <w:t xml:space="preserve">A significant capital programme relative the company RCV.  Risk in this AMP is primarily in relation to cost overruns </w:t>
            </w:r>
          </w:p>
        </w:tc>
        <w:tc>
          <w:tcPr>
            <w:tcW w:w="2268" w:type="dxa"/>
            <w:tcBorders>
              <w:top w:val="single" w:sz="4" w:space="0" w:color="auto"/>
              <w:left w:val="nil"/>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sz w:val="16"/>
                <w:szCs w:val="16"/>
              </w:rPr>
            </w:pPr>
            <w:r w:rsidRPr="0020756E">
              <w:rPr>
                <w:rFonts w:cs="Arial"/>
                <w:sz w:val="16"/>
                <w:szCs w:val="16"/>
              </w:rPr>
              <w:t xml:space="preserve">Higher </w:t>
            </w:r>
            <w:r w:rsidR="00964B14">
              <w:rPr>
                <w:rFonts w:cs="Arial"/>
                <w:sz w:val="16"/>
                <w:szCs w:val="16"/>
              </w:rPr>
              <w:t>Capex</w:t>
            </w:r>
            <w:r w:rsidRPr="0020756E">
              <w:rPr>
                <w:rFonts w:cs="Arial"/>
                <w:sz w:val="16"/>
                <w:szCs w:val="16"/>
              </w:rPr>
              <w:t xml:space="preserve"> cost could be could be driven by a number of factors such as the planning process, environmental mitigations and construction cost.</w:t>
            </w:r>
          </w:p>
        </w:tc>
        <w:tc>
          <w:tcPr>
            <w:tcW w:w="2409"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sz w:val="16"/>
                <w:szCs w:val="16"/>
              </w:rPr>
              <w:t>Recruitment of high quality advisors, detailed risk analysis, detailed costings, early engagement with key stakeholder &amp; close collaboration with SWS.</w:t>
            </w:r>
          </w:p>
        </w:tc>
        <w:tc>
          <w:tcPr>
            <w:tcW w:w="1701" w:type="dxa"/>
            <w:tcBorders>
              <w:top w:val="single" w:sz="4" w:space="0" w:color="auto"/>
              <w:left w:val="single" w:sz="4" w:space="0" w:color="auto"/>
              <w:bottom w:val="single" w:sz="4" w:space="0" w:color="auto"/>
              <w:right w:val="single" w:sz="4" w:space="0" w:color="auto"/>
            </w:tcBorders>
            <w:hideMark/>
          </w:tcPr>
          <w:p w:rsidR="0020756E" w:rsidRPr="0020756E" w:rsidRDefault="0020756E" w:rsidP="0020756E">
            <w:pPr>
              <w:tabs>
                <w:tab w:val="clear" w:pos="851"/>
              </w:tabs>
              <w:spacing w:after="0"/>
              <w:ind w:left="0"/>
              <w:jc w:val="left"/>
              <w:rPr>
                <w:rFonts w:cs="Arial"/>
                <w:bCs/>
                <w:color w:val="000000"/>
                <w:sz w:val="16"/>
                <w:szCs w:val="16"/>
              </w:rPr>
            </w:pPr>
            <w:r w:rsidRPr="0020756E">
              <w:rPr>
                <w:rFonts w:cs="Arial"/>
                <w:bCs/>
                <w:color w:val="000000"/>
                <w:sz w:val="16"/>
                <w:szCs w:val="16"/>
              </w:rPr>
              <w:t>Bespoke scenario</w:t>
            </w:r>
          </w:p>
        </w:tc>
      </w:tr>
    </w:tbl>
    <w:p w:rsidR="00F108D0" w:rsidRDefault="00F108D0" w:rsidP="0035083C">
      <w:pPr>
        <w:spacing w:after="0"/>
      </w:pPr>
      <w:r>
        <w:t>The Board has carefully considered the delivery risks associated with the large HTWSR programme.  Assessment and management of this is covered in more deta</w:t>
      </w:r>
      <w:r w:rsidR="00066DD5">
        <w:t>il in Chapter 8.1 under “Cost, r</w:t>
      </w:r>
      <w:r>
        <w:t>isk and uncertainty”.</w:t>
      </w:r>
    </w:p>
    <w:p w:rsidR="00F108D0" w:rsidRDefault="00F108D0" w:rsidP="0035083C">
      <w:pPr>
        <w:spacing w:after="0"/>
      </w:pPr>
    </w:p>
    <w:p w:rsidR="0099774F" w:rsidRDefault="0099774F" w:rsidP="00816A14">
      <w:pPr>
        <w:pStyle w:val="Heading2"/>
      </w:pPr>
      <w:bookmarkStart w:id="249" w:name="_Toc522200040"/>
      <w:bookmarkStart w:id="250" w:name="_Toc522200137"/>
      <w:bookmarkStart w:id="251" w:name="_Toc523651330"/>
      <w:r>
        <w:t>RORE Upside/Downside</w:t>
      </w:r>
      <w:bookmarkEnd w:id="249"/>
      <w:bookmarkEnd w:id="250"/>
      <w:bookmarkEnd w:id="251"/>
    </w:p>
    <w:p w:rsidR="004B238E" w:rsidRDefault="004B238E" w:rsidP="004B238E">
      <w:r>
        <w:t>The Board has developed a clear understanding of the risks involved in the delivery of the Business Plan.  As this is summarised in the previous section.  Using this analysis we have set out a range of upside and downside scenarios for RoRE with an additional company specific scenario and an adjusted calculation.  Where appropriate we have taken into account realistic management mitigations.</w:t>
      </w:r>
    </w:p>
    <w:p w:rsidR="004B238E" w:rsidRPr="0013051A" w:rsidRDefault="004B238E" w:rsidP="004B238E">
      <w:r>
        <w:t>The RoRE results are summarised in the section below.  The adjusted range of +2.8% to –2.62% around the company RoRE of 4.88% reflects the ODI range explained in Chapter 3 and further below.  The unadjusted range of +2.11% to -1.53% around the same base RoRE reflects the significant growth in RCV driven by HTWSR.</w:t>
      </w:r>
      <w:r w:rsidR="00146126">
        <w:t xml:space="preserve">  A detailed calculation of this range is provided at the end of this section.</w:t>
      </w:r>
    </w:p>
    <w:p w:rsidR="00A5052C" w:rsidRPr="004E2B76" w:rsidRDefault="00A5052C" w:rsidP="0020756E">
      <w:pPr>
        <w:rPr>
          <w:rFonts w:cs="Arial"/>
          <w:i/>
          <w:sz w:val="22"/>
          <w:szCs w:val="22"/>
        </w:rPr>
      </w:pPr>
      <w:r w:rsidRPr="004E2B76">
        <w:rPr>
          <w:rFonts w:cs="Arial"/>
          <w:i/>
        </w:rPr>
        <w:t>Table 10.4.1</w:t>
      </w:r>
      <w:r w:rsidR="00F108D0" w:rsidRPr="004E2B76">
        <w:rPr>
          <w:rFonts w:cs="Arial"/>
          <w:i/>
        </w:rPr>
        <w:t xml:space="preserve"> R</w:t>
      </w:r>
      <w:r w:rsidR="000844DD">
        <w:rPr>
          <w:rFonts w:cs="Arial"/>
          <w:i/>
        </w:rPr>
        <w:t>o</w:t>
      </w:r>
      <w:r w:rsidR="00F108D0" w:rsidRPr="004E2B76">
        <w:rPr>
          <w:rFonts w:cs="Arial"/>
          <w:i/>
        </w:rPr>
        <w:t>RE Scenarios and Mitigations</w:t>
      </w:r>
    </w:p>
    <w:tbl>
      <w:tblPr>
        <w:tblStyle w:val="TableGrid"/>
        <w:tblW w:w="8788" w:type="dxa"/>
        <w:tblInd w:w="846" w:type="dxa"/>
        <w:tblLook w:val="04A0" w:firstRow="1" w:lastRow="0" w:firstColumn="1" w:lastColumn="0" w:noHBand="0" w:noVBand="1"/>
      </w:tblPr>
      <w:tblGrid>
        <w:gridCol w:w="1128"/>
        <w:gridCol w:w="3837"/>
        <w:gridCol w:w="3823"/>
      </w:tblGrid>
      <w:tr w:rsidR="0020756E" w:rsidTr="009411E0">
        <w:tc>
          <w:tcPr>
            <w:tcW w:w="1128"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9411E0">
            <w:pPr>
              <w:spacing w:after="0"/>
              <w:ind w:left="0"/>
              <w:jc w:val="left"/>
              <w:rPr>
                <w:rFonts w:cs="Arial"/>
                <w:b/>
                <w:color w:val="FFFFFF" w:themeColor="background1"/>
                <w:sz w:val="16"/>
                <w:szCs w:val="16"/>
              </w:rPr>
            </w:pPr>
            <w:r w:rsidRPr="009411E0">
              <w:rPr>
                <w:rFonts w:cs="Arial"/>
                <w:b/>
                <w:color w:val="FFFFFF" w:themeColor="background1"/>
                <w:sz w:val="16"/>
                <w:szCs w:val="16"/>
              </w:rPr>
              <w:t>Metric</w:t>
            </w:r>
          </w:p>
        </w:tc>
        <w:tc>
          <w:tcPr>
            <w:tcW w:w="3837"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9411E0">
            <w:pPr>
              <w:spacing w:after="0"/>
              <w:rPr>
                <w:rFonts w:cs="Arial"/>
                <w:b/>
                <w:color w:val="FFFFFF" w:themeColor="background1"/>
                <w:sz w:val="16"/>
                <w:szCs w:val="16"/>
              </w:rPr>
            </w:pPr>
            <w:r w:rsidRPr="009411E0">
              <w:rPr>
                <w:rFonts w:cs="Arial"/>
                <w:b/>
                <w:color w:val="FFFFFF" w:themeColor="background1"/>
                <w:sz w:val="16"/>
                <w:szCs w:val="16"/>
              </w:rPr>
              <w:t>Scenario assumptions</w:t>
            </w:r>
          </w:p>
        </w:tc>
        <w:tc>
          <w:tcPr>
            <w:tcW w:w="3823"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9411E0">
            <w:pPr>
              <w:spacing w:after="0"/>
              <w:rPr>
                <w:rFonts w:cs="Arial"/>
                <w:b/>
                <w:color w:val="FFFFFF" w:themeColor="background1"/>
                <w:sz w:val="16"/>
                <w:szCs w:val="16"/>
              </w:rPr>
            </w:pPr>
            <w:r w:rsidRPr="009411E0">
              <w:rPr>
                <w:rFonts w:cs="Arial"/>
                <w:b/>
                <w:color w:val="FFFFFF" w:themeColor="background1"/>
                <w:sz w:val="16"/>
                <w:szCs w:val="16"/>
              </w:rPr>
              <w:t>Mitigation</w:t>
            </w:r>
          </w:p>
        </w:tc>
      </w:tr>
      <w:tr w:rsidR="0020756E" w:rsidTr="0020756E">
        <w:tc>
          <w:tcPr>
            <w:tcW w:w="1128" w:type="dxa"/>
            <w:tcBorders>
              <w:top w:val="single" w:sz="4" w:space="0" w:color="auto"/>
              <w:left w:val="single" w:sz="4" w:space="0" w:color="auto"/>
              <w:bottom w:val="single" w:sz="4" w:space="0" w:color="auto"/>
              <w:right w:val="single" w:sz="4" w:space="0" w:color="auto"/>
            </w:tcBorders>
            <w:hideMark/>
          </w:tcPr>
          <w:p w:rsidR="0020756E" w:rsidRDefault="0020756E" w:rsidP="0020756E">
            <w:pPr>
              <w:spacing w:after="0"/>
              <w:ind w:left="0"/>
              <w:rPr>
                <w:rFonts w:cs="Arial"/>
                <w:sz w:val="16"/>
                <w:szCs w:val="16"/>
              </w:rPr>
            </w:pPr>
            <w:r>
              <w:rPr>
                <w:rFonts w:cs="Arial"/>
                <w:sz w:val="16"/>
                <w:szCs w:val="16"/>
              </w:rPr>
              <w:t>Revenue</w:t>
            </w:r>
          </w:p>
        </w:tc>
        <w:tc>
          <w:tcPr>
            <w:tcW w:w="3837"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 xml:space="preserve">Increase/decrease measured consumption </w:t>
            </w:r>
          </w:p>
          <w:p w:rsidR="0020756E" w:rsidRDefault="0020756E" w:rsidP="00556CF7">
            <w:pPr>
              <w:spacing w:after="0"/>
              <w:ind w:left="0"/>
              <w:jc w:val="left"/>
              <w:rPr>
                <w:rFonts w:cs="Arial"/>
                <w:sz w:val="16"/>
                <w:szCs w:val="16"/>
              </w:rPr>
            </w:pPr>
            <w:r>
              <w:rPr>
                <w:rFonts w:cs="Arial"/>
                <w:sz w:val="16"/>
                <w:szCs w:val="16"/>
              </w:rPr>
              <w:t>Increase/decrease in meter optants</w:t>
            </w:r>
          </w:p>
          <w:p w:rsidR="0020756E" w:rsidRDefault="0020756E" w:rsidP="00556CF7">
            <w:pPr>
              <w:spacing w:after="0"/>
              <w:ind w:left="0"/>
              <w:jc w:val="left"/>
              <w:rPr>
                <w:rFonts w:cs="Arial"/>
                <w:sz w:val="16"/>
                <w:szCs w:val="16"/>
              </w:rPr>
            </w:pPr>
            <w:r>
              <w:rPr>
                <w:rFonts w:cs="Arial"/>
                <w:sz w:val="16"/>
                <w:szCs w:val="16"/>
              </w:rPr>
              <w:t>Increase/decrease in new connections</w:t>
            </w:r>
          </w:p>
        </w:tc>
        <w:tc>
          <w:tcPr>
            <w:tcW w:w="3823" w:type="dxa"/>
            <w:tcBorders>
              <w:top w:val="single" w:sz="4" w:space="0" w:color="auto"/>
              <w:left w:val="single" w:sz="4" w:space="0" w:color="auto"/>
              <w:bottom w:val="single" w:sz="4" w:space="0" w:color="auto"/>
              <w:right w:val="single" w:sz="4" w:space="0" w:color="auto"/>
            </w:tcBorders>
            <w:hideMark/>
          </w:tcPr>
          <w:p w:rsidR="0020756E" w:rsidRDefault="00F108D0" w:rsidP="00556CF7">
            <w:pPr>
              <w:spacing w:after="0"/>
              <w:ind w:left="0"/>
              <w:jc w:val="left"/>
              <w:rPr>
                <w:rFonts w:cs="Arial"/>
                <w:sz w:val="16"/>
                <w:szCs w:val="16"/>
              </w:rPr>
            </w:pPr>
            <w:r>
              <w:rPr>
                <w:rFonts w:cs="Arial"/>
                <w:sz w:val="16"/>
                <w:szCs w:val="16"/>
              </w:rPr>
              <w:t>None assumed.</w:t>
            </w:r>
          </w:p>
        </w:tc>
      </w:tr>
      <w:tr w:rsidR="0020756E" w:rsidTr="0020756E">
        <w:tc>
          <w:tcPr>
            <w:tcW w:w="1128" w:type="dxa"/>
            <w:tcBorders>
              <w:top w:val="single" w:sz="4" w:space="0" w:color="auto"/>
              <w:left w:val="single" w:sz="4" w:space="0" w:color="auto"/>
              <w:bottom w:val="single" w:sz="4" w:space="0" w:color="auto"/>
              <w:right w:val="single" w:sz="4" w:space="0" w:color="auto"/>
            </w:tcBorders>
            <w:hideMark/>
          </w:tcPr>
          <w:p w:rsidR="0020756E" w:rsidRDefault="0020756E" w:rsidP="0020756E">
            <w:pPr>
              <w:spacing w:after="0"/>
              <w:ind w:left="0"/>
              <w:rPr>
                <w:rFonts w:cs="Arial"/>
                <w:sz w:val="16"/>
                <w:szCs w:val="16"/>
              </w:rPr>
            </w:pPr>
            <w:r>
              <w:rPr>
                <w:rFonts w:cs="Arial"/>
                <w:sz w:val="16"/>
                <w:szCs w:val="16"/>
              </w:rPr>
              <w:t>Water Trading</w:t>
            </w:r>
          </w:p>
        </w:tc>
        <w:tc>
          <w:tcPr>
            <w:tcW w:w="3837" w:type="dxa"/>
            <w:tcBorders>
              <w:top w:val="single" w:sz="4" w:space="0" w:color="auto"/>
              <w:left w:val="single" w:sz="4" w:space="0" w:color="auto"/>
              <w:bottom w:val="single" w:sz="4" w:space="0" w:color="auto"/>
              <w:right w:val="single" w:sz="4" w:space="0" w:color="auto"/>
            </w:tcBorders>
            <w:hideMark/>
          </w:tcPr>
          <w:p w:rsidR="0020756E" w:rsidRDefault="0020756E" w:rsidP="001E6710">
            <w:pPr>
              <w:spacing w:after="0"/>
              <w:ind w:left="0"/>
              <w:jc w:val="left"/>
              <w:rPr>
                <w:rFonts w:cs="Arial"/>
                <w:sz w:val="16"/>
                <w:szCs w:val="16"/>
              </w:rPr>
            </w:pPr>
            <w:r>
              <w:rPr>
                <w:rFonts w:cs="Arial"/>
                <w:sz w:val="16"/>
                <w:szCs w:val="16"/>
              </w:rPr>
              <w:t xml:space="preserve">Increase/decrease in water trading revenue </w:t>
            </w:r>
          </w:p>
        </w:tc>
        <w:tc>
          <w:tcPr>
            <w:tcW w:w="3823"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None assumed.</w:t>
            </w:r>
          </w:p>
        </w:tc>
      </w:tr>
      <w:tr w:rsidR="0020756E" w:rsidTr="0020756E">
        <w:tc>
          <w:tcPr>
            <w:tcW w:w="1128" w:type="dxa"/>
            <w:tcBorders>
              <w:top w:val="single" w:sz="4" w:space="0" w:color="auto"/>
              <w:left w:val="single" w:sz="4" w:space="0" w:color="auto"/>
              <w:bottom w:val="single" w:sz="4" w:space="0" w:color="auto"/>
              <w:right w:val="single" w:sz="4" w:space="0" w:color="auto"/>
            </w:tcBorders>
            <w:hideMark/>
          </w:tcPr>
          <w:p w:rsidR="0020756E" w:rsidRDefault="00FE42E8" w:rsidP="0020756E">
            <w:pPr>
              <w:spacing w:after="0"/>
              <w:ind w:left="0"/>
              <w:rPr>
                <w:rFonts w:cs="Arial"/>
                <w:sz w:val="16"/>
                <w:szCs w:val="16"/>
              </w:rPr>
            </w:pPr>
            <w:r>
              <w:rPr>
                <w:rFonts w:cs="Arial"/>
                <w:sz w:val="16"/>
                <w:szCs w:val="16"/>
              </w:rPr>
              <w:t>Totex</w:t>
            </w:r>
          </w:p>
        </w:tc>
        <w:tc>
          <w:tcPr>
            <w:tcW w:w="3837"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Increase/decrease in power costs of ±3% above inflation</w:t>
            </w:r>
          </w:p>
          <w:p w:rsidR="0020756E" w:rsidRDefault="0020756E" w:rsidP="00556CF7">
            <w:pPr>
              <w:spacing w:after="0"/>
              <w:ind w:left="0"/>
              <w:jc w:val="left"/>
              <w:rPr>
                <w:rFonts w:cs="Arial"/>
                <w:sz w:val="16"/>
                <w:szCs w:val="16"/>
              </w:rPr>
            </w:pPr>
            <w:r>
              <w:rPr>
                <w:rFonts w:cs="Arial"/>
                <w:sz w:val="16"/>
                <w:szCs w:val="16"/>
              </w:rPr>
              <w:t>Increase/decrease in labour costs of ±2% above inflation</w:t>
            </w:r>
          </w:p>
          <w:p w:rsidR="0020756E" w:rsidRDefault="0020756E" w:rsidP="00556CF7">
            <w:pPr>
              <w:spacing w:after="0"/>
              <w:ind w:left="0"/>
              <w:jc w:val="left"/>
              <w:rPr>
                <w:rFonts w:cs="Arial"/>
                <w:sz w:val="16"/>
                <w:szCs w:val="16"/>
              </w:rPr>
            </w:pPr>
            <w:r>
              <w:rPr>
                <w:rFonts w:cs="Arial"/>
                <w:sz w:val="16"/>
                <w:szCs w:val="16"/>
              </w:rPr>
              <w:t xml:space="preserve">Increase/decrease in other </w:t>
            </w:r>
            <w:r w:rsidR="00FE42E8">
              <w:rPr>
                <w:rFonts w:cs="Arial"/>
                <w:sz w:val="16"/>
                <w:szCs w:val="16"/>
              </w:rPr>
              <w:t>Totex</w:t>
            </w:r>
            <w:r>
              <w:rPr>
                <w:rFonts w:cs="Arial"/>
                <w:sz w:val="16"/>
                <w:szCs w:val="16"/>
              </w:rPr>
              <w:t xml:space="preserve"> of ±1.5% above inflation</w:t>
            </w:r>
          </w:p>
        </w:tc>
        <w:tc>
          <w:tcPr>
            <w:tcW w:w="3823"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 xml:space="preserve">Assume that management actions could mitigate labour costs by 25% to – 1.5% and other </w:t>
            </w:r>
            <w:r w:rsidR="00FE42E8">
              <w:rPr>
                <w:rFonts w:cs="Arial"/>
                <w:sz w:val="16"/>
                <w:szCs w:val="16"/>
              </w:rPr>
              <w:t>Totex</w:t>
            </w:r>
            <w:r>
              <w:rPr>
                <w:rFonts w:cs="Arial"/>
                <w:sz w:val="16"/>
                <w:szCs w:val="16"/>
              </w:rPr>
              <w:t xml:space="preserve"> costs by 50% to – 0.75%.</w:t>
            </w:r>
          </w:p>
          <w:p w:rsidR="0020756E" w:rsidRDefault="0020756E" w:rsidP="00556CF7">
            <w:pPr>
              <w:spacing w:after="0"/>
              <w:ind w:left="0"/>
              <w:jc w:val="left"/>
              <w:rPr>
                <w:rFonts w:cs="Arial"/>
                <w:sz w:val="16"/>
                <w:szCs w:val="16"/>
              </w:rPr>
            </w:pPr>
            <w:r>
              <w:rPr>
                <w:rFonts w:cs="Arial"/>
                <w:sz w:val="16"/>
                <w:szCs w:val="16"/>
              </w:rPr>
              <w:t xml:space="preserve">No assumptions made regarding out/under performance against </w:t>
            </w:r>
            <w:r w:rsidR="00FE42E8">
              <w:rPr>
                <w:rFonts w:cs="Arial"/>
                <w:sz w:val="16"/>
                <w:szCs w:val="16"/>
              </w:rPr>
              <w:t>Totex</w:t>
            </w:r>
            <w:r>
              <w:rPr>
                <w:rFonts w:cs="Arial"/>
                <w:sz w:val="16"/>
                <w:szCs w:val="16"/>
              </w:rPr>
              <w:t xml:space="preserve"> targets.</w:t>
            </w:r>
          </w:p>
        </w:tc>
      </w:tr>
      <w:tr w:rsidR="0020756E" w:rsidTr="0020756E">
        <w:tc>
          <w:tcPr>
            <w:tcW w:w="1128" w:type="dxa"/>
            <w:tcBorders>
              <w:top w:val="single" w:sz="4" w:space="0" w:color="auto"/>
              <w:left w:val="single" w:sz="4" w:space="0" w:color="auto"/>
              <w:bottom w:val="single" w:sz="4" w:space="0" w:color="auto"/>
              <w:right w:val="single" w:sz="4" w:space="0" w:color="auto"/>
            </w:tcBorders>
            <w:hideMark/>
          </w:tcPr>
          <w:p w:rsidR="0020756E" w:rsidRDefault="0020756E" w:rsidP="0020756E">
            <w:pPr>
              <w:spacing w:after="0"/>
              <w:ind w:left="0"/>
              <w:rPr>
                <w:rFonts w:cs="Arial"/>
                <w:sz w:val="16"/>
                <w:szCs w:val="16"/>
              </w:rPr>
            </w:pPr>
            <w:r>
              <w:rPr>
                <w:rFonts w:cs="Arial"/>
                <w:sz w:val="16"/>
                <w:szCs w:val="16"/>
              </w:rPr>
              <w:t>Residential Retail</w:t>
            </w:r>
          </w:p>
        </w:tc>
        <w:tc>
          <w:tcPr>
            <w:tcW w:w="3837"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Increase/decrease in labour costs of ±2% above inflation</w:t>
            </w:r>
          </w:p>
          <w:p w:rsidR="0020756E" w:rsidRDefault="0020756E" w:rsidP="00556CF7">
            <w:pPr>
              <w:spacing w:after="0"/>
              <w:ind w:left="0"/>
              <w:jc w:val="left"/>
              <w:rPr>
                <w:rFonts w:cs="Arial"/>
                <w:sz w:val="16"/>
                <w:szCs w:val="16"/>
              </w:rPr>
            </w:pPr>
            <w:r>
              <w:rPr>
                <w:rFonts w:cs="Arial"/>
                <w:sz w:val="16"/>
                <w:szCs w:val="16"/>
              </w:rPr>
              <w:t>Increase/decrease in Bad Debt costs of ±5%</w:t>
            </w:r>
          </w:p>
          <w:p w:rsidR="0020756E" w:rsidRDefault="0020756E" w:rsidP="00556CF7">
            <w:pPr>
              <w:spacing w:after="0"/>
              <w:ind w:left="0"/>
              <w:jc w:val="left"/>
              <w:rPr>
                <w:rFonts w:cs="Arial"/>
                <w:sz w:val="16"/>
                <w:szCs w:val="16"/>
              </w:rPr>
            </w:pPr>
            <w:r>
              <w:rPr>
                <w:rFonts w:cs="Arial"/>
                <w:sz w:val="16"/>
                <w:szCs w:val="16"/>
              </w:rPr>
              <w:t>Increase/decrease other costs of ±1.5%%</w:t>
            </w:r>
          </w:p>
        </w:tc>
        <w:tc>
          <w:tcPr>
            <w:tcW w:w="3823"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Assume that management actions could mitigate labour costs by 25% to – 1.5% bad debt costs by 40% to -3% and other costs by 50% to – 0.75%.</w:t>
            </w:r>
          </w:p>
        </w:tc>
      </w:tr>
      <w:tr w:rsidR="0020756E" w:rsidTr="0020756E">
        <w:tc>
          <w:tcPr>
            <w:tcW w:w="1128" w:type="dxa"/>
            <w:tcBorders>
              <w:top w:val="single" w:sz="4" w:space="0" w:color="auto"/>
              <w:left w:val="single" w:sz="4" w:space="0" w:color="auto"/>
              <w:bottom w:val="single" w:sz="4" w:space="0" w:color="auto"/>
              <w:right w:val="single" w:sz="4" w:space="0" w:color="auto"/>
            </w:tcBorders>
            <w:hideMark/>
          </w:tcPr>
          <w:p w:rsidR="0020756E" w:rsidRDefault="0020756E" w:rsidP="0020756E">
            <w:pPr>
              <w:spacing w:after="0"/>
              <w:ind w:left="0"/>
              <w:rPr>
                <w:rFonts w:cs="Arial"/>
                <w:sz w:val="16"/>
                <w:szCs w:val="16"/>
              </w:rPr>
            </w:pPr>
            <w:r>
              <w:rPr>
                <w:rFonts w:cs="Arial"/>
                <w:sz w:val="16"/>
                <w:szCs w:val="16"/>
              </w:rPr>
              <w:t>Business Retail</w:t>
            </w:r>
          </w:p>
        </w:tc>
        <w:tc>
          <w:tcPr>
            <w:tcW w:w="3837"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n/a</w:t>
            </w:r>
          </w:p>
        </w:tc>
        <w:tc>
          <w:tcPr>
            <w:tcW w:w="3823"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n/a</w:t>
            </w:r>
          </w:p>
        </w:tc>
      </w:tr>
      <w:tr w:rsidR="0020756E" w:rsidTr="0020756E">
        <w:tc>
          <w:tcPr>
            <w:tcW w:w="1128" w:type="dxa"/>
            <w:tcBorders>
              <w:top w:val="single" w:sz="4" w:space="0" w:color="auto"/>
              <w:left w:val="single" w:sz="4" w:space="0" w:color="auto"/>
              <w:bottom w:val="single" w:sz="4" w:space="0" w:color="auto"/>
              <w:right w:val="single" w:sz="4" w:space="0" w:color="auto"/>
            </w:tcBorders>
            <w:hideMark/>
          </w:tcPr>
          <w:p w:rsidR="0020756E" w:rsidRDefault="0020756E" w:rsidP="0020756E">
            <w:pPr>
              <w:spacing w:after="0"/>
              <w:ind w:left="0"/>
              <w:rPr>
                <w:rFonts w:cs="Arial"/>
                <w:sz w:val="16"/>
                <w:szCs w:val="16"/>
              </w:rPr>
            </w:pPr>
            <w:r>
              <w:rPr>
                <w:rFonts w:cs="Arial"/>
                <w:sz w:val="16"/>
                <w:szCs w:val="16"/>
              </w:rPr>
              <w:t>ODI</w:t>
            </w:r>
          </w:p>
        </w:tc>
        <w:tc>
          <w:tcPr>
            <w:tcW w:w="3837"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Modelling of a package of ODIs taking account of any ODI measures which have positive and negative correlations</w:t>
            </w:r>
          </w:p>
        </w:tc>
        <w:tc>
          <w:tcPr>
            <w:tcW w:w="3823"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None assumed.</w:t>
            </w:r>
          </w:p>
        </w:tc>
      </w:tr>
      <w:tr w:rsidR="0020756E" w:rsidTr="0020756E">
        <w:tc>
          <w:tcPr>
            <w:tcW w:w="1128" w:type="dxa"/>
            <w:tcBorders>
              <w:top w:val="single" w:sz="4" w:space="0" w:color="auto"/>
              <w:left w:val="single" w:sz="4" w:space="0" w:color="auto"/>
              <w:bottom w:val="single" w:sz="4" w:space="0" w:color="auto"/>
              <w:right w:val="single" w:sz="4" w:space="0" w:color="auto"/>
            </w:tcBorders>
            <w:hideMark/>
          </w:tcPr>
          <w:p w:rsidR="0020756E" w:rsidRDefault="0020756E" w:rsidP="0020756E">
            <w:pPr>
              <w:spacing w:after="0"/>
              <w:ind w:left="0"/>
              <w:rPr>
                <w:rFonts w:cs="Arial"/>
                <w:sz w:val="16"/>
                <w:szCs w:val="16"/>
              </w:rPr>
            </w:pPr>
            <w:r>
              <w:rPr>
                <w:rFonts w:cs="Arial"/>
                <w:sz w:val="16"/>
                <w:szCs w:val="16"/>
              </w:rPr>
              <w:t>WaterworCX</w:t>
            </w:r>
          </w:p>
        </w:tc>
        <w:tc>
          <w:tcPr>
            <w:tcW w:w="3837"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highlight w:val="yellow"/>
              </w:rPr>
            </w:pPr>
            <w:r>
              <w:rPr>
                <w:rFonts w:cs="Arial"/>
                <w:sz w:val="16"/>
                <w:szCs w:val="16"/>
              </w:rPr>
              <w:t>C-Mex &amp; D-Mex high low scenarios</w:t>
            </w:r>
          </w:p>
        </w:tc>
        <w:tc>
          <w:tcPr>
            <w:tcW w:w="3823"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None assumed.</w:t>
            </w:r>
          </w:p>
        </w:tc>
      </w:tr>
      <w:tr w:rsidR="0020756E" w:rsidTr="0020756E">
        <w:tc>
          <w:tcPr>
            <w:tcW w:w="1128" w:type="dxa"/>
            <w:tcBorders>
              <w:top w:val="single" w:sz="4" w:space="0" w:color="auto"/>
              <w:left w:val="single" w:sz="4" w:space="0" w:color="auto"/>
              <w:bottom w:val="single" w:sz="4" w:space="0" w:color="auto"/>
              <w:right w:val="single" w:sz="4" w:space="0" w:color="auto"/>
            </w:tcBorders>
            <w:hideMark/>
          </w:tcPr>
          <w:p w:rsidR="0020756E" w:rsidRDefault="0020756E" w:rsidP="0020756E">
            <w:pPr>
              <w:spacing w:after="0"/>
              <w:ind w:left="0"/>
              <w:rPr>
                <w:rFonts w:cs="Arial"/>
                <w:sz w:val="16"/>
                <w:szCs w:val="16"/>
              </w:rPr>
            </w:pPr>
            <w:r>
              <w:rPr>
                <w:rFonts w:cs="Arial"/>
                <w:sz w:val="16"/>
                <w:szCs w:val="16"/>
              </w:rPr>
              <w:t>Financing performance (new debt)</w:t>
            </w:r>
          </w:p>
        </w:tc>
        <w:tc>
          <w:tcPr>
            <w:tcW w:w="3837"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Assume cost of new Debt varies by ±1.5 percentage points relative to Ofwat assumption</w:t>
            </w:r>
          </w:p>
        </w:tc>
        <w:tc>
          <w:tcPr>
            <w:tcW w:w="3823" w:type="dxa"/>
            <w:tcBorders>
              <w:top w:val="single" w:sz="4" w:space="0" w:color="auto"/>
              <w:left w:val="single" w:sz="4" w:space="0" w:color="auto"/>
              <w:bottom w:val="single" w:sz="4" w:space="0" w:color="auto"/>
              <w:right w:val="single" w:sz="4" w:space="0" w:color="auto"/>
            </w:tcBorders>
            <w:hideMark/>
          </w:tcPr>
          <w:p w:rsidR="0020756E" w:rsidRDefault="0020756E" w:rsidP="00556CF7">
            <w:pPr>
              <w:spacing w:after="0"/>
              <w:ind w:left="0"/>
              <w:jc w:val="left"/>
              <w:rPr>
                <w:rFonts w:cs="Arial"/>
                <w:sz w:val="16"/>
                <w:szCs w:val="16"/>
              </w:rPr>
            </w:pPr>
            <w:r>
              <w:rPr>
                <w:rFonts w:cs="Arial"/>
                <w:sz w:val="16"/>
                <w:szCs w:val="16"/>
              </w:rPr>
              <w:t>None assumed.</w:t>
            </w:r>
          </w:p>
        </w:tc>
      </w:tr>
    </w:tbl>
    <w:p w:rsidR="0020756E" w:rsidRDefault="0020756E" w:rsidP="0035083C">
      <w:pPr>
        <w:spacing w:after="0"/>
        <w:rPr>
          <w:rFonts w:cs="Arial"/>
          <w:sz w:val="22"/>
          <w:szCs w:val="22"/>
          <w:lang w:eastAsia="en-US"/>
        </w:rPr>
      </w:pPr>
    </w:p>
    <w:p w:rsidR="0020756E" w:rsidRDefault="0020756E" w:rsidP="0020756E">
      <w:pPr>
        <w:rPr>
          <w:rFonts w:cs="Arial"/>
        </w:rPr>
      </w:pPr>
      <w:r>
        <w:rPr>
          <w:rFonts w:cs="Arial"/>
        </w:rPr>
        <w:t>The RoRE analysis set out in the Business Plan table App 26 requires development of realistic high and low cases specified as a P10/P90 range of probabilities.  The underlying input data has been based upon a combination of historic data, Business Plan assumptions (including expert support in relation to ODI performance) and management judgement.</w:t>
      </w:r>
    </w:p>
    <w:p w:rsidR="0020756E" w:rsidRDefault="0020756E" w:rsidP="0020756E">
      <w:pPr>
        <w:rPr>
          <w:rFonts w:cs="Arial"/>
        </w:rPr>
      </w:pPr>
      <w:r>
        <w:rPr>
          <w:rFonts w:cs="Arial"/>
        </w:rPr>
        <w:t>Behind each of the RoRE scenarios there are multiple drivers.  To simply sum P10 and P90 for each driver would be incorrect as it would lead to very extreme scenarios when in reality, drivers that are independent of one another are likely to compensate for high/low scenarios of other drive</w:t>
      </w:r>
      <w:r w:rsidR="00556CF7">
        <w:rPr>
          <w:rFonts w:cs="Arial"/>
        </w:rPr>
        <w:t>r</w:t>
      </w:r>
      <w:r>
        <w:rPr>
          <w:rFonts w:cs="Arial"/>
        </w:rPr>
        <w:t xml:space="preserve">s.  The Monte-Carlo analysis randomly samples from a probability distribution for each driver. Where the drivers may be related, correlations have been defined. We then sample from these distributions thousands of times, and use this to develop a new probability distribution for each of the RoRE scenarios.  Set out further in </w:t>
      </w:r>
      <w:r w:rsidR="00427C3F">
        <w:rPr>
          <w:rFonts w:cs="Arial"/>
        </w:rPr>
        <w:t>Appendix</w:t>
      </w:r>
      <w:r>
        <w:rPr>
          <w:rFonts w:cs="Arial"/>
        </w:rPr>
        <w:t xml:space="preserve"> </w:t>
      </w:r>
      <w:r w:rsidR="0005412A">
        <w:rPr>
          <w:rFonts w:cs="Arial"/>
        </w:rPr>
        <w:t>10.4</w:t>
      </w:r>
      <w:r>
        <w:rPr>
          <w:rFonts w:cs="Arial"/>
        </w:rPr>
        <w:t>, is a summary of the approach taken, assumptions made and the resultant high/low scenarios.</w:t>
      </w:r>
    </w:p>
    <w:p w:rsidR="00A5052C" w:rsidRPr="00B75EB2" w:rsidRDefault="00A5052C" w:rsidP="0020756E">
      <w:pPr>
        <w:rPr>
          <w:rFonts w:cs="Arial"/>
          <w:i/>
        </w:rPr>
      </w:pPr>
      <w:r w:rsidRPr="00B75EB2">
        <w:rPr>
          <w:rFonts w:cs="Arial"/>
          <w:i/>
        </w:rPr>
        <w:t>Table 10.4.2</w:t>
      </w:r>
      <w:r w:rsidR="00F108D0" w:rsidRPr="00B75EB2">
        <w:rPr>
          <w:rFonts w:cs="Arial"/>
          <w:i/>
        </w:rPr>
        <w:t xml:space="preserve"> Assumption drivers</w:t>
      </w:r>
    </w:p>
    <w:tbl>
      <w:tblPr>
        <w:tblStyle w:val="TableGrid"/>
        <w:tblW w:w="8788" w:type="dxa"/>
        <w:tblInd w:w="846" w:type="dxa"/>
        <w:tblLook w:val="04A0" w:firstRow="1" w:lastRow="0" w:firstColumn="1" w:lastColumn="0" w:noHBand="0" w:noVBand="1"/>
      </w:tblPr>
      <w:tblGrid>
        <w:gridCol w:w="1843"/>
        <w:gridCol w:w="2835"/>
        <w:gridCol w:w="4110"/>
      </w:tblGrid>
      <w:tr w:rsidR="0020756E" w:rsidTr="009411E0">
        <w:tc>
          <w:tcPr>
            <w:tcW w:w="1843"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58181A">
            <w:pPr>
              <w:spacing w:after="0"/>
              <w:ind w:left="0"/>
              <w:rPr>
                <w:rFonts w:cs="Arial"/>
                <w:b/>
                <w:color w:val="FFFFFF" w:themeColor="background1"/>
                <w:sz w:val="16"/>
                <w:szCs w:val="16"/>
              </w:rPr>
            </w:pPr>
            <w:r w:rsidRPr="009411E0">
              <w:rPr>
                <w:rFonts w:cs="Arial"/>
                <w:b/>
                <w:color w:val="FFFFFF" w:themeColor="background1"/>
                <w:sz w:val="16"/>
                <w:szCs w:val="16"/>
              </w:rPr>
              <w:t>Metric</w:t>
            </w:r>
          </w:p>
        </w:tc>
        <w:tc>
          <w:tcPr>
            <w:tcW w:w="2835"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9411E0">
            <w:pPr>
              <w:spacing w:after="0"/>
              <w:ind w:left="0"/>
              <w:rPr>
                <w:rFonts w:cs="Arial"/>
                <w:b/>
                <w:color w:val="FFFFFF" w:themeColor="background1"/>
                <w:sz w:val="16"/>
                <w:szCs w:val="16"/>
              </w:rPr>
            </w:pPr>
            <w:r w:rsidRPr="009411E0">
              <w:rPr>
                <w:rFonts w:cs="Arial"/>
                <w:b/>
                <w:color w:val="FFFFFF" w:themeColor="background1"/>
                <w:sz w:val="16"/>
                <w:szCs w:val="16"/>
              </w:rPr>
              <w:t>Scenario assumptions</w:t>
            </w:r>
          </w:p>
        </w:tc>
        <w:tc>
          <w:tcPr>
            <w:tcW w:w="4110"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0756E" w:rsidRPr="009411E0" w:rsidRDefault="0020756E" w:rsidP="009411E0">
            <w:pPr>
              <w:spacing w:after="0"/>
              <w:ind w:left="0"/>
              <w:rPr>
                <w:rFonts w:cs="Arial"/>
                <w:b/>
                <w:color w:val="FFFFFF" w:themeColor="background1"/>
                <w:sz w:val="16"/>
                <w:szCs w:val="16"/>
              </w:rPr>
            </w:pPr>
            <w:r w:rsidRPr="009411E0">
              <w:rPr>
                <w:rFonts w:cs="Arial"/>
                <w:b/>
                <w:color w:val="FFFFFF" w:themeColor="background1"/>
                <w:sz w:val="16"/>
                <w:szCs w:val="16"/>
              </w:rPr>
              <w:t>Basis</w:t>
            </w:r>
          </w:p>
        </w:tc>
      </w:tr>
      <w:tr w:rsidR="0020756E" w:rsidTr="0058181A">
        <w:tc>
          <w:tcPr>
            <w:tcW w:w="1843"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Revenue</w:t>
            </w:r>
          </w:p>
        </w:tc>
        <w:tc>
          <w:tcPr>
            <w:tcW w:w="2835" w:type="dxa"/>
            <w:tcBorders>
              <w:top w:val="single" w:sz="4" w:space="0" w:color="auto"/>
              <w:left w:val="single" w:sz="4" w:space="0" w:color="auto"/>
              <w:bottom w:val="single" w:sz="4" w:space="0" w:color="auto"/>
              <w:right w:val="single" w:sz="4" w:space="0" w:color="auto"/>
            </w:tcBorders>
            <w:hideMark/>
          </w:tcPr>
          <w:p w:rsidR="0020756E" w:rsidRDefault="00BE487E" w:rsidP="0058181A">
            <w:pPr>
              <w:spacing w:after="0"/>
              <w:ind w:left="0"/>
              <w:rPr>
                <w:rFonts w:cs="Arial"/>
                <w:sz w:val="16"/>
                <w:szCs w:val="16"/>
              </w:rPr>
            </w:pPr>
            <w:r>
              <w:rPr>
                <w:rFonts w:cs="Arial"/>
                <w:sz w:val="16"/>
                <w:szCs w:val="16"/>
              </w:rPr>
              <w:t>Measured consumption</w:t>
            </w:r>
          </w:p>
          <w:p w:rsidR="0020756E" w:rsidRDefault="0020756E" w:rsidP="0058181A">
            <w:pPr>
              <w:spacing w:after="0"/>
              <w:ind w:left="0"/>
              <w:rPr>
                <w:rFonts w:cs="Arial"/>
                <w:sz w:val="16"/>
                <w:szCs w:val="16"/>
              </w:rPr>
            </w:pPr>
            <w:r>
              <w:rPr>
                <w:rFonts w:cs="Arial"/>
                <w:sz w:val="16"/>
                <w:szCs w:val="16"/>
              </w:rPr>
              <w:t>Meter optants</w:t>
            </w:r>
          </w:p>
          <w:p w:rsidR="0020756E" w:rsidRDefault="0020756E" w:rsidP="0058181A">
            <w:pPr>
              <w:spacing w:after="0"/>
              <w:ind w:left="0"/>
              <w:rPr>
                <w:rFonts w:cs="Arial"/>
                <w:sz w:val="16"/>
                <w:szCs w:val="16"/>
              </w:rPr>
            </w:pPr>
            <w:r>
              <w:rPr>
                <w:rFonts w:cs="Arial"/>
                <w:sz w:val="16"/>
                <w:szCs w:val="16"/>
              </w:rPr>
              <w:t>New connections</w:t>
            </w:r>
          </w:p>
        </w:tc>
        <w:tc>
          <w:tcPr>
            <w:tcW w:w="4110" w:type="dxa"/>
            <w:tcBorders>
              <w:top w:val="single" w:sz="4" w:space="0" w:color="auto"/>
              <w:left w:val="single" w:sz="4" w:space="0" w:color="auto"/>
              <w:bottom w:val="single" w:sz="4" w:space="0" w:color="auto"/>
              <w:right w:val="single" w:sz="4" w:space="0" w:color="auto"/>
            </w:tcBorders>
            <w:hideMark/>
          </w:tcPr>
          <w:p w:rsidR="0020756E" w:rsidRPr="00BE487E" w:rsidRDefault="00BE487E" w:rsidP="0058181A">
            <w:pPr>
              <w:spacing w:after="0"/>
              <w:ind w:left="0"/>
              <w:rPr>
                <w:rFonts w:cs="Arial"/>
                <w:sz w:val="16"/>
                <w:szCs w:val="16"/>
              </w:rPr>
            </w:pPr>
            <w:r w:rsidRPr="00BE487E">
              <w:rPr>
                <w:rFonts w:cs="Arial"/>
                <w:sz w:val="16"/>
                <w:szCs w:val="16"/>
              </w:rPr>
              <w:t>Based on normalised historical trends and assumption ranges for WRMP</w:t>
            </w:r>
          </w:p>
        </w:tc>
      </w:tr>
      <w:tr w:rsidR="0020756E" w:rsidTr="0058181A">
        <w:tc>
          <w:tcPr>
            <w:tcW w:w="1843"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Water Trading</w:t>
            </w:r>
          </w:p>
        </w:tc>
        <w:tc>
          <w:tcPr>
            <w:tcW w:w="2835"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Water trading revenue ±10%</w:t>
            </w:r>
          </w:p>
        </w:tc>
        <w:tc>
          <w:tcPr>
            <w:tcW w:w="4110"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Based on WRMP analysis</w:t>
            </w:r>
          </w:p>
        </w:tc>
      </w:tr>
      <w:tr w:rsidR="0020756E" w:rsidTr="0058181A">
        <w:tc>
          <w:tcPr>
            <w:tcW w:w="1843" w:type="dxa"/>
            <w:tcBorders>
              <w:top w:val="single" w:sz="4" w:space="0" w:color="auto"/>
              <w:left w:val="single" w:sz="4" w:space="0" w:color="auto"/>
              <w:bottom w:val="single" w:sz="4" w:space="0" w:color="auto"/>
              <w:right w:val="single" w:sz="4" w:space="0" w:color="auto"/>
            </w:tcBorders>
            <w:hideMark/>
          </w:tcPr>
          <w:p w:rsidR="0020756E" w:rsidRDefault="00FE42E8" w:rsidP="0058181A">
            <w:pPr>
              <w:spacing w:after="0"/>
              <w:ind w:left="0"/>
              <w:rPr>
                <w:rFonts w:cs="Arial"/>
                <w:sz w:val="16"/>
                <w:szCs w:val="16"/>
              </w:rPr>
            </w:pPr>
            <w:r>
              <w:rPr>
                <w:rFonts w:cs="Arial"/>
                <w:sz w:val="16"/>
                <w:szCs w:val="16"/>
              </w:rPr>
              <w:t>Totex</w:t>
            </w:r>
          </w:p>
        </w:tc>
        <w:tc>
          <w:tcPr>
            <w:tcW w:w="2835"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Power costs of ±3% above inflation</w:t>
            </w:r>
          </w:p>
          <w:p w:rsidR="0020756E" w:rsidRDefault="0020756E" w:rsidP="0058181A">
            <w:pPr>
              <w:spacing w:after="0"/>
              <w:ind w:left="0"/>
              <w:rPr>
                <w:rFonts w:cs="Arial"/>
                <w:sz w:val="16"/>
                <w:szCs w:val="16"/>
              </w:rPr>
            </w:pPr>
            <w:r>
              <w:rPr>
                <w:rFonts w:cs="Arial"/>
                <w:sz w:val="16"/>
                <w:szCs w:val="16"/>
              </w:rPr>
              <w:t>Labour cost</w:t>
            </w:r>
            <w:r w:rsidR="0058181A">
              <w:rPr>
                <w:rFonts w:cs="Arial"/>
                <w:sz w:val="16"/>
                <w:szCs w:val="16"/>
              </w:rPr>
              <w:t xml:space="preserve">s of ±2% </w:t>
            </w:r>
            <w:r>
              <w:rPr>
                <w:rFonts w:cs="Arial"/>
                <w:sz w:val="16"/>
                <w:szCs w:val="16"/>
              </w:rPr>
              <w:t>above inflation</w:t>
            </w:r>
          </w:p>
          <w:p w:rsidR="0020756E" w:rsidRDefault="0020756E" w:rsidP="0058181A">
            <w:pPr>
              <w:spacing w:after="0"/>
              <w:ind w:left="0"/>
              <w:rPr>
                <w:rFonts w:cs="Arial"/>
                <w:sz w:val="16"/>
                <w:szCs w:val="16"/>
              </w:rPr>
            </w:pPr>
            <w:r>
              <w:rPr>
                <w:rFonts w:cs="Arial"/>
                <w:sz w:val="16"/>
                <w:szCs w:val="16"/>
              </w:rPr>
              <w:t xml:space="preserve">Other </w:t>
            </w:r>
            <w:r w:rsidR="00FE42E8">
              <w:rPr>
                <w:rFonts w:cs="Arial"/>
                <w:sz w:val="16"/>
                <w:szCs w:val="16"/>
              </w:rPr>
              <w:t>Totex</w:t>
            </w:r>
            <w:r>
              <w:rPr>
                <w:rFonts w:cs="Arial"/>
                <w:sz w:val="16"/>
                <w:szCs w:val="16"/>
              </w:rPr>
              <w:t xml:space="preserve"> of ±1.5% above inflation</w:t>
            </w:r>
          </w:p>
        </w:tc>
        <w:tc>
          <w:tcPr>
            <w:tcW w:w="4110"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Review of external broker’s ranges.</w:t>
            </w:r>
          </w:p>
          <w:p w:rsidR="0020756E" w:rsidRDefault="0020756E" w:rsidP="0058181A">
            <w:pPr>
              <w:spacing w:after="0"/>
              <w:ind w:left="0"/>
              <w:rPr>
                <w:rFonts w:cs="Arial"/>
                <w:sz w:val="16"/>
                <w:szCs w:val="16"/>
              </w:rPr>
            </w:pPr>
            <w:r>
              <w:rPr>
                <w:rFonts w:cs="Arial"/>
                <w:sz w:val="16"/>
                <w:szCs w:val="16"/>
              </w:rPr>
              <w:t>Independent forecasts for “construction” labour such as engineers and plumbers could be at 1-3% above CPIH.</w:t>
            </w:r>
          </w:p>
          <w:p w:rsidR="0020756E" w:rsidRDefault="0020756E" w:rsidP="0058181A">
            <w:pPr>
              <w:spacing w:after="0"/>
              <w:ind w:left="0"/>
              <w:rPr>
                <w:rFonts w:cs="Arial"/>
                <w:sz w:val="16"/>
                <w:szCs w:val="16"/>
              </w:rPr>
            </w:pPr>
            <w:r>
              <w:rPr>
                <w:rFonts w:cs="Arial"/>
                <w:sz w:val="16"/>
                <w:szCs w:val="16"/>
              </w:rPr>
              <w:t>Independent construction cost forecasts (eg RICS) could be 2% above CPIH.  Reduced to reflect company mix of activities and cost drivers.</w:t>
            </w:r>
          </w:p>
        </w:tc>
      </w:tr>
      <w:tr w:rsidR="0020756E" w:rsidTr="0058181A">
        <w:tc>
          <w:tcPr>
            <w:tcW w:w="1843"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Residential Retail</w:t>
            </w:r>
          </w:p>
        </w:tc>
        <w:tc>
          <w:tcPr>
            <w:tcW w:w="2835"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Increase/decrease in Bad Debt costs of ±5%</w:t>
            </w:r>
          </w:p>
        </w:tc>
        <w:tc>
          <w:tcPr>
            <w:tcW w:w="4110"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Ofwat’s guidance on financial viability scenarios.</w:t>
            </w:r>
          </w:p>
        </w:tc>
      </w:tr>
      <w:tr w:rsidR="0020756E" w:rsidTr="0058181A">
        <w:tc>
          <w:tcPr>
            <w:tcW w:w="1843"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ODI</w:t>
            </w:r>
          </w:p>
        </w:tc>
        <w:tc>
          <w:tcPr>
            <w:tcW w:w="2835"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Package of ODIs including WaterworCX s</w:t>
            </w:r>
          </w:p>
        </w:tc>
        <w:tc>
          <w:tcPr>
            <w:tcW w:w="4110" w:type="dxa"/>
            <w:tcBorders>
              <w:top w:val="single" w:sz="4" w:space="0" w:color="auto"/>
              <w:left w:val="single" w:sz="4" w:space="0" w:color="auto"/>
              <w:bottom w:val="single" w:sz="4" w:space="0" w:color="auto"/>
              <w:right w:val="single" w:sz="4" w:space="0" w:color="auto"/>
            </w:tcBorders>
            <w:hideMark/>
          </w:tcPr>
          <w:p w:rsidR="0020756E" w:rsidRDefault="00556CF7" w:rsidP="0058181A">
            <w:pPr>
              <w:spacing w:after="0"/>
              <w:ind w:left="0"/>
              <w:rPr>
                <w:rFonts w:cs="Arial"/>
                <w:sz w:val="16"/>
                <w:szCs w:val="16"/>
              </w:rPr>
            </w:pPr>
            <w:r>
              <w:rPr>
                <w:rFonts w:cs="Arial"/>
                <w:sz w:val="16"/>
                <w:szCs w:val="16"/>
              </w:rPr>
              <w:t>Analysis of basket of ODI rewards and penalties proposed in the Plan.</w:t>
            </w:r>
          </w:p>
        </w:tc>
      </w:tr>
      <w:tr w:rsidR="0020756E" w:rsidTr="0058181A">
        <w:tc>
          <w:tcPr>
            <w:tcW w:w="1843"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WaterworCX</w:t>
            </w:r>
          </w:p>
        </w:tc>
        <w:tc>
          <w:tcPr>
            <w:tcW w:w="2835"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highlight w:val="yellow"/>
              </w:rPr>
            </w:pPr>
            <w:r>
              <w:rPr>
                <w:rFonts w:cs="Arial"/>
                <w:sz w:val="16"/>
                <w:szCs w:val="16"/>
              </w:rPr>
              <w:t>C-Mex &amp; D-Mex</w:t>
            </w:r>
          </w:p>
        </w:tc>
        <w:tc>
          <w:tcPr>
            <w:tcW w:w="4110"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Using Ofwat ranges and historical company performance levels on SIM and developer survey</w:t>
            </w:r>
          </w:p>
        </w:tc>
      </w:tr>
      <w:tr w:rsidR="0020756E" w:rsidTr="0058181A">
        <w:tc>
          <w:tcPr>
            <w:tcW w:w="1843"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Financing performance (new debt)</w:t>
            </w:r>
          </w:p>
        </w:tc>
        <w:tc>
          <w:tcPr>
            <w:tcW w:w="2835"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Cost of new Debt varies by ±1.5 percentage points relative to Ofwat assumption</w:t>
            </w:r>
          </w:p>
        </w:tc>
        <w:tc>
          <w:tcPr>
            <w:tcW w:w="4110" w:type="dxa"/>
            <w:tcBorders>
              <w:top w:val="single" w:sz="4" w:space="0" w:color="auto"/>
              <w:left w:val="single" w:sz="4" w:space="0" w:color="auto"/>
              <w:bottom w:val="single" w:sz="4" w:space="0" w:color="auto"/>
              <w:right w:val="single" w:sz="4" w:space="0" w:color="auto"/>
            </w:tcBorders>
            <w:hideMark/>
          </w:tcPr>
          <w:p w:rsidR="0020756E" w:rsidRDefault="0020756E" w:rsidP="0058181A">
            <w:pPr>
              <w:spacing w:after="0"/>
              <w:ind w:left="0"/>
              <w:rPr>
                <w:rFonts w:cs="Arial"/>
                <w:sz w:val="16"/>
                <w:szCs w:val="16"/>
              </w:rPr>
            </w:pPr>
            <w:r>
              <w:rPr>
                <w:rFonts w:cs="Arial"/>
                <w:sz w:val="16"/>
                <w:szCs w:val="16"/>
              </w:rPr>
              <w:t>Ofwat’s guidance on financial viability scenarios.</w:t>
            </w:r>
          </w:p>
        </w:tc>
      </w:tr>
    </w:tbl>
    <w:p w:rsidR="0020756E" w:rsidRDefault="0020756E" w:rsidP="0035083C">
      <w:pPr>
        <w:spacing w:after="0"/>
        <w:rPr>
          <w:rFonts w:cs="Arial"/>
          <w:sz w:val="22"/>
          <w:szCs w:val="22"/>
          <w:lang w:eastAsia="en-US"/>
        </w:rPr>
      </w:pPr>
    </w:p>
    <w:p w:rsidR="0020756E" w:rsidRDefault="0020756E" w:rsidP="0020756E">
      <w:pPr>
        <w:rPr>
          <w:rFonts w:cs="Arial"/>
          <w:b/>
        </w:rPr>
      </w:pPr>
      <w:r>
        <w:rPr>
          <w:rFonts w:cs="Arial"/>
          <w:b/>
        </w:rPr>
        <w:t>Mitigation</w:t>
      </w:r>
    </w:p>
    <w:p w:rsidR="0020756E" w:rsidRDefault="0020756E" w:rsidP="0020756E">
      <w:pPr>
        <w:rPr>
          <w:rFonts w:cs="Arial"/>
        </w:rPr>
      </w:pPr>
      <w:r>
        <w:rPr>
          <w:rFonts w:cs="Arial"/>
        </w:rPr>
        <w:t xml:space="preserve">Table </w:t>
      </w:r>
      <w:r w:rsidR="00A5052C">
        <w:rPr>
          <w:rFonts w:cs="Arial"/>
        </w:rPr>
        <w:t>10.4.1</w:t>
      </w:r>
      <w:r>
        <w:rPr>
          <w:rFonts w:cs="Arial"/>
        </w:rPr>
        <w:t xml:space="preserve"> summarises the key management mitigations which could be applied in order to reduce the down-side risk of these RoRE scenarios.  These have been fed into the RoRE scenarios in order to give a post mitigation impact.  However, for prudence we have also performed the analysis without any mitigation.  In reality it is highly unlikely that down-side scenarios would arise in each of the 5 years of the price control and that management actions would not have, at least some impact on the results.  We are also confident that management has a good track record of being able to respond to and mitigate down-side scenarios which may arise.</w:t>
      </w:r>
    </w:p>
    <w:p w:rsidR="0020756E" w:rsidRDefault="0020756E" w:rsidP="0020756E">
      <w:pPr>
        <w:rPr>
          <w:rFonts w:cs="Arial"/>
        </w:rPr>
      </w:pPr>
      <w:r>
        <w:rPr>
          <w:rFonts w:cs="Arial"/>
        </w:rPr>
        <w:t>Worthy of particular comment are the results of the</w:t>
      </w:r>
      <w:r w:rsidR="00F108D0">
        <w:rPr>
          <w:rFonts w:cs="Arial"/>
        </w:rPr>
        <w:t xml:space="preserve"> alternative</w:t>
      </w:r>
      <w:r>
        <w:rPr>
          <w:rFonts w:cs="Arial"/>
        </w:rPr>
        <w:t xml:space="preserve"> revenue scenario including </w:t>
      </w:r>
      <w:r w:rsidR="00F108D0">
        <w:rPr>
          <w:rFonts w:cs="Arial"/>
        </w:rPr>
        <w:t>the WRFIM</w:t>
      </w:r>
      <w:r>
        <w:rPr>
          <w:rFonts w:cs="Arial"/>
        </w:rPr>
        <w:t xml:space="preserve">.  The </w:t>
      </w:r>
      <w:r w:rsidR="005D2A11">
        <w:rPr>
          <w:rFonts w:cs="Arial"/>
        </w:rPr>
        <w:t xml:space="preserve">WRFIM </w:t>
      </w:r>
      <w:r>
        <w:rPr>
          <w:rFonts w:cs="Arial"/>
        </w:rPr>
        <w:t xml:space="preserve">does, in overall terms, provide some relief from the impact of revenue variances as it permits the truing up of revenue in the next but one year.  However, it is interesting that this mechanism </w:t>
      </w:r>
      <w:r w:rsidR="005D2A11">
        <w:rPr>
          <w:rFonts w:cs="Arial"/>
        </w:rPr>
        <w:t xml:space="preserve">does </w:t>
      </w:r>
      <w:r>
        <w:rPr>
          <w:rFonts w:cs="Arial"/>
        </w:rPr>
        <w:t xml:space="preserve">further exacerbate the effect of revenue variances </w:t>
      </w:r>
      <w:r w:rsidR="005D2A11">
        <w:rPr>
          <w:rFonts w:cs="Arial"/>
        </w:rPr>
        <w:t xml:space="preserve">upon RoRE ranges </w:t>
      </w:r>
      <w:r>
        <w:rPr>
          <w:rFonts w:cs="Arial"/>
        </w:rPr>
        <w:t xml:space="preserve">in the situation where a down-side revenue impact coincides with an earlier up-side scenario </w:t>
      </w:r>
      <w:r w:rsidR="005D2A11">
        <w:rPr>
          <w:rFonts w:cs="Arial"/>
        </w:rPr>
        <w:t>(</w:t>
      </w:r>
      <w:r>
        <w:rPr>
          <w:rFonts w:cs="Arial"/>
        </w:rPr>
        <w:t>which is then corrected through WRF</w:t>
      </w:r>
      <w:r w:rsidR="00556CF7">
        <w:rPr>
          <w:rFonts w:cs="Arial"/>
        </w:rPr>
        <w:t>I</w:t>
      </w:r>
      <w:r>
        <w:rPr>
          <w:rFonts w:cs="Arial"/>
        </w:rPr>
        <w:t>M</w:t>
      </w:r>
      <w:r w:rsidR="005D2A11">
        <w:rPr>
          <w:rFonts w:cs="Arial"/>
        </w:rPr>
        <w:t>)</w:t>
      </w:r>
      <w:r>
        <w:rPr>
          <w:rFonts w:cs="Arial"/>
        </w:rPr>
        <w:t>.</w:t>
      </w:r>
      <w:r w:rsidR="005D2A11">
        <w:rPr>
          <w:rFonts w:cs="Arial"/>
        </w:rPr>
        <w:t xml:space="preserve">  This magnifies the variance in the RoRE range.</w:t>
      </w:r>
    </w:p>
    <w:p w:rsidR="00B75EB2" w:rsidRDefault="00B75EB2">
      <w:pPr>
        <w:tabs>
          <w:tab w:val="clear" w:pos="851"/>
        </w:tabs>
        <w:spacing w:after="0"/>
        <w:ind w:left="0"/>
        <w:jc w:val="left"/>
        <w:rPr>
          <w:rFonts w:cs="Arial"/>
          <w:b/>
        </w:rPr>
      </w:pPr>
      <w:r>
        <w:rPr>
          <w:rFonts w:cs="Arial"/>
          <w:b/>
        </w:rPr>
        <w:br w:type="page"/>
      </w:r>
    </w:p>
    <w:p w:rsidR="0020756E" w:rsidRDefault="0020756E" w:rsidP="0020756E">
      <w:pPr>
        <w:rPr>
          <w:rFonts w:cs="Arial"/>
          <w:b/>
        </w:rPr>
      </w:pPr>
      <w:r>
        <w:rPr>
          <w:rFonts w:cs="Arial"/>
          <w:b/>
        </w:rPr>
        <w:t>Results</w:t>
      </w:r>
    </w:p>
    <w:p w:rsidR="00C901A8" w:rsidRDefault="00110F38" w:rsidP="004A7BB9">
      <w:pPr>
        <w:rPr>
          <w:rFonts w:cs="Arial"/>
        </w:rPr>
      </w:pPr>
      <w:r>
        <w:rPr>
          <w:rFonts w:cs="Arial"/>
        </w:rPr>
        <w:t>Based upon our assessment of delivery risks and the RoRE analysis performed, we have concluded that we have a clear understanding of the balance of risk and reward within the Plan.  In particular we have concluded that the range of possible down side results are manageable within the context of financial resilience.</w:t>
      </w:r>
    </w:p>
    <w:p w:rsidR="004A7BB9" w:rsidRDefault="004A7BB9" w:rsidP="004A7BB9">
      <w:pPr>
        <w:rPr>
          <w:rFonts w:cs="Arial"/>
        </w:rPr>
      </w:pPr>
      <w:r w:rsidRPr="00597B2A">
        <w:rPr>
          <w:rFonts w:cs="Arial"/>
        </w:rPr>
        <w:t>We have undertaken the RoRE analysis using the functionality within the Ofwat model the results are summarised below:</w:t>
      </w:r>
    </w:p>
    <w:tbl>
      <w:tblPr>
        <w:tblW w:w="7760" w:type="dxa"/>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960"/>
        <w:gridCol w:w="960"/>
        <w:gridCol w:w="960"/>
        <w:gridCol w:w="960"/>
        <w:gridCol w:w="960"/>
        <w:gridCol w:w="960"/>
      </w:tblGrid>
      <w:tr w:rsidR="004A7BB9" w:rsidRPr="004A7BB9" w:rsidTr="004A7BB9">
        <w:trPr>
          <w:trHeight w:val="288"/>
        </w:trPr>
        <w:tc>
          <w:tcPr>
            <w:tcW w:w="2000" w:type="dxa"/>
            <w:shd w:val="clear" w:color="auto" w:fill="2E74B5" w:themeFill="accent1" w:themeFillShade="BF"/>
            <w:noWrap/>
            <w:vAlign w:val="center"/>
            <w:hideMark/>
          </w:tcPr>
          <w:p w:rsidR="004A7BB9" w:rsidRPr="004A7BB9" w:rsidRDefault="004A7BB9" w:rsidP="004A7BB9">
            <w:pPr>
              <w:tabs>
                <w:tab w:val="clear" w:pos="851"/>
              </w:tabs>
              <w:spacing w:after="0"/>
              <w:ind w:left="0"/>
              <w:jc w:val="left"/>
              <w:rPr>
                <w:rFonts w:cs="Arial"/>
                <w:color w:val="FFFFFF" w:themeColor="background1"/>
                <w:sz w:val="16"/>
                <w:szCs w:val="16"/>
              </w:rPr>
            </w:pPr>
            <w:r w:rsidRPr="004A7BB9">
              <w:rPr>
                <w:rFonts w:cs="Arial"/>
                <w:color w:val="FFFFFF" w:themeColor="background1"/>
                <w:sz w:val="16"/>
                <w:szCs w:val="16"/>
              </w:rPr>
              <w:t>RoRE Average</w:t>
            </w:r>
          </w:p>
        </w:tc>
        <w:tc>
          <w:tcPr>
            <w:tcW w:w="1920" w:type="dxa"/>
            <w:gridSpan w:val="2"/>
            <w:shd w:val="clear" w:color="auto" w:fill="2E74B5" w:themeFill="accent1" w:themeFillShade="BF"/>
            <w:noWrap/>
            <w:vAlign w:val="center"/>
            <w:hideMark/>
          </w:tcPr>
          <w:p w:rsidR="004A7BB9" w:rsidRPr="004A7BB9" w:rsidRDefault="004A7BB9"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Water resources</w:t>
            </w:r>
          </w:p>
        </w:tc>
        <w:tc>
          <w:tcPr>
            <w:tcW w:w="1920" w:type="dxa"/>
            <w:gridSpan w:val="2"/>
            <w:shd w:val="clear" w:color="auto" w:fill="2E74B5" w:themeFill="accent1" w:themeFillShade="BF"/>
            <w:noWrap/>
            <w:vAlign w:val="center"/>
            <w:hideMark/>
          </w:tcPr>
          <w:p w:rsidR="004A7BB9" w:rsidRPr="004A7BB9" w:rsidRDefault="004A7BB9"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Network Plus</w:t>
            </w:r>
          </w:p>
        </w:tc>
        <w:tc>
          <w:tcPr>
            <w:tcW w:w="1920" w:type="dxa"/>
            <w:gridSpan w:val="2"/>
            <w:shd w:val="clear" w:color="auto" w:fill="2E74B5" w:themeFill="accent1" w:themeFillShade="BF"/>
            <w:noWrap/>
            <w:vAlign w:val="center"/>
            <w:hideMark/>
          </w:tcPr>
          <w:p w:rsidR="004A7BB9" w:rsidRPr="004A7BB9" w:rsidRDefault="004A7BB9"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Appointee</w:t>
            </w:r>
          </w:p>
        </w:tc>
      </w:tr>
      <w:tr w:rsidR="004A7BB9" w:rsidRPr="004A7BB9" w:rsidTr="004A7BB9">
        <w:trPr>
          <w:trHeight w:val="288"/>
        </w:trPr>
        <w:tc>
          <w:tcPr>
            <w:tcW w:w="2000" w:type="dxa"/>
            <w:shd w:val="clear" w:color="auto" w:fill="auto"/>
            <w:noWrap/>
            <w:vAlign w:val="center"/>
            <w:hideMark/>
          </w:tcPr>
          <w:p w:rsidR="004A7BB9" w:rsidRPr="004A7BB9" w:rsidRDefault="004A7BB9" w:rsidP="004A7BB9">
            <w:pPr>
              <w:tabs>
                <w:tab w:val="clear" w:pos="851"/>
              </w:tabs>
              <w:spacing w:after="0"/>
              <w:ind w:left="0"/>
              <w:jc w:val="left"/>
              <w:rPr>
                <w:rFonts w:cs="Arial"/>
                <w:color w:val="000000"/>
                <w:sz w:val="16"/>
                <w:szCs w:val="16"/>
              </w:rPr>
            </w:pPr>
            <w:r w:rsidRPr="004A7BB9">
              <w:rPr>
                <w:rFonts w:cs="Arial"/>
                <w:color w:val="000000"/>
                <w:sz w:val="16"/>
                <w:szCs w:val="16"/>
              </w:rPr>
              <w:t>Base Case</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4.72%</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4.35%</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4.88%</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p>
        </w:tc>
      </w:tr>
      <w:tr w:rsidR="004A7BB9" w:rsidRPr="004A7BB9" w:rsidTr="004A7BB9">
        <w:trPr>
          <w:trHeight w:val="288"/>
        </w:trPr>
        <w:tc>
          <w:tcPr>
            <w:tcW w:w="2000" w:type="dxa"/>
            <w:shd w:val="clear" w:color="auto" w:fill="2E74B5" w:themeFill="accent1" w:themeFillShade="BF"/>
            <w:noWrap/>
            <w:vAlign w:val="center"/>
            <w:hideMark/>
          </w:tcPr>
          <w:p w:rsidR="004A7BB9" w:rsidRPr="004A7BB9" w:rsidRDefault="004A7BB9" w:rsidP="004A7BB9">
            <w:pPr>
              <w:tabs>
                <w:tab w:val="clear" w:pos="851"/>
              </w:tabs>
              <w:spacing w:after="0"/>
              <w:ind w:left="0"/>
              <w:jc w:val="left"/>
              <w:rPr>
                <w:rFonts w:cs="Arial"/>
                <w:color w:val="FFFFFF" w:themeColor="background1"/>
                <w:sz w:val="16"/>
                <w:szCs w:val="16"/>
              </w:rPr>
            </w:pPr>
            <w:r w:rsidRPr="004A7BB9">
              <w:rPr>
                <w:rFonts w:cs="Arial"/>
                <w:color w:val="FFFFFF" w:themeColor="background1"/>
                <w:sz w:val="16"/>
                <w:szCs w:val="16"/>
              </w:rPr>
              <w:t>Scenarios</w:t>
            </w:r>
          </w:p>
        </w:tc>
        <w:tc>
          <w:tcPr>
            <w:tcW w:w="960" w:type="dxa"/>
            <w:shd w:val="clear" w:color="auto" w:fill="2E74B5" w:themeFill="accent1" w:themeFillShade="BF"/>
            <w:noWrap/>
            <w:vAlign w:val="center"/>
            <w:hideMark/>
          </w:tcPr>
          <w:p w:rsidR="004A7BB9" w:rsidRPr="004A7BB9" w:rsidRDefault="004A7BB9"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Upside</w:t>
            </w:r>
          </w:p>
        </w:tc>
        <w:tc>
          <w:tcPr>
            <w:tcW w:w="960" w:type="dxa"/>
            <w:shd w:val="clear" w:color="auto" w:fill="2E74B5" w:themeFill="accent1" w:themeFillShade="BF"/>
            <w:noWrap/>
            <w:vAlign w:val="center"/>
            <w:hideMark/>
          </w:tcPr>
          <w:p w:rsidR="004A7BB9" w:rsidRPr="004A7BB9" w:rsidRDefault="004A7BB9"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Downside</w:t>
            </w:r>
          </w:p>
        </w:tc>
        <w:tc>
          <w:tcPr>
            <w:tcW w:w="960" w:type="dxa"/>
            <w:shd w:val="clear" w:color="auto" w:fill="2E74B5" w:themeFill="accent1" w:themeFillShade="BF"/>
            <w:noWrap/>
            <w:vAlign w:val="center"/>
            <w:hideMark/>
          </w:tcPr>
          <w:p w:rsidR="004A7BB9" w:rsidRPr="004A7BB9" w:rsidRDefault="004A7BB9"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Upside</w:t>
            </w:r>
          </w:p>
        </w:tc>
        <w:tc>
          <w:tcPr>
            <w:tcW w:w="960" w:type="dxa"/>
            <w:shd w:val="clear" w:color="auto" w:fill="2E74B5" w:themeFill="accent1" w:themeFillShade="BF"/>
            <w:noWrap/>
            <w:vAlign w:val="center"/>
            <w:hideMark/>
          </w:tcPr>
          <w:p w:rsidR="004A7BB9" w:rsidRPr="004A7BB9" w:rsidRDefault="004A7BB9"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Downside</w:t>
            </w:r>
          </w:p>
        </w:tc>
        <w:tc>
          <w:tcPr>
            <w:tcW w:w="960" w:type="dxa"/>
            <w:shd w:val="clear" w:color="auto" w:fill="2E74B5" w:themeFill="accent1" w:themeFillShade="BF"/>
            <w:noWrap/>
            <w:vAlign w:val="center"/>
            <w:hideMark/>
          </w:tcPr>
          <w:p w:rsidR="004A7BB9" w:rsidRPr="004A7BB9" w:rsidRDefault="004A7BB9"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Upside</w:t>
            </w:r>
          </w:p>
        </w:tc>
        <w:tc>
          <w:tcPr>
            <w:tcW w:w="960" w:type="dxa"/>
            <w:shd w:val="clear" w:color="auto" w:fill="2E74B5" w:themeFill="accent1" w:themeFillShade="BF"/>
            <w:noWrap/>
            <w:vAlign w:val="center"/>
            <w:hideMark/>
          </w:tcPr>
          <w:p w:rsidR="004A7BB9" w:rsidRPr="004A7BB9" w:rsidRDefault="004A7BB9"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Downside</w:t>
            </w:r>
          </w:p>
        </w:tc>
      </w:tr>
      <w:tr w:rsidR="004A7BB9" w:rsidRPr="004A7BB9" w:rsidTr="004A7BB9">
        <w:trPr>
          <w:trHeight w:val="288"/>
        </w:trPr>
        <w:tc>
          <w:tcPr>
            <w:tcW w:w="2000" w:type="dxa"/>
            <w:shd w:val="clear" w:color="auto" w:fill="auto"/>
            <w:noWrap/>
            <w:vAlign w:val="center"/>
            <w:hideMark/>
          </w:tcPr>
          <w:p w:rsidR="004A7BB9" w:rsidRPr="004A7BB9" w:rsidRDefault="004A7BB9" w:rsidP="004A7BB9">
            <w:pPr>
              <w:tabs>
                <w:tab w:val="clear" w:pos="851"/>
              </w:tabs>
              <w:spacing w:after="0"/>
              <w:ind w:left="0"/>
              <w:jc w:val="left"/>
              <w:rPr>
                <w:rFonts w:cs="Arial"/>
                <w:color w:val="000000"/>
                <w:sz w:val="16"/>
                <w:szCs w:val="16"/>
              </w:rPr>
            </w:pPr>
            <w:r w:rsidRPr="004A7BB9">
              <w:rPr>
                <w:rFonts w:cs="Arial"/>
                <w:color w:val="000000"/>
                <w:sz w:val="16"/>
                <w:szCs w:val="16"/>
              </w:rPr>
              <w:t>Revenue</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5.20%</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4.37%</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4.77%</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4.04%</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5.31%</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4.57%</w:t>
            </w:r>
          </w:p>
        </w:tc>
      </w:tr>
      <w:tr w:rsidR="004A7BB9" w:rsidRPr="004A7BB9" w:rsidTr="004A7BB9">
        <w:trPr>
          <w:trHeight w:val="288"/>
        </w:trPr>
        <w:tc>
          <w:tcPr>
            <w:tcW w:w="2000" w:type="dxa"/>
            <w:shd w:val="clear" w:color="auto" w:fill="auto"/>
            <w:noWrap/>
            <w:vAlign w:val="center"/>
            <w:hideMark/>
          </w:tcPr>
          <w:p w:rsidR="004A7BB9" w:rsidRPr="004A7BB9" w:rsidRDefault="004A7BB9" w:rsidP="004A7BB9">
            <w:pPr>
              <w:tabs>
                <w:tab w:val="clear" w:pos="851"/>
              </w:tabs>
              <w:spacing w:after="0"/>
              <w:ind w:left="0"/>
              <w:jc w:val="left"/>
              <w:rPr>
                <w:rFonts w:cs="Arial"/>
                <w:color w:val="000000"/>
                <w:sz w:val="16"/>
                <w:szCs w:val="16"/>
              </w:rPr>
            </w:pPr>
            <w:r w:rsidRPr="004A7BB9">
              <w:rPr>
                <w:rFonts w:cs="Arial"/>
                <w:color w:val="000000"/>
                <w:sz w:val="16"/>
                <w:szCs w:val="16"/>
              </w:rPr>
              <w:t>Bulk supply revenue</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5.72%</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4.77%</w:t>
            </w: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color w:val="000000"/>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5.04%</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4.89%</w:t>
            </w:r>
          </w:p>
        </w:tc>
      </w:tr>
      <w:tr w:rsidR="004A7BB9" w:rsidRPr="004A7BB9" w:rsidTr="004A7BB9">
        <w:trPr>
          <w:trHeight w:val="288"/>
        </w:trPr>
        <w:tc>
          <w:tcPr>
            <w:tcW w:w="2000" w:type="dxa"/>
            <w:shd w:val="clear" w:color="auto" w:fill="auto"/>
            <w:noWrap/>
            <w:vAlign w:val="center"/>
            <w:hideMark/>
          </w:tcPr>
          <w:p w:rsidR="004A7BB9" w:rsidRPr="004A7BB9" w:rsidRDefault="004A7BB9" w:rsidP="004A7BB9">
            <w:pPr>
              <w:tabs>
                <w:tab w:val="clear" w:pos="851"/>
              </w:tabs>
              <w:spacing w:after="0"/>
              <w:ind w:left="0"/>
              <w:jc w:val="left"/>
              <w:rPr>
                <w:rFonts w:cs="Arial"/>
                <w:color w:val="000000"/>
                <w:sz w:val="16"/>
                <w:szCs w:val="16"/>
              </w:rPr>
            </w:pPr>
            <w:r w:rsidRPr="004A7BB9">
              <w:rPr>
                <w:rFonts w:cs="Arial"/>
                <w:color w:val="000000"/>
                <w:sz w:val="16"/>
                <w:szCs w:val="16"/>
              </w:rPr>
              <w:t>Retail Revenue</w:t>
            </w: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color w:val="000000"/>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4.94%</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4.84%</w:t>
            </w:r>
          </w:p>
        </w:tc>
      </w:tr>
      <w:tr w:rsidR="004A7BB9" w:rsidRPr="004A7BB9" w:rsidTr="004A7BB9">
        <w:trPr>
          <w:trHeight w:val="288"/>
        </w:trPr>
        <w:tc>
          <w:tcPr>
            <w:tcW w:w="2000" w:type="dxa"/>
            <w:shd w:val="clear" w:color="auto" w:fill="auto"/>
            <w:noWrap/>
            <w:vAlign w:val="center"/>
            <w:hideMark/>
          </w:tcPr>
          <w:p w:rsidR="004A7BB9" w:rsidRPr="004A7BB9" w:rsidRDefault="004A7BB9" w:rsidP="004A7BB9">
            <w:pPr>
              <w:tabs>
                <w:tab w:val="clear" w:pos="851"/>
              </w:tabs>
              <w:spacing w:after="0"/>
              <w:ind w:left="0"/>
              <w:jc w:val="left"/>
              <w:rPr>
                <w:rFonts w:cs="Arial"/>
                <w:color w:val="000000"/>
                <w:sz w:val="16"/>
                <w:szCs w:val="16"/>
              </w:rPr>
            </w:pPr>
            <w:r w:rsidRPr="004A7BB9">
              <w:rPr>
                <w:rFonts w:cs="Arial"/>
                <w:color w:val="000000"/>
                <w:sz w:val="16"/>
                <w:szCs w:val="16"/>
              </w:rPr>
              <w:t>Retail Cost</w:t>
            </w: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color w:val="000000"/>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4.92%</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4.85%</w:t>
            </w:r>
          </w:p>
        </w:tc>
      </w:tr>
      <w:tr w:rsidR="004A7BB9" w:rsidRPr="004A7BB9" w:rsidTr="004A7BB9">
        <w:trPr>
          <w:trHeight w:val="288"/>
        </w:trPr>
        <w:tc>
          <w:tcPr>
            <w:tcW w:w="2000" w:type="dxa"/>
            <w:shd w:val="clear" w:color="auto" w:fill="auto"/>
            <w:noWrap/>
            <w:vAlign w:val="center"/>
            <w:hideMark/>
          </w:tcPr>
          <w:p w:rsidR="004A7BB9" w:rsidRPr="004A7BB9" w:rsidRDefault="004A7BB9" w:rsidP="004A7BB9">
            <w:pPr>
              <w:tabs>
                <w:tab w:val="clear" w:pos="851"/>
              </w:tabs>
              <w:spacing w:after="0"/>
              <w:ind w:left="0"/>
              <w:jc w:val="left"/>
              <w:rPr>
                <w:rFonts w:cs="Arial"/>
                <w:color w:val="000000"/>
                <w:sz w:val="16"/>
                <w:szCs w:val="16"/>
              </w:rPr>
            </w:pPr>
            <w:r w:rsidRPr="004A7BB9">
              <w:rPr>
                <w:rFonts w:cs="Arial"/>
                <w:color w:val="000000"/>
                <w:sz w:val="16"/>
                <w:szCs w:val="16"/>
              </w:rPr>
              <w:t>Costs</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5.92%</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3.96%</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4.66%</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4.15%</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5.33%</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4.60%</w:t>
            </w:r>
          </w:p>
        </w:tc>
      </w:tr>
      <w:tr w:rsidR="004A7BB9" w:rsidRPr="004A7BB9" w:rsidTr="004A7BB9">
        <w:trPr>
          <w:trHeight w:val="288"/>
        </w:trPr>
        <w:tc>
          <w:tcPr>
            <w:tcW w:w="2000" w:type="dxa"/>
            <w:shd w:val="clear" w:color="auto" w:fill="auto"/>
            <w:noWrap/>
            <w:vAlign w:val="center"/>
            <w:hideMark/>
          </w:tcPr>
          <w:p w:rsidR="004A7BB9" w:rsidRPr="00110F38" w:rsidRDefault="004A7BB9" w:rsidP="004A7BB9">
            <w:pPr>
              <w:tabs>
                <w:tab w:val="clear" w:pos="851"/>
              </w:tabs>
              <w:spacing w:after="0"/>
              <w:ind w:left="0"/>
              <w:jc w:val="left"/>
              <w:rPr>
                <w:rFonts w:cs="Arial"/>
                <w:color w:val="000000"/>
                <w:sz w:val="16"/>
                <w:szCs w:val="16"/>
              </w:rPr>
            </w:pPr>
            <w:r w:rsidRPr="00110F38">
              <w:rPr>
                <w:rFonts w:cs="Arial"/>
                <w:color w:val="000000"/>
                <w:sz w:val="16"/>
                <w:szCs w:val="16"/>
              </w:rPr>
              <w:t>ODI</w:t>
            </w:r>
          </w:p>
        </w:tc>
        <w:tc>
          <w:tcPr>
            <w:tcW w:w="960" w:type="dxa"/>
            <w:shd w:val="clear" w:color="auto" w:fill="auto"/>
            <w:noWrap/>
            <w:vAlign w:val="center"/>
            <w:hideMark/>
          </w:tcPr>
          <w:p w:rsidR="004A7BB9" w:rsidRPr="00110F38" w:rsidRDefault="00110F38" w:rsidP="004A7BB9">
            <w:pPr>
              <w:tabs>
                <w:tab w:val="clear" w:pos="851"/>
              </w:tabs>
              <w:spacing w:after="0"/>
              <w:ind w:left="0"/>
              <w:jc w:val="center"/>
              <w:rPr>
                <w:rFonts w:cs="Arial"/>
                <w:color w:val="000000"/>
                <w:sz w:val="16"/>
                <w:szCs w:val="16"/>
              </w:rPr>
            </w:pPr>
            <w:r w:rsidRPr="00110F38">
              <w:rPr>
                <w:rFonts w:cs="Arial"/>
                <w:color w:val="000000"/>
                <w:sz w:val="16"/>
                <w:szCs w:val="16"/>
              </w:rPr>
              <w:t>5.45%</w:t>
            </w:r>
          </w:p>
        </w:tc>
        <w:tc>
          <w:tcPr>
            <w:tcW w:w="960" w:type="dxa"/>
            <w:shd w:val="clear" w:color="auto" w:fill="auto"/>
            <w:noWrap/>
            <w:vAlign w:val="center"/>
            <w:hideMark/>
          </w:tcPr>
          <w:p w:rsidR="004A7BB9" w:rsidRPr="00110F38" w:rsidRDefault="00110F38" w:rsidP="004A7BB9">
            <w:pPr>
              <w:tabs>
                <w:tab w:val="clear" w:pos="851"/>
              </w:tabs>
              <w:spacing w:after="0"/>
              <w:ind w:left="0"/>
              <w:jc w:val="center"/>
              <w:rPr>
                <w:rFonts w:cs="Arial"/>
                <w:color w:val="000000"/>
                <w:sz w:val="16"/>
                <w:szCs w:val="16"/>
              </w:rPr>
            </w:pPr>
            <w:r w:rsidRPr="00110F38">
              <w:rPr>
                <w:rFonts w:cs="Arial"/>
                <w:color w:val="000000"/>
                <w:sz w:val="16"/>
                <w:szCs w:val="16"/>
              </w:rPr>
              <w:t>4.17%</w:t>
            </w:r>
          </w:p>
        </w:tc>
        <w:tc>
          <w:tcPr>
            <w:tcW w:w="960" w:type="dxa"/>
            <w:shd w:val="clear" w:color="auto" w:fill="auto"/>
            <w:noWrap/>
            <w:vAlign w:val="center"/>
            <w:hideMark/>
          </w:tcPr>
          <w:p w:rsidR="004A7BB9" w:rsidRPr="00110F38" w:rsidRDefault="00110F38" w:rsidP="004A7BB9">
            <w:pPr>
              <w:tabs>
                <w:tab w:val="clear" w:pos="851"/>
              </w:tabs>
              <w:spacing w:after="0"/>
              <w:ind w:left="0"/>
              <w:jc w:val="center"/>
              <w:rPr>
                <w:rFonts w:cs="Arial"/>
                <w:color w:val="000000"/>
                <w:sz w:val="16"/>
                <w:szCs w:val="16"/>
              </w:rPr>
            </w:pPr>
            <w:r w:rsidRPr="00110F38">
              <w:rPr>
                <w:rFonts w:cs="Arial"/>
                <w:color w:val="000000"/>
                <w:sz w:val="16"/>
                <w:szCs w:val="16"/>
              </w:rPr>
              <w:t>4.70%</w:t>
            </w:r>
          </w:p>
        </w:tc>
        <w:tc>
          <w:tcPr>
            <w:tcW w:w="960" w:type="dxa"/>
            <w:shd w:val="clear" w:color="auto" w:fill="auto"/>
            <w:noWrap/>
            <w:vAlign w:val="center"/>
            <w:hideMark/>
          </w:tcPr>
          <w:p w:rsidR="004A7BB9" w:rsidRPr="00110F38" w:rsidRDefault="00110F38" w:rsidP="004A7BB9">
            <w:pPr>
              <w:tabs>
                <w:tab w:val="clear" w:pos="851"/>
              </w:tabs>
              <w:spacing w:after="0"/>
              <w:ind w:left="0"/>
              <w:jc w:val="center"/>
              <w:rPr>
                <w:rFonts w:cs="Arial"/>
                <w:color w:val="000000"/>
                <w:sz w:val="16"/>
                <w:szCs w:val="16"/>
              </w:rPr>
            </w:pPr>
            <w:r w:rsidRPr="00110F38">
              <w:rPr>
                <w:rFonts w:cs="Arial"/>
                <w:color w:val="000000"/>
                <w:sz w:val="16"/>
                <w:szCs w:val="16"/>
              </w:rPr>
              <w:t>3.96%</w:t>
            </w:r>
          </w:p>
        </w:tc>
        <w:tc>
          <w:tcPr>
            <w:tcW w:w="960" w:type="dxa"/>
            <w:shd w:val="clear" w:color="auto" w:fill="auto"/>
            <w:noWrap/>
            <w:vAlign w:val="center"/>
            <w:hideMark/>
          </w:tcPr>
          <w:p w:rsidR="004A7BB9" w:rsidRPr="00110F38" w:rsidRDefault="00110F38" w:rsidP="004A7BB9">
            <w:pPr>
              <w:tabs>
                <w:tab w:val="clear" w:pos="851"/>
              </w:tabs>
              <w:spacing w:after="0"/>
              <w:ind w:left="0"/>
              <w:jc w:val="center"/>
              <w:rPr>
                <w:rFonts w:cs="Arial"/>
                <w:color w:val="000000"/>
                <w:sz w:val="16"/>
                <w:szCs w:val="16"/>
              </w:rPr>
            </w:pPr>
            <w:r w:rsidRPr="00110F38">
              <w:rPr>
                <w:rFonts w:cs="Arial"/>
                <w:color w:val="000000"/>
                <w:sz w:val="16"/>
                <w:szCs w:val="16"/>
              </w:rPr>
              <w:t>5.29%</w:t>
            </w:r>
          </w:p>
        </w:tc>
        <w:tc>
          <w:tcPr>
            <w:tcW w:w="960" w:type="dxa"/>
            <w:shd w:val="clear" w:color="auto" w:fill="auto"/>
            <w:noWrap/>
            <w:vAlign w:val="center"/>
            <w:hideMark/>
          </w:tcPr>
          <w:p w:rsidR="004A7BB9" w:rsidRPr="004A7BB9" w:rsidRDefault="00110F38" w:rsidP="004A7BB9">
            <w:pPr>
              <w:tabs>
                <w:tab w:val="clear" w:pos="851"/>
              </w:tabs>
              <w:spacing w:after="0"/>
              <w:ind w:left="0"/>
              <w:jc w:val="center"/>
              <w:rPr>
                <w:rFonts w:cs="Arial"/>
                <w:color w:val="000000"/>
                <w:sz w:val="16"/>
                <w:szCs w:val="16"/>
              </w:rPr>
            </w:pPr>
            <w:r>
              <w:rPr>
                <w:rFonts w:cs="Arial"/>
                <w:color w:val="000000"/>
                <w:sz w:val="16"/>
                <w:szCs w:val="16"/>
              </w:rPr>
              <w:t>4.47%</w:t>
            </w:r>
          </w:p>
        </w:tc>
      </w:tr>
      <w:tr w:rsidR="004A7BB9" w:rsidRPr="004A7BB9" w:rsidTr="004A7BB9">
        <w:trPr>
          <w:trHeight w:val="288"/>
        </w:trPr>
        <w:tc>
          <w:tcPr>
            <w:tcW w:w="2000" w:type="dxa"/>
            <w:shd w:val="clear" w:color="auto" w:fill="auto"/>
            <w:noWrap/>
            <w:vAlign w:val="center"/>
            <w:hideMark/>
          </w:tcPr>
          <w:p w:rsidR="004A7BB9" w:rsidRPr="004A7BB9" w:rsidRDefault="004A7BB9" w:rsidP="004A7BB9">
            <w:pPr>
              <w:tabs>
                <w:tab w:val="clear" w:pos="851"/>
              </w:tabs>
              <w:spacing w:after="0"/>
              <w:ind w:left="0"/>
              <w:jc w:val="left"/>
              <w:rPr>
                <w:rFonts w:cs="Arial"/>
                <w:color w:val="000000"/>
                <w:sz w:val="16"/>
                <w:szCs w:val="16"/>
              </w:rPr>
            </w:pPr>
            <w:r w:rsidRPr="004A7BB9">
              <w:rPr>
                <w:rFonts w:cs="Arial"/>
                <w:color w:val="000000"/>
                <w:sz w:val="16"/>
                <w:szCs w:val="16"/>
              </w:rPr>
              <w:t>C-Mex</w:t>
            </w: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color w:val="000000"/>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5.11%</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4.88%</w:t>
            </w:r>
          </w:p>
        </w:tc>
      </w:tr>
      <w:tr w:rsidR="004A7BB9" w:rsidRPr="004A7BB9" w:rsidTr="004A7BB9">
        <w:trPr>
          <w:trHeight w:val="288"/>
        </w:trPr>
        <w:tc>
          <w:tcPr>
            <w:tcW w:w="2000" w:type="dxa"/>
            <w:shd w:val="clear" w:color="auto" w:fill="auto"/>
            <w:noWrap/>
            <w:vAlign w:val="center"/>
            <w:hideMark/>
          </w:tcPr>
          <w:p w:rsidR="004A7BB9" w:rsidRPr="004A7BB9" w:rsidRDefault="004A7BB9" w:rsidP="004A7BB9">
            <w:pPr>
              <w:tabs>
                <w:tab w:val="clear" w:pos="851"/>
              </w:tabs>
              <w:spacing w:after="0"/>
              <w:ind w:left="0"/>
              <w:jc w:val="left"/>
              <w:rPr>
                <w:rFonts w:cs="Arial"/>
                <w:color w:val="000000"/>
                <w:sz w:val="16"/>
                <w:szCs w:val="16"/>
              </w:rPr>
            </w:pPr>
            <w:r w:rsidRPr="004A7BB9">
              <w:rPr>
                <w:rFonts w:cs="Arial"/>
                <w:color w:val="000000"/>
                <w:sz w:val="16"/>
                <w:szCs w:val="16"/>
              </w:rPr>
              <w:t>D-Mex</w:t>
            </w: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color w:val="000000"/>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4.43%</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4.31%</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4.95%</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4.85%</w:t>
            </w:r>
          </w:p>
        </w:tc>
      </w:tr>
      <w:tr w:rsidR="004A7BB9" w:rsidRPr="004A7BB9" w:rsidTr="004A7BB9">
        <w:trPr>
          <w:trHeight w:val="288"/>
        </w:trPr>
        <w:tc>
          <w:tcPr>
            <w:tcW w:w="2000" w:type="dxa"/>
            <w:shd w:val="clear" w:color="auto" w:fill="auto"/>
            <w:noWrap/>
            <w:vAlign w:val="center"/>
            <w:hideMark/>
          </w:tcPr>
          <w:p w:rsidR="004A7BB9" w:rsidRPr="004A7BB9" w:rsidRDefault="004A7BB9" w:rsidP="004A7BB9">
            <w:pPr>
              <w:tabs>
                <w:tab w:val="clear" w:pos="851"/>
              </w:tabs>
              <w:spacing w:after="0"/>
              <w:ind w:left="0"/>
              <w:jc w:val="left"/>
              <w:rPr>
                <w:rFonts w:cs="Arial"/>
                <w:color w:val="000000"/>
                <w:sz w:val="16"/>
                <w:szCs w:val="16"/>
              </w:rPr>
            </w:pPr>
            <w:r w:rsidRPr="004A7BB9">
              <w:rPr>
                <w:rFonts w:cs="Arial"/>
                <w:color w:val="000000"/>
                <w:sz w:val="16"/>
                <w:szCs w:val="16"/>
              </w:rPr>
              <w:t>Financing</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5.42%</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4.01%</w:t>
            </w: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color w:val="000000"/>
                <w:sz w:val="16"/>
                <w:szCs w:val="16"/>
              </w:rPr>
            </w:pPr>
          </w:p>
        </w:tc>
        <w:tc>
          <w:tcPr>
            <w:tcW w:w="960" w:type="dxa"/>
            <w:shd w:val="clear" w:color="auto" w:fill="F2F2F2" w:themeFill="background1" w:themeFillShade="F2"/>
            <w:noWrap/>
            <w:vAlign w:val="center"/>
            <w:hideMark/>
          </w:tcPr>
          <w:p w:rsidR="004A7BB9" w:rsidRPr="004A7BB9" w:rsidRDefault="004A7BB9" w:rsidP="004A7BB9">
            <w:pPr>
              <w:tabs>
                <w:tab w:val="clear" w:pos="851"/>
              </w:tabs>
              <w:spacing w:after="0"/>
              <w:ind w:left="0"/>
              <w:jc w:val="center"/>
              <w:rPr>
                <w:rFonts w:cs="Arial"/>
                <w:sz w:val="16"/>
                <w:szCs w:val="16"/>
              </w:rPr>
            </w:pP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4.99%</w:t>
            </w:r>
          </w:p>
        </w:tc>
        <w:tc>
          <w:tcPr>
            <w:tcW w:w="960" w:type="dxa"/>
            <w:shd w:val="clear" w:color="auto" w:fill="auto"/>
            <w:noWrap/>
            <w:vAlign w:val="center"/>
            <w:hideMark/>
          </w:tcPr>
          <w:p w:rsidR="004A7BB9" w:rsidRPr="004A7BB9" w:rsidRDefault="004A7BB9" w:rsidP="004A7BB9">
            <w:pPr>
              <w:tabs>
                <w:tab w:val="clear" w:pos="851"/>
              </w:tabs>
              <w:spacing w:after="0"/>
              <w:ind w:left="0"/>
              <w:jc w:val="center"/>
              <w:rPr>
                <w:rFonts w:cs="Arial"/>
                <w:color w:val="000000"/>
                <w:sz w:val="16"/>
                <w:szCs w:val="16"/>
              </w:rPr>
            </w:pPr>
            <w:r w:rsidRPr="004A7BB9">
              <w:rPr>
                <w:rFonts w:cs="Arial"/>
                <w:color w:val="000000"/>
                <w:sz w:val="16"/>
                <w:szCs w:val="16"/>
              </w:rPr>
              <w:t>4.77%</w:t>
            </w:r>
          </w:p>
        </w:tc>
      </w:tr>
      <w:tr w:rsidR="004E2B76" w:rsidRPr="004A7BB9" w:rsidTr="004A7BB9">
        <w:trPr>
          <w:trHeight w:val="288"/>
        </w:trPr>
        <w:tc>
          <w:tcPr>
            <w:tcW w:w="2000" w:type="dxa"/>
            <w:shd w:val="clear" w:color="auto" w:fill="auto"/>
            <w:noWrap/>
            <w:vAlign w:val="center"/>
          </w:tcPr>
          <w:p w:rsidR="004E2B76" w:rsidRPr="004A7BB9" w:rsidRDefault="004E2B76" w:rsidP="004A7BB9">
            <w:pPr>
              <w:tabs>
                <w:tab w:val="clear" w:pos="851"/>
              </w:tabs>
              <w:spacing w:after="0"/>
              <w:ind w:left="0"/>
              <w:jc w:val="left"/>
              <w:rPr>
                <w:rFonts w:cs="Arial"/>
                <w:color w:val="000000"/>
                <w:sz w:val="16"/>
                <w:szCs w:val="16"/>
              </w:rPr>
            </w:pPr>
            <w:r>
              <w:rPr>
                <w:rFonts w:cs="Arial"/>
                <w:color w:val="000000"/>
                <w:sz w:val="16"/>
                <w:szCs w:val="16"/>
              </w:rPr>
              <w:t>Revenue including WRFIM</w:t>
            </w:r>
          </w:p>
        </w:tc>
        <w:tc>
          <w:tcPr>
            <w:tcW w:w="960" w:type="dxa"/>
            <w:shd w:val="clear" w:color="auto" w:fill="auto"/>
            <w:noWrap/>
            <w:vAlign w:val="center"/>
          </w:tcPr>
          <w:p w:rsidR="004E2B76" w:rsidRPr="004A7BB9" w:rsidRDefault="004E2B76" w:rsidP="004A7BB9">
            <w:pPr>
              <w:tabs>
                <w:tab w:val="clear" w:pos="851"/>
              </w:tabs>
              <w:spacing w:after="0"/>
              <w:ind w:left="0"/>
              <w:jc w:val="center"/>
              <w:rPr>
                <w:rFonts w:cs="Arial"/>
                <w:color w:val="000000"/>
                <w:sz w:val="16"/>
                <w:szCs w:val="16"/>
              </w:rPr>
            </w:pPr>
            <w:r>
              <w:rPr>
                <w:rFonts w:cs="Arial"/>
                <w:color w:val="000000"/>
                <w:sz w:val="16"/>
                <w:szCs w:val="16"/>
              </w:rPr>
              <w:t>4.32%</w:t>
            </w:r>
          </w:p>
        </w:tc>
        <w:tc>
          <w:tcPr>
            <w:tcW w:w="960" w:type="dxa"/>
            <w:shd w:val="clear" w:color="auto" w:fill="auto"/>
            <w:noWrap/>
            <w:vAlign w:val="center"/>
          </w:tcPr>
          <w:p w:rsidR="004E2B76" w:rsidRPr="004A7BB9" w:rsidRDefault="004E2B76" w:rsidP="004A7BB9">
            <w:pPr>
              <w:tabs>
                <w:tab w:val="clear" w:pos="851"/>
              </w:tabs>
              <w:spacing w:after="0"/>
              <w:ind w:left="0"/>
              <w:jc w:val="center"/>
              <w:rPr>
                <w:rFonts w:cs="Arial"/>
                <w:color w:val="000000"/>
                <w:sz w:val="16"/>
                <w:szCs w:val="16"/>
              </w:rPr>
            </w:pPr>
            <w:r>
              <w:rPr>
                <w:rFonts w:cs="Arial"/>
                <w:color w:val="000000"/>
                <w:sz w:val="16"/>
                <w:szCs w:val="16"/>
              </w:rPr>
              <w:t>2.57%</w:t>
            </w:r>
          </w:p>
        </w:tc>
        <w:tc>
          <w:tcPr>
            <w:tcW w:w="960" w:type="dxa"/>
            <w:shd w:val="clear" w:color="auto" w:fill="F2F2F2" w:themeFill="background1" w:themeFillShade="F2"/>
            <w:noWrap/>
            <w:vAlign w:val="center"/>
          </w:tcPr>
          <w:p w:rsidR="004E2B76" w:rsidRPr="004A7BB9" w:rsidRDefault="004E2B76" w:rsidP="004A7BB9">
            <w:pPr>
              <w:tabs>
                <w:tab w:val="clear" w:pos="851"/>
              </w:tabs>
              <w:spacing w:after="0"/>
              <w:ind w:left="0"/>
              <w:jc w:val="center"/>
              <w:rPr>
                <w:rFonts w:cs="Arial"/>
                <w:color w:val="000000"/>
                <w:sz w:val="16"/>
                <w:szCs w:val="16"/>
              </w:rPr>
            </w:pPr>
            <w:r>
              <w:rPr>
                <w:rFonts w:cs="Arial"/>
                <w:color w:val="000000"/>
                <w:sz w:val="16"/>
                <w:szCs w:val="16"/>
              </w:rPr>
              <w:t>4.00%</w:t>
            </w:r>
          </w:p>
        </w:tc>
        <w:tc>
          <w:tcPr>
            <w:tcW w:w="960" w:type="dxa"/>
            <w:shd w:val="clear" w:color="auto" w:fill="F2F2F2" w:themeFill="background1" w:themeFillShade="F2"/>
            <w:noWrap/>
            <w:vAlign w:val="center"/>
          </w:tcPr>
          <w:p w:rsidR="004E2B76" w:rsidRPr="004A7BB9" w:rsidRDefault="004E2B76" w:rsidP="004A7BB9">
            <w:pPr>
              <w:tabs>
                <w:tab w:val="clear" w:pos="851"/>
              </w:tabs>
              <w:spacing w:after="0"/>
              <w:ind w:left="0"/>
              <w:jc w:val="center"/>
              <w:rPr>
                <w:rFonts w:cs="Arial"/>
                <w:sz w:val="16"/>
                <w:szCs w:val="16"/>
              </w:rPr>
            </w:pPr>
            <w:r>
              <w:rPr>
                <w:rFonts w:cs="Arial"/>
                <w:sz w:val="16"/>
                <w:szCs w:val="16"/>
              </w:rPr>
              <w:t>2.49%</w:t>
            </w:r>
          </w:p>
        </w:tc>
        <w:tc>
          <w:tcPr>
            <w:tcW w:w="960" w:type="dxa"/>
            <w:shd w:val="clear" w:color="auto" w:fill="auto"/>
            <w:noWrap/>
            <w:vAlign w:val="center"/>
          </w:tcPr>
          <w:p w:rsidR="004E2B76" w:rsidRPr="004A7BB9" w:rsidRDefault="004E2B76" w:rsidP="004A7BB9">
            <w:pPr>
              <w:tabs>
                <w:tab w:val="clear" w:pos="851"/>
              </w:tabs>
              <w:spacing w:after="0"/>
              <w:ind w:left="0"/>
              <w:jc w:val="center"/>
              <w:rPr>
                <w:rFonts w:cs="Arial"/>
                <w:color w:val="000000"/>
                <w:sz w:val="16"/>
                <w:szCs w:val="16"/>
              </w:rPr>
            </w:pPr>
            <w:r>
              <w:rPr>
                <w:rFonts w:cs="Arial"/>
                <w:color w:val="000000"/>
                <w:sz w:val="16"/>
                <w:szCs w:val="16"/>
              </w:rPr>
              <w:t>4.49%</w:t>
            </w:r>
          </w:p>
        </w:tc>
        <w:tc>
          <w:tcPr>
            <w:tcW w:w="960" w:type="dxa"/>
            <w:shd w:val="clear" w:color="auto" w:fill="auto"/>
            <w:noWrap/>
            <w:vAlign w:val="center"/>
          </w:tcPr>
          <w:p w:rsidR="004E2B76" w:rsidRPr="004A7BB9" w:rsidRDefault="004E2B76" w:rsidP="004A7BB9">
            <w:pPr>
              <w:tabs>
                <w:tab w:val="clear" w:pos="851"/>
              </w:tabs>
              <w:spacing w:after="0"/>
              <w:ind w:left="0"/>
              <w:jc w:val="center"/>
              <w:rPr>
                <w:rFonts w:cs="Arial"/>
                <w:color w:val="000000"/>
                <w:sz w:val="16"/>
                <w:szCs w:val="16"/>
              </w:rPr>
            </w:pPr>
            <w:r>
              <w:rPr>
                <w:rFonts w:cs="Arial"/>
                <w:color w:val="000000"/>
                <w:sz w:val="16"/>
                <w:szCs w:val="16"/>
              </w:rPr>
              <w:t>3.67%</w:t>
            </w:r>
          </w:p>
        </w:tc>
      </w:tr>
    </w:tbl>
    <w:p w:rsidR="004A7BB9" w:rsidRDefault="004A7BB9" w:rsidP="004E2B76">
      <w:pPr>
        <w:spacing w:after="0"/>
      </w:pPr>
    </w:p>
    <w:p w:rsidR="004A7BB9" w:rsidRPr="00474BB2" w:rsidRDefault="004A7BB9" w:rsidP="004A7BB9">
      <w:pPr>
        <w:rPr>
          <w:rFonts w:cs="Arial"/>
        </w:rPr>
      </w:pPr>
      <w:r w:rsidRPr="00474BB2">
        <w:rPr>
          <w:rFonts w:cs="Arial"/>
        </w:rPr>
        <w:t>These have been considered in terms of variance from the base RoRE:</w:t>
      </w:r>
    </w:p>
    <w:tbl>
      <w:tblPr>
        <w:tblW w:w="7034"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89"/>
        <w:gridCol w:w="890"/>
        <w:gridCol w:w="890"/>
        <w:gridCol w:w="889"/>
        <w:gridCol w:w="890"/>
        <w:gridCol w:w="890"/>
      </w:tblGrid>
      <w:tr w:rsidR="00231EB1" w:rsidRPr="004A7BB9" w:rsidTr="00231EB1">
        <w:trPr>
          <w:trHeight w:val="288"/>
        </w:trPr>
        <w:tc>
          <w:tcPr>
            <w:tcW w:w="1696" w:type="dxa"/>
            <w:shd w:val="clear" w:color="auto" w:fill="2E74B5" w:themeFill="accent1" w:themeFillShade="BF"/>
            <w:noWrap/>
            <w:vAlign w:val="bottom"/>
            <w:hideMark/>
          </w:tcPr>
          <w:p w:rsidR="00231EB1" w:rsidRPr="004A7BB9" w:rsidRDefault="00231EB1" w:rsidP="004A7BB9">
            <w:pPr>
              <w:tabs>
                <w:tab w:val="clear" w:pos="851"/>
              </w:tabs>
              <w:spacing w:after="0"/>
              <w:ind w:left="0"/>
              <w:jc w:val="left"/>
              <w:rPr>
                <w:rFonts w:cs="Arial"/>
                <w:color w:val="FFFFFF" w:themeColor="background1"/>
                <w:sz w:val="16"/>
                <w:szCs w:val="16"/>
              </w:rPr>
            </w:pPr>
            <w:r w:rsidRPr="004A7BB9">
              <w:rPr>
                <w:rFonts w:cs="Arial"/>
                <w:color w:val="FFFFFF" w:themeColor="background1"/>
                <w:sz w:val="16"/>
                <w:szCs w:val="16"/>
              </w:rPr>
              <w:t xml:space="preserve">RoRE Average </w:t>
            </w:r>
          </w:p>
        </w:tc>
        <w:tc>
          <w:tcPr>
            <w:tcW w:w="1779" w:type="dxa"/>
            <w:gridSpan w:val="2"/>
            <w:shd w:val="clear" w:color="auto" w:fill="2E74B5" w:themeFill="accent1" w:themeFillShade="BF"/>
            <w:noWrap/>
            <w:vAlign w:val="bottom"/>
            <w:hideMark/>
          </w:tcPr>
          <w:p w:rsidR="00231EB1" w:rsidRPr="004A7BB9" w:rsidRDefault="00231EB1"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Water Resources</w:t>
            </w:r>
          </w:p>
        </w:tc>
        <w:tc>
          <w:tcPr>
            <w:tcW w:w="1779" w:type="dxa"/>
            <w:gridSpan w:val="2"/>
            <w:shd w:val="clear" w:color="auto" w:fill="2E74B5" w:themeFill="accent1" w:themeFillShade="BF"/>
            <w:noWrap/>
            <w:vAlign w:val="bottom"/>
            <w:hideMark/>
          </w:tcPr>
          <w:p w:rsidR="00231EB1" w:rsidRPr="004A7BB9" w:rsidRDefault="00231EB1"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Network Plus</w:t>
            </w:r>
          </w:p>
        </w:tc>
        <w:tc>
          <w:tcPr>
            <w:tcW w:w="1780" w:type="dxa"/>
            <w:gridSpan w:val="2"/>
            <w:shd w:val="clear" w:color="auto" w:fill="2E74B5" w:themeFill="accent1" w:themeFillShade="BF"/>
            <w:noWrap/>
            <w:vAlign w:val="bottom"/>
            <w:hideMark/>
          </w:tcPr>
          <w:p w:rsidR="00231EB1" w:rsidRPr="004A7BB9" w:rsidRDefault="00231EB1" w:rsidP="004A7BB9">
            <w:pPr>
              <w:tabs>
                <w:tab w:val="clear" w:pos="851"/>
              </w:tabs>
              <w:spacing w:after="0"/>
              <w:ind w:left="0"/>
              <w:jc w:val="center"/>
              <w:rPr>
                <w:rFonts w:cs="Arial"/>
                <w:color w:val="FFFFFF" w:themeColor="background1"/>
                <w:sz w:val="16"/>
                <w:szCs w:val="16"/>
              </w:rPr>
            </w:pPr>
            <w:r w:rsidRPr="004A7BB9">
              <w:rPr>
                <w:rFonts w:cs="Arial"/>
                <w:color w:val="FFFFFF" w:themeColor="background1"/>
                <w:sz w:val="16"/>
                <w:szCs w:val="16"/>
              </w:rPr>
              <w:t>Appointee</w:t>
            </w:r>
          </w:p>
        </w:tc>
      </w:tr>
      <w:tr w:rsidR="00231EB1" w:rsidRPr="004A7BB9" w:rsidTr="00231EB1">
        <w:trPr>
          <w:trHeight w:val="288"/>
        </w:trPr>
        <w:tc>
          <w:tcPr>
            <w:tcW w:w="1696" w:type="dxa"/>
            <w:shd w:val="clear" w:color="auto" w:fill="2E74B5" w:themeFill="accent1" w:themeFillShade="BF"/>
            <w:noWrap/>
            <w:vAlign w:val="bottom"/>
            <w:hideMark/>
          </w:tcPr>
          <w:p w:rsidR="00231EB1" w:rsidRPr="004A7BB9" w:rsidRDefault="00231EB1" w:rsidP="004A7BB9">
            <w:pPr>
              <w:tabs>
                <w:tab w:val="clear" w:pos="851"/>
              </w:tabs>
              <w:spacing w:after="0"/>
              <w:ind w:left="0"/>
              <w:jc w:val="left"/>
              <w:rPr>
                <w:rFonts w:cs="Arial"/>
                <w:color w:val="FFFFFF" w:themeColor="background1"/>
                <w:sz w:val="16"/>
                <w:szCs w:val="16"/>
              </w:rPr>
            </w:pPr>
            <w:r w:rsidRPr="004A7BB9">
              <w:rPr>
                <w:rFonts w:cs="Arial"/>
                <w:color w:val="FFFFFF" w:themeColor="background1"/>
                <w:sz w:val="16"/>
                <w:szCs w:val="16"/>
              </w:rPr>
              <w:t>Movement from Base Case</w:t>
            </w:r>
          </w:p>
        </w:tc>
        <w:tc>
          <w:tcPr>
            <w:tcW w:w="889" w:type="dxa"/>
            <w:shd w:val="clear" w:color="auto" w:fill="2E74B5" w:themeFill="accent1" w:themeFillShade="BF"/>
            <w:noWrap/>
            <w:vAlign w:val="bottom"/>
            <w:hideMark/>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Upside</w:t>
            </w:r>
          </w:p>
        </w:tc>
        <w:tc>
          <w:tcPr>
            <w:tcW w:w="890" w:type="dxa"/>
            <w:shd w:val="clear" w:color="auto" w:fill="2E74B5" w:themeFill="accent1" w:themeFillShade="BF"/>
            <w:noWrap/>
            <w:vAlign w:val="bottom"/>
            <w:hideMark/>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Downside</w:t>
            </w:r>
          </w:p>
        </w:tc>
        <w:tc>
          <w:tcPr>
            <w:tcW w:w="890" w:type="dxa"/>
            <w:shd w:val="clear" w:color="auto" w:fill="2E74B5" w:themeFill="accent1" w:themeFillShade="BF"/>
            <w:noWrap/>
            <w:vAlign w:val="bottom"/>
            <w:hideMark/>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Upside</w:t>
            </w:r>
          </w:p>
        </w:tc>
        <w:tc>
          <w:tcPr>
            <w:tcW w:w="889" w:type="dxa"/>
            <w:shd w:val="clear" w:color="auto" w:fill="2E74B5" w:themeFill="accent1" w:themeFillShade="BF"/>
            <w:noWrap/>
            <w:vAlign w:val="bottom"/>
            <w:hideMark/>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Downside</w:t>
            </w:r>
          </w:p>
        </w:tc>
        <w:tc>
          <w:tcPr>
            <w:tcW w:w="890" w:type="dxa"/>
            <w:shd w:val="clear" w:color="auto" w:fill="2E74B5" w:themeFill="accent1" w:themeFillShade="BF"/>
            <w:noWrap/>
            <w:vAlign w:val="bottom"/>
            <w:hideMark/>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Upside</w:t>
            </w:r>
          </w:p>
        </w:tc>
        <w:tc>
          <w:tcPr>
            <w:tcW w:w="890" w:type="dxa"/>
            <w:shd w:val="clear" w:color="auto" w:fill="2E74B5" w:themeFill="accent1" w:themeFillShade="BF"/>
            <w:noWrap/>
            <w:vAlign w:val="bottom"/>
            <w:hideMark/>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Downside</w:t>
            </w:r>
          </w:p>
        </w:tc>
      </w:tr>
      <w:tr w:rsidR="00231EB1" w:rsidRPr="004A7BB9" w:rsidTr="00231EB1">
        <w:trPr>
          <w:trHeight w:val="288"/>
        </w:trPr>
        <w:tc>
          <w:tcPr>
            <w:tcW w:w="1696" w:type="dxa"/>
            <w:shd w:val="clear" w:color="auto" w:fill="auto"/>
            <w:noWrap/>
            <w:vAlign w:val="center"/>
            <w:hideMark/>
          </w:tcPr>
          <w:p w:rsidR="00231EB1" w:rsidRPr="004A7BB9" w:rsidRDefault="00231EB1" w:rsidP="004A7BB9">
            <w:pPr>
              <w:tabs>
                <w:tab w:val="clear" w:pos="851"/>
              </w:tabs>
              <w:spacing w:after="0"/>
              <w:ind w:left="0"/>
              <w:jc w:val="left"/>
              <w:rPr>
                <w:rFonts w:cs="Arial"/>
                <w:color w:val="000000"/>
                <w:sz w:val="16"/>
                <w:szCs w:val="16"/>
              </w:rPr>
            </w:pPr>
            <w:r w:rsidRPr="004A7BB9">
              <w:rPr>
                <w:rFonts w:cs="Arial"/>
                <w:color w:val="000000"/>
                <w:sz w:val="16"/>
                <w:szCs w:val="16"/>
              </w:rPr>
              <w:t>Revenue</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0.48%</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-0.35%</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0.42%</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-0.31%</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0.43%</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-0.31%</w:t>
            </w:r>
          </w:p>
        </w:tc>
      </w:tr>
      <w:tr w:rsidR="00231EB1" w:rsidRPr="004A7BB9" w:rsidTr="00231EB1">
        <w:trPr>
          <w:trHeight w:val="288"/>
        </w:trPr>
        <w:tc>
          <w:tcPr>
            <w:tcW w:w="1696" w:type="dxa"/>
            <w:shd w:val="clear" w:color="auto" w:fill="auto"/>
            <w:noWrap/>
            <w:vAlign w:val="center"/>
            <w:hideMark/>
          </w:tcPr>
          <w:p w:rsidR="00231EB1" w:rsidRPr="004A7BB9" w:rsidRDefault="00231EB1" w:rsidP="004A7BB9">
            <w:pPr>
              <w:tabs>
                <w:tab w:val="clear" w:pos="851"/>
              </w:tabs>
              <w:spacing w:after="0"/>
              <w:ind w:left="0"/>
              <w:jc w:val="left"/>
              <w:rPr>
                <w:rFonts w:cs="Arial"/>
                <w:color w:val="000000"/>
                <w:sz w:val="16"/>
                <w:szCs w:val="16"/>
              </w:rPr>
            </w:pPr>
            <w:r w:rsidRPr="004A7BB9">
              <w:rPr>
                <w:rFonts w:cs="Arial"/>
                <w:color w:val="000000"/>
                <w:sz w:val="16"/>
                <w:szCs w:val="16"/>
              </w:rPr>
              <w:t>Bulk supply revenue</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1.00%</w:t>
            </w:r>
          </w:p>
        </w:tc>
        <w:tc>
          <w:tcPr>
            <w:tcW w:w="890" w:type="dxa"/>
            <w:shd w:val="clear" w:color="auto" w:fill="auto"/>
            <w:noWrap/>
            <w:vAlign w:val="center"/>
            <w:hideMark/>
          </w:tcPr>
          <w:p w:rsidR="00231EB1" w:rsidRPr="004A7BB9" w:rsidRDefault="00110F38" w:rsidP="004A7BB9">
            <w:pPr>
              <w:tabs>
                <w:tab w:val="clear" w:pos="851"/>
              </w:tabs>
              <w:spacing w:after="0"/>
              <w:ind w:left="0"/>
              <w:jc w:val="center"/>
              <w:rPr>
                <w:rFonts w:cs="Arial"/>
                <w:color w:val="000000"/>
                <w:sz w:val="16"/>
                <w:szCs w:val="16"/>
              </w:rPr>
            </w:pPr>
            <w:r>
              <w:rPr>
                <w:rFonts w:cs="Arial"/>
                <w:color w:val="000000"/>
                <w:sz w:val="16"/>
                <w:szCs w:val="16"/>
              </w:rPr>
              <w:t>-</w:t>
            </w:r>
            <w:r w:rsidR="00231EB1" w:rsidRPr="004A7BB9">
              <w:rPr>
                <w:rFonts w:cs="Arial"/>
                <w:color w:val="000000"/>
                <w:sz w:val="16"/>
                <w:szCs w:val="16"/>
              </w:rPr>
              <w:t>0.05%</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0.16%</w:t>
            </w:r>
          </w:p>
        </w:tc>
        <w:tc>
          <w:tcPr>
            <w:tcW w:w="890" w:type="dxa"/>
            <w:shd w:val="clear" w:color="auto" w:fill="auto"/>
            <w:noWrap/>
            <w:vAlign w:val="center"/>
            <w:hideMark/>
          </w:tcPr>
          <w:p w:rsidR="00231EB1" w:rsidRPr="004A7BB9" w:rsidRDefault="00110F38" w:rsidP="004A7BB9">
            <w:pPr>
              <w:tabs>
                <w:tab w:val="clear" w:pos="851"/>
              </w:tabs>
              <w:spacing w:after="0"/>
              <w:ind w:left="0"/>
              <w:jc w:val="center"/>
              <w:rPr>
                <w:rFonts w:cs="Arial"/>
                <w:color w:val="000000"/>
                <w:sz w:val="16"/>
                <w:szCs w:val="16"/>
              </w:rPr>
            </w:pPr>
            <w:r>
              <w:rPr>
                <w:rFonts w:cs="Arial"/>
                <w:color w:val="000000"/>
                <w:sz w:val="16"/>
                <w:szCs w:val="16"/>
              </w:rPr>
              <w:t>-</w:t>
            </w:r>
            <w:r w:rsidR="00231EB1" w:rsidRPr="004A7BB9">
              <w:rPr>
                <w:rFonts w:cs="Arial"/>
                <w:color w:val="000000"/>
                <w:sz w:val="16"/>
                <w:szCs w:val="16"/>
              </w:rPr>
              <w:t>0.01%</w:t>
            </w:r>
          </w:p>
        </w:tc>
      </w:tr>
      <w:tr w:rsidR="00231EB1" w:rsidRPr="004A7BB9" w:rsidTr="00231EB1">
        <w:trPr>
          <w:trHeight w:val="288"/>
        </w:trPr>
        <w:tc>
          <w:tcPr>
            <w:tcW w:w="1696" w:type="dxa"/>
            <w:shd w:val="clear" w:color="auto" w:fill="auto"/>
            <w:noWrap/>
            <w:vAlign w:val="center"/>
            <w:hideMark/>
          </w:tcPr>
          <w:p w:rsidR="00231EB1" w:rsidRPr="004A7BB9" w:rsidRDefault="00231EB1" w:rsidP="004A7BB9">
            <w:pPr>
              <w:tabs>
                <w:tab w:val="clear" w:pos="851"/>
              </w:tabs>
              <w:spacing w:after="0"/>
              <w:ind w:left="0"/>
              <w:jc w:val="left"/>
              <w:rPr>
                <w:rFonts w:cs="Arial"/>
                <w:color w:val="000000"/>
                <w:sz w:val="16"/>
                <w:szCs w:val="16"/>
              </w:rPr>
            </w:pPr>
            <w:r w:rsidRPr="004A7BB9">
              <w:rPr>
                <w:rFonts w:cs="Arial"/>
                <w:color w:val="000000"/>
                <w:sz w:val="16"/>
                <w:szCs w:val="16"/>
              </w:rPr>
              <w:t>Retail Revenue</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0.06%</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-0.04%</w:t>
            </w:r>
          </w:p>
        </w:tc>
      </w:tr>
      <w:tr w:rsidR="00231EB1" w:rsidRPr="004A7BB9" w:rsidTr="00231EB1">
        <w:trPr>
          <w:trHeight w:val="288"/>
        </w:trPr>
        <w:tc>
          <w:tcPr>
            <w:tcW w:w="1696" w:type="dxa"/>
            <w:shd w:val="clear" w:color="auto" w:fill="auto"/>
            <w:noWrap/>
            <w:vAlign w:val="center"/>
            <w:hideMark/>
          </w:tcPr>
          <w:p w:rsidR="00231EB1" w:rsidRPr="004A7BB9" w:rsidRDefault="00231EB1" w:rsidP="004A7BB9">
            <w:pPr>
              <w:tabs>
                <w:tab w:val="clear" w:pos="851"/>
              </w:tabs>
              <w:spacing w:after="0"/>
              <w:ind w:left="0"/>
              <w:jc w:val="left"/>
              <w:rPr>
                <w:rFonts w:cs="Arial"/>
                <w:color w:val="000000"/>
                <w:sz w:val="16"/>
                <w:szCs w:val="16"/>
              </w:rPr>
            </w:pPr>
            <w:r w:rsidRPr="004A7BB9">
              <w:rPr>
                <w:rFonts w:cs="Arial"/>
                <w:color w:val="000000"/>
                <w:sz w:val="16"/>
                <w:szCs w:val="16"/>
              </w:rPr>
              <w:t>Retail Cost</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0.04%</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-0.03%</w:t>
            </w:r>
          </w:p>
        </w:tc>
      </w:tr>
      <w:tr w:rsidR="00231EB1" w:rsidRPr="004A7BB9" w:rsidTr="00231EB1">
        <w:trPr>
          <w:trHeight w:val="288"/>
        </w:trPr>
        <w:tc>
          <w:tcPr>
            <w:tcW w:w="1696" w:type="dxa"/>
            <w:shd w:val="clear" w:color="auto" w:fill="auto"/>
            <w:noWrap/>
            <w:vAlign w:val="center"/>
            <w:hideMark/>
          </w:tcPr>
          <w:p w:rsidR="00231EB1" w:rsidRPr="004A7BB9" w:rsidRDefault="00231EB1" w:rsidP="004A7BB9">
            <w:pPr>
              <w:tabs>
                <w:tab w:val="clear" w:pos="851"/>
              </w:tabs>
              <w:spacing w:after="0"/>
              <w:ind w:left="0"/>
              <w:jc w:val="left"/>
              <w:rPr>
                <w:rFonts w:cs="Arial"/>
                <w:color w:val="000000"/>
                <w:sz w:val="16"/>
                <w:szCs w:val="16"/>
              </w:rPr>
            </w:pPr>
            <w:r w:rsidRPr="004A7BB9">
              <w:rPr>
                <w:rFonts w:cs="Arial"/>
                <w:color w:val="000000"/>
                <w:sz w:val="16"/>
                <w:szCs w:val="16"/>
              </w:rPr>
              <w:t>Costs</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1.20%</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-0.75%</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0.32%</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-0.20%</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0.45%</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-0.28%</w:t>
            </w:r>
          </w:p>
        </w:tc>
      </w:tr>
      <w:tr w:rsidR="00231EB1" w:rsidRPr="004A7BB9" w:rsidTr="00231EB1">
        <w:trPr>
          <w:trHeight w:val="288"/>
        </w:trPr>
        <w:tc>
          <w:tcPr>
            <w:tcW w:w="1696" w:type="dxa"/>
            <w:shd w:val="clear" w:color="auto" w:fill="auto"/>
            <w:noWrap/>
            <w:vAlign w:val="center"/>
            <w:hideMark/>
          </w:tcPr>
          <w:p w:rsidR="00231EB1" w:rsidRPr="004A7BB9" w:rsidRDefault="00231EB1" w:rsidP="004A7BB9">
            <w:pPr>
              <w:tabs>
                <w:tab w:val="clear" w:pos="851"/>
              </w:tabs>
              <w:spacing w:after="0"/>
              <w:ind w:left="0"/>
              <w:jc w:val="left"/>
              <w:rPr>
                <w:rFonts w:cs="Arial"/>
                <w:color w:val="000000"/>
                <w:sz w:val="16"/>
                <w:szCs w:val="16"/>
              </w:rPr>
            </w:pPr>
            <w:r w:rsidRPr="004A7BB9">
              <w:rPr>
                <w:rFonts w:cs="Arial"/>
                <w:color w:val="000000"/>
                <w:sz w:val="16"/>
                <w:szCs w:val="16"/>
              </w:rPr>
              <w:t>ODI</w:t>
            </w:r>
          </w:p>
        </w:tc>
        <w:tc>
          <w:tcPr>
            <w:tcW w:w="889" w:type="dxa"/>
            <w:shd w:val="clear" w:color="auto" w:fill="auto"/>
            <w:noWrap/>
            <w:vAlign w:val="center"/>
            <w:hideMark/>
          </w:tcPr>
          <w:p w:rsidR="00231EB1" w:rsidRPr="00B15756" w:rsidRDefault="00B15756" w:rsidP="004A7BB9">
            <w:pPr>
              <w:tabs>
                <w:tab w:val="clear" w:pos="851"/>
              </w:tabs>
              <w:spacing w:after="0"/>
              <w:ind w:left="0"/>
              <w:jc w:val="center"/>
              <w:rPr>
                <w:rFonts w:cs="Arial"/>
                <w:color w:val="000000"/>
                <w:sz w:val="16"/>
                <w:szCs w:val="16"/>
              </w:rPr>
            </w:pPr>
            <w:r>
              <w:rPr>
                <w:rFonts w:cs="Arial"/>
                <w:color w:val="000000"/>
                <w:sz w:val="16"/>
                <w:szCs w:val="16"/>
              </w:rPr>
              <w:t>0.73%</w:t>
            </w:r>
          </w:p>
        </w:tc>
        <w:tc>
          <w:tcPr>
            <w:tcW w:w="890" w:type="dxa"/>
            <w:shd w:val="clear" w:color="auto" w:fill="auto"/>
            <w:noWrap/>
            <w:vAlign w:val="center"/>
            <w:hideMark/>
          </w:tcPr>
          <w:p w:rsidR="00231EB1" w:rsidRPr="00B15756" w:rsidRDefault="00B15756" w:rsidP="004A7BB9">
            <w:pPr>
              <w:tabs>
                <w:tab w:val="clear" w:pos="851"/>
              </w:tabs>
              <w:spacing w:after="0"/>
              <w:ind w:left="0"/>
              <w:jc w:val="center"/>
              <w:rPr>
                <w:rFonts w:cs="Arial"/>
                <w:color w:val="000000"/>
                <w:sz w:val="16"/>
                <w:szCs w:val="16"/>
              </w:rPr>
            </w:pPr>
            <w:r>
              <w:rPr>
                <w:rFonts w:cs="Arial"/>
                <w:color w:val="000000"/>
                <w:sz w:val="16"/>
                <w:szCs w:val="16"/>
              </w:rPr>
              <w:t>-0.55%</w:t>
            </w:r>
          </w:p>
        </w:tc>
        <w:tc>
          <w:tcPr>
            <w:tcW w:w="890" w:type="dxa"/>
            <w:shd w:val="clear" w:color="auto" w:fill="auto"/>
            <w:noWrap/>
            <w:vAlign w:val="center"/>
            <w:hideMark/>
          </w:tcPr>
          <w:p w:rsidR="00231EB1" w:rsidRPr="00B15756" w:rsidRDefault="00B15756" w:rsidP="004A7BB9">
            <w:pPr>
              <w:tabs>
                <w:tab w:val="clear" w:pos="851"/>
              </w:tabs>
              <w:spacing w:after="0"/>
              <w:ind w:left="0"/>
              <w:jc w:val="center"/>
              <w:rPr>
                <w:rFonts w:cs="Arial"/>
                <w:color w:val="000000"/>
                <w:sz w:val="16"/>
                <w:szCs w:val="16"/>
              </w:rPr>
            </w:pPr>
            <w:r>
              <w:rPr>
                <w:rFonts w:cs="Arial"/>
                <w:color w:val="000000"/>
                <w:sz w:val="16"/>
                <w:szCs w:val="16"/>
              </w:rPr>
              <w:t>0.35%</w:t>
            </w:r>
          </w:p>
        </w:tc>
        <w:tc>
          <w:tcPr>
            <w:tcW w:w="889" w:type="dxa"/>
            <w:shd w:val="clear" w:color="auto" w:fill="auto"/>
            <w:noWrap/>
            <w:vAlign w:val="center"/>
            <w:hideMark/>
          </w:tcPr>
          <w:p w:rsidR="00231EB1" w:rsidRPr="00B15756" w:rsidRDefault="00B15756" w:rsidP="004A7BB9">
            <w:pPr>
              <w:tabs>
                <w:tab w:val="clear" w:pos="851"/>
              </w:tabs>
              <w:spacing w:after="0"/>
              <w:ind w:left="0"/>
              <w:jc w:val="center"/>
              <w:rPr>
                <w:rFonts w:cs="Arial"/>
                <w:color w:val="000000"/>
                <w:sz w:val="16"/>
                <w:szCs w:val="16"/>
              </w:rPr>
            </w:pPr>
            <w:r>
              <w:rPr>
                <w:rFonts w:cs="Arial"/>
                <w:color w:val="000000"/>
                <w:sz w:val="16"/>
                <w:szCs w:val="16"/>
              </w:rPr>
              <w:t>-0.39%</w:t>
            </w:r>
          </w:p>
        </w:tc>
        <w:tc>
          <w:tcPr>
            <w:tcW w:w="890" w:type="dxa"/>
            <w:shd w:val="clear" w:color="auto" w:fill="auto"/>
            <w:noWrap/>
            <w:vAlign w:val="center"/>
            <w:hideMark/>
          </w:tcPr>
          <w:p w:rsidR="00231EB1" w:rsidRPr="00B15756" w:rsidRDefault="00B15756" w:rsidP="004A7BB9">
            <w:pPr>
              <w:tabs>
                <w:tab w:val="clear" w:pos="851"/>
              </w:tabs>
              <w:spacing w:after="0"/>
              <w:ind w:left="0"/>
              <w:jc w:val="center"/>
              <w:rPr>
                <w:rFonts w:cs="Arial"/>
                <w:color w:val="000000"/>
                <w:sz w:val="16"/>
                <w:szCs w:val="16"/>
              </w:rPr>
            </w:pPr>
            <w:r>
              <w:rPr>
                <w:rFonts w:cs="Arial"/>
                <w:color w:val="000000"/>
                <w:sz w:val="16"/>
                <w:szCs w:val="16"/>
              </w:rPr>
              <w:t>0.41%</w:t>
            </w:r>
          </w:p>
        </w:tc>
        <w:tc>
          <w:tcPr>
            <w:tcW w:w="890" w:type="dxa"/>
            <w:shd w:val="clear" w:color="auto" w:fill="auto"/>
            <w:noWrap/>
            <w:vAlign w:val="center"/>
            <w:hideMark/>
          </w:tcPr>
          <w:p w:rsidR="00231EB1" w:rsidRPr="00B15756" w:rsidRDefault="00B15756" w:rsidP="004A7BB9">
            <w:pPr>
              <w:tabs>
                <w:tab w:val="clear" w:pos="851"/>
              </w:tabs>
              <w:spacing w:after="0"/>
              <w:ind w:left="0"/>
              <w:jc w:val="center"/>
              <w:rPr>
                <w:rFonts w:cs="Arial"/>
                <w:color w:val="000000"/>
                <w:sz w:val="16"/>
                <w:szCs w:val="16"/>
              </w:rPr>
            </w:pPr>
            <w:r>
              <w:rPr>
                <w:rFonts w:cs="Arial"/>
                <w:color w:val="000000"/>
                <w:sz w:val="16"/>
                <w:szCs w:val="16"/>
              </w:rPr>
              <w:t>-0.41%</w:t>
            </w:r>
          </w:p>
        </w:tc>
      </w:tr>
      <w:tr w:rsidR="00231EB1" w:rsidRPr="004A7BB9" w:rsidTr="00231EB1">
        <w:trPr>
          <w:trHeight w:val="288"/>
        </w:trPr>
        <w:tc>
          <w:tcPr>
            <w:tcW w:w="1696" w:type="dxa"/>
            <w:shd w:val="clear" w:color="auto" w:fill="auto"/>
            <w:noWrap/>
            <w:vAlign w:val="center"/>
            <w:hideMark/>
          </w:tcPr>
          <w:p w:rsidR="00231EB1" w:rsidRPr="004A7BB9" w:rsidRDefault="00231EB1" w:rsidP="004A7BB9">
            <w:pPr>
              <w:tabs>
                <w:tab w:val="clear" w:pos="851"/>
              </w:tabs>
              <w:spacing w:after="0"/>
              <w:ind w:left="0"/>
              <w:jc w:val="left"/>
              <w:rPr>
                <w:rFonts w:cs="Arial"/>
                <w:color w:val="000000"/>
                <w:sz w:val="16"/>
                <w:szCs w:val="16"/>
              </w:rPr>
            </w:pPr>
            <w:r w:rsidRPr="004A7BB9">
              <w:rPr>
                <w:rFonts w:cs="Arial"/>
                <w:color w:val="000000"/>
                <w:sz w:val="16"/>
                <w:szCs w:val="16"/>
              </w:rPr>
              <w:t>C-Mex</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0.23%</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0.00%</w:t>
            </w:r>
          </w:p>
        </w:tc>
      </w:tr>
      <w:tr w:rsidR="00231EB1" w:rsidRPr="004A7BB9" w:rsidTr="00231EB1">
        <w:trPr>
          <w:trHeight w:val="288"/>
        </w:trPr>
        <w:tc>
          <w:tcPr>
            <w:tcW w:w="1696" w:type="dxa"/>
            <w:shd w:val="clear" w:color="auto" w:fill="auto"/>
            <w:noWrap/>
            <w:vAlign w:val="center"/>
            <w:hideMark/>
          </w:tcPr>
          <w:p w:rsidR="00231EB1" w:rsidRPr="004A7BB9" w:rsidRDefault="00231EB1" w:rsidP="004A7BB9">
            <w:pPr>
              <w:tabs>
                <w:tab w:val="clear" w:pos="851"/>
              </w:tabs>
              <w:spacing w:after="0"/>
              <w:ind w:left="0"/>
              <w:jc w:val="left"/>
              <w:rPr>
                <w:rFonts w:cs="Arial"/>
                <w:color w:val="000000"/>
                <w:sz w:val="16"/>
                <w:szCs w:val="16"/>
              </w:rPr>
            </w:pPr>
            <w:r w:rsidRPr="004A7BB9">
              <w:rPr>
                <w:rFonts w:cs="Arial"/>
                <w:color w:val="000000"/>
                <w:sz w:val="16"/>
                <w:szCs w:val="16"/>
              </w:rPr>
              <w:t>D-Mex</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0.08%</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-0.04%</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0.07%</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-0.04%</w:t>
            </w:r>
          </w:p>
        </w:tc>
      </w:tr>
      <w:tr w:rsidR="00231EB1" w:rsidRPr="004A7BB9" w:rsidTr="00231EB1">
        <w:trPr>
          <w:trHeight w:val="288"/>
        </w:trPr>
        <w:tc>
          <w:tcPr>
            <w:tcW w:w="1696" w:type="dxa"/>
            <w:shd w:val="clear" w:color="auto" w:fill="auto"/>
            <w:noWrap/>
            <w:vAlign w:val="center"/>
            <w:hideMark/>
          </w:tcPr>
          <w:p w:rsidR="00231EB1" w:rsidRPr="004A7BB9" w:rsidRDefault="00231EB1" w:rsidP="004A7BB9">
            <w:pPr>
              <w:tabs>
                <w:tab w:val="clear" w:pos="851"/>
              </w:tabs>
              <w:spacing w:after="0"/>
              <w:ind w:left="0"/>
              <w:jc w:val="left"/>
              <w:rPr>
                <w:rFonts w:cs="Arial"/>
                <w:color w:val="000000"/>
                <w:sz w:val="16"/>
                <w:szCs w:val="16"/>
              </w:rPr>
            </w:pPr>
            <w:r w:rsidRPr="004A7BB9">
              <w:rPr>
                <w:rFonts w:cs="Arial"/>
                <w:color w:val="000000"/>
                <w:sz w:val="16"/>
                <w:szCs w:val="16"/>
              </w:rPr>
              <w:t>Financing</w:t>
            </w: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0.70%</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-0.70%</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p>
        </w:tc>
        <w:tc>
          <w:tcPr>
            <w:tcW w:w="889" w:type="dxa"/>
            <w:shd w:val="clear" w:color="auto" w:fill="auto"/>
            <w:noWrap/>
            <w:vAlign w:val="center"/>
            <w:hideMark/>
          </w:tcPr>
          <w:p w:rsidR="00231EB1" w:rsidRPr="004A7BB9" w:rsidRDefault="00231EB1" w:rsidP="004A7BB9">
            <w:pPr>
              <w:tabs>
                <w:tab w:val="clear" w:pos="851"/>
              </w:tabs>
              <w:spacing w:after="0"/>
              <w:ind w:left="0"/>
              <w:jc w:val="center"/>
              <w:rPr>
                <w:rFonts w:cs="Arial"/>
                <w:sz w:val="16"/>
                <w:szCs w:val="16"/>
              </w:rPr>
            </w:pP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0.11%</w:t>
            </w:r>
          </w:p>
        </w:tc>
        <w:tc>
          <w:tcPr>
            <w:tcW w:w="890" w:type="dxa"/>
            <w:shd w:val="clear" w:color="auto" w:fill="auto"/>
            <w:noWrap/>
            <w:vAlign w:val="center"/>
            <w:hideMark/>
          </w:tcPr>
          <w:p w:rsidR="00231EB1" w:rsidRPr="004A7BB9" w:rsidRDefault="00231EB1" w:rsidP="004A7BB9">
            <w:pPr>
              <w:tabs>
                <w:tab w:val="clear" w:pos="851"/>
              </w:tabs>
              <w:spacing w:after="0"/>
              <w:ind w:left="0"/>
              <w:jc w:val="center"/>
              <w:rPr>
                <w:rFonts w:cs="Arial"/>
                <w:color w:val="000000"/>
                <w:sz w:val="16"/>
                <w:szCs w:val="16"/>
              </w:rPr>
            </w:pPr>
            <w:r w:rsidRPr="004A7BB9">
              <w:rPr>
                <w:rFonts w:cs="Arial"/>
                <w:color w:val="000000"/>
                <w:sz w:val="16"/>
                <w:szCs w:val="16"/>
              </w:rPr>
              <w:t>-0.11%</w:t>
            </w:r>
          </w:p>
        </w:tc>
      </w:tr>
      <w:tr w:rsidR="00231EB1" w:rsidRPr="004A7BB9" w:rsidTr="00231EB1">
        <w:trPr>
          <w:trHeight w:val="288"/>
        </w:trPr>
        <w:tc>
          <w:tcPr>
            <w:tcW w:w="1696" w:type="dxa"/>
            <w:shd w:val="clear" w:color="auto" w:fill="FFFFFF" w:themeFill="background1"/>
            <w:noWrap/>
            <w:vAlign w:val="center"/>
            <w:hideMark/>
          </w:tcPr>
          <w:p w:rsidR="00231EB1" w:rsidRPr="00110F38" w:rsidRDefault="00231EB1" w:rsidP="004A7BB9">
            <w:pPr>
              <w:tabs>
                <w:tab w:val="clear" w:pos="851"/>
              </w:tabs>
              <w:spacing w:after="0"/>
              <w:ind w:left="0"/>
              <w:jc w:val="left"/>
              <w:rPr>
                <w:rFonts w:cs="Arial"/>
                <w:sz w:val="16"/>
                <w:szCs w:val="16"/>
              </w:rPr>
            </w:pPr>
            <w:r w:rsidRPr="00110F38">
              <w:rPr>
                <w:rFonts w:cs="Arial"/>
                <w:sz w:val="16"/>
                <w:szCs w:val="16"/>
              </w:rPr>
              <w:t>Total</w:t>
            </w:r>
          </w:p>
        </w:tc>
        <w:tc>
          <w:tcPr>
            <w:tcW w:w="889" w:type="dxa"/>
            <w:shd w:val="clear" w:color="auto" w:fill="FFFFFF" w:themeFill="background1"/>
            <w:noWrap/>
            <w:vAlign w:val="center"/>
            <w:hideMark/>
          </w:tcPr>
          <w:p w:rsidR="00231EB1" w:rsidRPr="00110F38" w:rsidRDefault="00110F38" w:rsidP="004A7BB9">
            <w:pPr>
              <w:tabs>
                <w:tab w:val="clear" w:pos="851"/>
              </w:tabs>
              <w:spacing w:after="0"/>
              <w:ind w:left="0"/>
              <w:jc w:val="center"/>
              <w:rPr>
                <w:rFonts w:cs="Arial"/>
                <w:sz w:val="16"/>
                <w:szCs w:val="16"/>
              </w:rPr>
            </w:pPr>
            <w:r w:rsidRPr="00110F38">
              <w:rPr>
                <w:rFonts w:cs="Arial"/>
                <w:sz w:val="16"/>
                <w:szCs w:val="16"/>
              </w:rPr>
              <w:t>4.11%</w:t>
            </w:r>
          </w:p>
        </w:tc>
        <w:tc>
          <w:tcPr>
            <w:tcW w:w="890" w:type="dxa"/>
            <w:shd w:val="clear" w:color="auto" w:fill="FFFFFF" w:themeFill="background1"/>
            <w:noWrap/>
            <w:vAlign w:val="center"/>
            <w:hideMark/>
          </w:tcPr>
          <w:p w:rsidR="00231EB1" w:rsidRPr="00110F38" w:rsidRDefault="00110F38" w:rsidP="004A7BB9">
            <w:pPr>
              <w:tabs>
                <w:tab w:val="clear" w:pos="851"/>
              </w:tabs>
              <w:spacing w:after="0"/>
              <w:ind w:left="0"/>
              <w:jc w:val="center"/>
              <w:rPr>
                <w:rFonts w:cs="Arial"/>
                <w:sz w:val="16"/>
                <w:szCs w:val="16"/>
              </w:rPr>
            </w:pPr>
            <w:r w:rsidRPr="00110F38">
              <w:rPr>
                <w:rFonts w:cs="Arial"/>
                <w:sz w:val="16"/>
                <w:szCs w:val="16"/>
              </w:rPr>
              <w:t>-2.4%</w:t>
            </w:r>
          </w:p>
        </w:tc>
        <w:tc>
          <w:tcPr>
            <w:tcW w:w="890" w:type="dxa"/>
            <w:shd w:val="clear" w:color="auto" w:fill="FFFFFF" w:themeFill="background1"/>
            <w:noWrap/>
            <w:vAlign w:val="center"/>
            <w:hideMark/>
          </w:tcPr>
          <w:p w:rsidR="00231EB1" w:rsidRPr="00110F38" w:rsidRDefault="00110F38" w:rsidP="004A7BB9">
            <w:pPr>
              <w:tabs>
                <w:tab w:val="clear" w:pos="851"/>
              </w:tabs>
              <w:spacing w:after="0"/>
              <w:ind w:left="0"/>
              <w:jc w:val="center"/>
              <w:rPr>
                <w:rFonts w:cs="Arial"/>
                <w:sz w:val="16"/>
                <w:szCs w:val="16"/>
              </w:rPr>
            </w:pPr>
            <w:r w:rsidRPr="00110F38">
              <w:rPr>
                <w:rFonts w:cs="Arial"/>
                <w:sz w:val="16"/>
                <w:szCs w:val="16"/>
              </w:rPr>
              <w:t>1.17%</w:t>
            </w:r>
          </w:p>
        </w:tc>
        <w:tc>
          <w:tcPr>
            <w:tcW w:w="889" w:type="dxa"/>
            <w:shd w:val="clear" w:color="auto" w:fill="FFFFFF" w:themeFill="background1"/>
            <w:noWrap/>
            <w:vAlign w:val="center"/>
            <w:hideMark/>
          </w:tcPr>
          <w:p w:rsidR="00231EB1" w:rsidRPr="00110F38" w:rsidRDefault="00110F38" w:rsidP="004A7BB9">
            <w:pPr>
              <w:tabs>
                <w:tab w:val="clear" w:pos="851"/>
              </w:tabs>
              <w:spacing w:after="0"/>
              <w:ind w:left="0"/>
              <w:jc w:val="center"/>
              <w:rPr>
                <w:rFonts w:cs="Arial"/>
                <w:sz w:val="16"/>
                <w:szCs w:val="16"/>
              </w:rPr>
            </w:pPr>
            <w:r w:rsidRPr="00110F38">
              <w:rPr>
                <w:rFonts w:cs="Arial"/>
                <w:sz w:val="16"/>
                <w:szCs w:val="16"/>
              </w:rPr>
              <w:t>-0.94%</w:t>
            </w:r>
          </w:p>
        </w:tc>
        <w:tc>
          <w:tcPr>
            <w:tcW w:w="890" w:type="dxa"/>
            <w:shd w:val="clear" w:color="auto" w:fill="FFFFFF" w:themeFill="background1"/>
            <w:noWrap/>
            <w:vAlign w:val="center"/>
            <w:hideMark/>
          </w:tcPr>
          <w:p w:rsidR="00231EB1" w:rsidRPr="00110F38" w:rsidRDefault="00110F38" w:rsidP="004A7BB9">
            <w:pPr>
              <w:tabs>
                <w:tab w:val="clear" w:pos="851"/>
              </w:tabs>
              <w:spacing w:after="0"/>
              <w:ind w:left="0"/>
              <w:jc w:val="center"/>
              <w:rPr>
                <w:rFonts w:cs="Arial"/>
                <w:sz w:val="16"/>
                <w:szCs w:val="16"/>
              </w:rPr>
            </w:pPr>
            <w:r w:rsidRPr="00110F38">
              <w:rPr>
                <w:rFonts w:cs="Arial"/>
                <w:sz w:val="16"/>
                <w:szCs w:val="16"/>
              </w:rPr>
              <w:t>1.96%</w:t>
            </w:r>
          </w:p>
        </w:tc>
        <w:tc>
          <w:tcPr>
            <w:tcW w:w="890" w:type="dxa"/>
            <w:shd w:val="clear" w:color="auto" w:fill="FFFFFF" w:themeFill="background1"/>
            <w:noWrap/>
            <w:vAlign w:val="center"/>
            <w:hideMark/>
          </w:tcPr>
          <w:p w:rsidR="00231EB1" w:rsidRPr="004A7BB9" w:rsidRDefault="00110F38" w:rsidP="004A7BB9">
            <w:pPr>
              <w:tabs>
                <w:tab w:val="clear" w:pos="851"/>
              </w:tabs>
              <w:spacing w:after="0"/>
              <w:ind w:left="0"/>
              <w:jc w:val="center"/>
              <w:rPr>
                <w:rFonts w:cs="Arial"/>
                <w:sz w:val="16"/>
                <w:szCs w:val="16"/>
              </w:rPr>
            </w:pPr>
            <w:r>
              <w:rPr>
                <w:rFonts w:cs="Arial"/>
                <w:sz w:val="16"/>
                <w:szCs w:val="16"/>
              </w:rPr>
              <w:t>-1.23%</w:t>
            </w:r>
          </w:p>
        </w:tc>
      </w:tr>
      <w:tr w:rsidR="00231EB1" w:rsidRPr="004A7BB9" w:rsidTr="00231EB1">
        <w:trPr>
          <w:trHeight w:val="288"/>
        </w:trPr>
        <w:tc>
          <w:tcPr>
            <w:tcW w:w="1696" w:type="dxa"/>
            <w:shd w:val="clear" w:color="auto" w:fill="2E74B5" w:themeFill="accent1" w:themeFillShade="BF"/>
            <w:noWrap/>
            <w:vAlign w:val="center"/>
          </w:tcPr>
          <w:p w:rsidR="00231EB1" w:rsidRPr="004A7BB9" w:rsidRDefault="00231EB1" w:rsidP="004A7BB9">
            <w:pPr>
              <w:tabs>
                <w:tab w:val="clear" w:pos="851"/>
              </w:tabs>
              <w:spacing w:after="0"/>
              <w:ind w:left="0"/>
              <w:jc w:val="left"/>
              <w:rPr>
                <w:rFonts w:cs="Arial"/>
                <w:color w:val="FFFFFF" w:themeColor="background1"/>
                <w:sz w:val="16"/>
                <w:szCs w:val="16"/>
              </w:rPr>
            </w:pPr>
            <w:r w:rsidRPr="004A7BB9">
              <w:rPr>
                <w:rFonts w:cs="Arial"/>
                <w:color w:val="FFFFFF" w:themeColor="background1"/>
                <w:sz w:val="16"/>
                <w:szCs w:val="16"/>
              </w:rPr>
              <w:t>Company Scenario</w:t>
            </w:r>
          </w:p>
        </w:tc>
        <w:tc>
          <w:tcPr>
            <w:tcW w:w="889" w:type="dxa"/>
            <w:shd w:val="clear" w:color="auto" w:fill="2E74B5" w:themeFill="accent1" w:themeFillShade="BF"/>
            <w:noWrap/>
            <w:vAlign w:val="bottom"/>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Upside</w:t>
            </w:r>
          </w:p>
        </w:tc>
        <w:tc>
          <w:tcPr>
            <w:tcW w:w="890" w:type="dxa"/>
            <w:shd w:val="clear" w:color="auto" w:fill="2E74B5" w:themeFill="accent1" w:themeFillShade="BF"/>
            <w:noWrap/>
            <w:vAlign w:val="bottom"/>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Downside</w:t>
            </w:r>
          </w:p>
        </w:tc>
        <w:tc>
          <w:tcPr>
            <w:tcW w:w="890" w:type="dxa"/>
            <w:shd w:val="clear" w:color="auto" w:fill="2E74B5" w:themeFill="accent1" w:themeFillShade="BF"/>
            <w:noWrap/>
            <w:vAlign w:val="bottom"/>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Upside</w:t>
            </w:r>
          </w:p>
        </w:tc>
        <w:tc>
          <w:tcPr>
            <w:tcW w:w="889" w:type="dxa"/>
            <w:shd w:val="clear" w:color="auto" w:fill="2E74B5" w:themeFill="accent1" w:themeFillShade="BF"/>
            <w:noWrap/>
            <w:vAlign w:val="bottom"/>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Downside</w:t>
            </w:r>
          </w:p>
        </w:tc>
        <w:tc>
          <w:tcPr>
            <w:tcW w:w="890" w:type="dxa"/>
            <w:shd w:val="clear" w:color="auto" w:fill="2E74B5" w:themeFill="accent1" w:themeFillShade="BF"/>
            <w:noWrap/>
            <w:vAlign w:val="bottom"/>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Upside</w:t>
            </w:r>
          </w:p>
        </w:tc>
        <w:tc>
          <w:tcPr>
            <w:tcW w:w="890" w:type="dxa"/>
            <w:shd w:val="clear" w:color="auto" w:fill="2E74B5" w:themeFill="accent1" w:themeFillShade="BF"/>
            <w:noWrap/>
            <w:vAlign w:val="bottom"/>
          </w:tcPr>
          <w:p w:rsidR="00231EB1" w:rsidRPr="004A7BB9" w:rsidRDefault="00231EB1" w:rsidP="004A7BB9">
            <w:pPr>
              <w:tabs>
                <w:tab w:val="clear" w:pos="851"/>
              </w:tabs>
              <w:spacing w:after="0"/>
              <w:ind w:left="0"/>
              <w:jc w:val="center"/>
              <w:rPr>
                <w:rFonts w:cs="Arial"/>
                <w:color w:val="FFFFFF" w:themeColor="background1"/>
                <w:sz w:val="14"/>
                <w:szCs w:val="14"/>
              </w:rPr>
            </w:pPr>
            <w:r w:rsidRPr="004A7BB9">
              <w:rPr>
                <w:rFonts w:cs="Arial"/>
                <w:color w:val="FFFFFF" w:themeColor="background1"/>
                <w:sz w:val="14"/>
                <w:szCs w:val="14"/>
              </w:rPr>
              <w:t>Downside</w:t>
            </w:r>
          </w:p>
        </w:tc>
      </w:tr>
      <w:tr w:rsidR="00231EB1" w:rsidRPr="004A7BB9" w:rsidTr="00231EB1">
        <w:trPr>
          <w:trHeight w:val="288"/>
        </w:trPr>
        <w:tc>
          <w:tcPr>
            <w:tcW w:w="1696" w:type="dxa"/>
            <w:shd w:val="clear" w:color="auto" w:fill="FFFFFF" w:themeFill="background1"/>
            <w:noWrap/>
            <w:vAlign w:val="center"/>
          </w:tcPr>
          <w:p w:rsidR="00231EB1" w:rsidRPr="004A7BB9" w:rsidRDefault="00231EB1" w:rsidP="004A7BB9">
            <w:pPr>
              <w:tabs>
                <w:tab w:val="clear" w:pos="851"/>
              </w:tabs>
              <w:spacing w:after="0"/>
              <w:ind w:left="0"/>
              <w:jc w:val="left"/>
              <w:rPr>
                <w:rFonts w:cs="Arial"/>
                <w:sz w:val="16"/>
                <w:szCs w:val="16"/>
              </w:rPr>
            </w:pPr>
            <w:r w:rsidRPr="004A7BB9">
              <w:rPr>
                <w:rFonts w:cs="Arial"/>
                <w:sz w:val="16"/>
                <w:szCs w:val="16"/>
              </w:rPr>
              <w:t>Revenue including WRFIM</w:t>
            </w:r>
          </w:p>
        </w:tc>
        <w:tc>
          <w:tcPr>
            <w:tcW w:w="889" w:type="dxa"/>
            <w:shd w:val="clear" w:color="auto" w:fill="FFFFFF" w:themeFill="background1"/>
            <w:noWrap/>
            <w:vAlign w:val="center"/>
          </w:tcPr>
          <w:p w:rsidR="00231EB1" w:rsidRPr="004A7BB9" w:rsidRDefault="00231EB1" w:rsidP="004A7BB9">
            <w:pPr>
              <w:tabs>
                <w:tab w:val="clear" w:pos="851"/>
              </w:tabs>
              <w:spacing w:after="0"/>
              <w:ind w:left="0"/>
              <w:jc w:val="center"/>
              <w:rPr>
                <w:rFonts w:cs="Arial"/>
                <w:sz w:val="16"/>
                <w:szCs w:val="16"/>
              </w:rPr>
            </w:pPr>
            <w:r>
              <w:rPr>
                <w:rFonts w:cs="Arial"/>
                <w:sz w:val="16"/>
                <w:szCs w:val="16"/>
              </w:rPr>
              <w:t>-0.40%</w:t>
            </w:r>
          </w:p>
        </w:tc>
        <w:tc>
          <w:tcPr>
            <w:tcW w:w="890" w:type="dxa"/>
            <w:shd w:val="clear" w:color="auto" w:fill="FFFFFF" w:themeFill="background1"/>
            <w:noWrap/>
            <w:vAlign w:val="center"/>
          </w:tcPr>
          <w:p w:rsidR="00231EB1" w:rsidRPr="004A7BB9" w:rsidRDefault="00231EB1" w:rsidP="004A7BB9">
            <w:pPr>
              <w:tabs>
                <w:tab w:val="clear" w:pos="851"/>
              </w:tabs>
              <w:spacing w:after="0"/>
              <w:ind w:left="0"/>
              <w:jc w:val="center"/>
              <w:rPr>
                <w:rFonts w:cs="Arial"/>
                <w:sz w:val="16"/>
                <w:szCs w:val="16"/>
              </w:rPr>
            </w:pPr>
            <w:r>
              <w:rPr>
                <w:rFonts w:cs="Arial"/>
                <w:sz w:val="16"/>
                <w:szCs w:val="16"/>
              </w:rPr>
              <w:t>-2.14%</w:t>
            </w:r>
          </w:p>
        </w:tc>
        <w:tc>
          <w:tcPr>
            <w:tcW w:w="890" w:type="dxa"/>
            <w:shd w:val="clear" w:color="auto" w:fill="FFFFFF" w:themeFill="background1"/>
            <w:noWrap/>
            <w:vAlign w:val="center"/>
          </w:tcPr>
          <w:p w:rsidR="00231EB1" w:rsidRPr="004A7BB9" w:rsidRDefault="00231EB1" w:rsidP="004A7BB9">
            <w:pPr>
              <w:tabs>
                <w:tab w:val="clear" w:pos="851"/>
              </w:tabs>
              <w:spacing w:after="0"/>
              <w:ind w:left="0"/>
              <w:jc w:val="center"/>
              <w:rPr>
                <w:rFonts w:cs="Arial"/>
                <w:sz w:val="16"/>
                <w:szCs w:val="16"/>
              </w:rPr>
            </w:pPr>
            <w:r>
              <w:rPr>
                <w:rFonts w:cs="Arial"/>
                <w:sz w:val="16"/>
                <w:szCs w:val="16"/>
              </w:rPr>
              <w:t>-0.35%</w:t>
            </w:r>
          </w:p>
        </w:tc>
        <w:tc>
          <w:tcPr>
            <w:tcW w:w="889" w:type="dxa"/>
            <w:shd w:val="clear" w:color="auto" w:fill="FFFFFF" w:themeFill="background1"/>
            <w:noWrap/>
            <w:vAlign w:val="center"/>
          </w:tcPr>
          <w:p w:rsidR="00231EB1" w:rsidRPr="004A7BB9" w:rsidRDefault="00231EB1" w:rsidP="004A7BB9">
            <w:pPr>
              <w:tabs>
                <w:tab w:val="clear" w:pos="851"/>
              </w:tabs>
              <w:spacing w:after="0"/>
              <w:ind w:left="0"/>
              <w:jc w:val="center"/>
              <w:rPr>
                <w:rFonts w:cs="Arial"/>
                <w:sz w:val="16"/>
                <w:szCs w:val="16"/>
              </w:rPr>
            </w:pPr>
            <w:r>
              <w:rPr>
                <w:rFonts w:cs="Arial"/>
                <w:sz w:val="16"/>
                <w:szCs w:val="16"/>
              </w:rPr>
              <w:t>-1.86%</w:t>
            </w:r>
          </w:p>
        </w:tc>
        <w:tc>
          <w:tcPr>
            <w:tcW w:w="890" w:type="dxa"/>
            <w:shd w:val="clear" w:color="auto" w:fill="FFFFFF" w:themeFill="background1"/>
            <w:noWrap/>
            <w:vAlign w:val="center"/>
          </w:tcPr>
          <w:p w:rsidR="00231EB1" w:rsidRPr="004A7BB9" w:rsidRDefault="00231EB1" w:rsidP="004A7BB9">
            <w:pPr>
              <w:tabs>
                <w:tab w:val="clear" w:pos="851"/>
              </w:tabs>
              <w:spacing w:after="0"/>
              <w:ind w:left="0"/>
              <w:jc w:val="center"/>
              <w:rPr>
                <w:rFonts w:cs="Arial"/>
                <w:sz w:val="16"/>
                <w:szCs w:val="16"/>
              </w:rPr>
            </w:pPr>
            <w:r>
              <w:rPr>
                <w:rFonts w:cs="Arial"/>
                <w:sz w:val="16"/>
                <w:szCs w:val="16"/>
              </w:rPr>
              <w:t>-0.39%</w:t>
            </w:r>
          </w:p>
        </w:tc>
        <w:tc>
          <w:tcPr>
            <w:tcW w:w="890" w:type="dxa"/>
            <w:shd w:val="clear" w:color="auto" w:fill="FFFFFF" w:themeFill="background1"/>
            <w:noWrap/>
            <w:vAlign w:val="center"/>
          </w:tcPr>
          <w:p w:rsidR="00231EB1" w:rsidRPr="004A7BB9" w:rsidRDefault="00231EB1" w:rsidP="004A7BB9">
            <w:pPr>
              <w:tabs>
                <w:tab w:val="clear" w:pos="851"/>
              </w:tabs>
              <w:spacing w:after="0"/>
              <w:ind w:left="0"/>
              <w:jc w:val="center"/>
              <w:rPr>
                <w:rFonts w:cs="Arial"/>
                <w:sz w:val="16"/>
                <w:szCs w:val="16"/>
              </w:rPr>
            </w:pPr>
            <w:r>
              <w:rPr>
                <w:rFonts w:cs="Arial"/>
                <w:sz w:val="16"/>
                <w:szCs w:val="16"/>
              </w:rPr>
              <w:t>-1.21%</w:t>
            </w:r>
          </w:p>
        </w:tc>
      </w:tr>
    </w:tbl>
    <w:p w:rsidR="004A7BB9" w:rsidRDefault="004A7BB9" w:rsidP="004E2B76">
      <w:pPr>
        <w:spacing w:after="0"/>
      </w:pPr>
    </w:p>
    <w:p w:rsidR="004A7BB9" w:rsidRDefault="004A7BB9" w:rsidP="004A7BB9">
      <w:pPr>
        <w:rPr>
          <w:rFonts w:cs="Arial"/>
        </w:rPr>
      </w:pPr>
      <w:r w:rsidRPr="00474BB2">
        <w:rPr>
          <w:rFonts w:cs="Arial"/>
        </w:rPr>
        <w:t xml:space="preserve">It should be noted that growth in RCV for both the Company as a whole and in the Water Resources price control is significantly impacted by the £62m HTWSR </w:t>
      </w:r>
      <w:r w:rsidR="00964B14">
        <w:rPr>
          <w:rFonts w:cs="Arial"/>
        </w:rPr>
        <w:t>Capex</w:t>
      </w:r>
      <w:r w:rsidRPr="00474BB2">
        <w:rPr>
          <w:rFonts w:cs="Arial"/>
        </w:rPr>
        <w:t xml:space="preserve"> programme.  This effectively dilutes the RoRE impact of other scenarios.  </w:t>
      </w:r>
    </w:p>
    <w:p w:rsidR="004A7BB9" w:rsidRPr="00474BB2" w:rsidRDefault="004A7BB9" w:rsidP="004A7BB9">
      <w:pPr>
        <w:rPr>
          <w:rFonts w:cs="Arial"/>
        </w:rPr>
      </w:pPr>
      <w:r w:rsidRPr="00474BB2">
        <w:rPr>
          <w:rFonts w:cs="Arial"/>
        </w:rPr>
        <w:t xml:space="preserve">Although variance on HTWSR costs, by default, are included in the overall </w:t>
      </w:r>
      <w:r w:rsidR="00560B22">
        <w:rPr>
          <w:rFonts w:cs="Arial"/>
        </w:rPr>
        <w:t>Totex</w:t>
      </w:r>
      <w:r w:rsidRPr="00474BB2">
        <w:rPr>
          <w:rFonts w:cs="Arial"/>
        </w:rPr>
        <w:t xml:space="preserve"> scenarios we have also undertaken further specific analysis in relation to the impacts of HTWSR.  This is because the interactions are not readily modelled by the Ofwat sensitivity analysis. </w:t>
      </w:r>
    </w:p>
    <w:p w:rsidR="004A7BB9" w:rsidRPr="00474BB2" w:rsidRDefault="004A7BB9" w:rsidP="004A7BB9">
      <w:pPr>
        <w:rPr>
          <w:rFonts w:cs="Arial"/>
          <w:b/>
        </w:rPr>
      </w:pPr>
      <w:r w:rsidRPr="00474BB2">
        <w:rPr>
          <w:rFonts w:cs="Arial"/>
          <w:b/>
        </w:rPr>
        <w:t>Revenue</w:t>
      </w:r>
    </w:p>
    <w:p w:rsidR="004A7BB9" w:rsidRPr="00474BB2" w:rsidRDefault="004A7BB9" w:rsidP="004A7BB9">
      <w:pPr>
        <w:rPr>
          <w:rFonts w:cs="Arial"/>
        </w:rPr>
      </w:pPr>
      <w:r w:rsidRPr="00474BB2">
        <w:rPr>
          <w:rFonts w:cs="Arial"/>
        </w:rPr>
        <w:t>Our modelling assumed a range of combined drivers for revenue as set out above.  Detailed analysis shows that movements in new property numbers are the most significant drivers of this RoRE range.</w:t>
      </w:r>
    </w:p>
    <w:p w:rsidR="004A7BB9" w:rsidRPr="00474BB2" w:rsidRDefault="004A7BB9" w:rsidP="004A7BB9">
      <w:pPr>
        <w:rPr>
          <w:rFonts w:cs="Arial"/>
        </w:rPr>
      </w:pPr>
      <w:r w:rsidRPr="00474BB2">
        <w:rPr>
          <w:rFonts w:cs="Arial"/>
        </w:rPr>
        <w:t>We undertook a further company specific revenue modelling scenario, which also took account of the revenue correction mechanism through WRFIM.  This showed that the inclusion of WRFIM increases volatility of the RoRE range and also results in a negative upside scenario due to the penalty mechanism.  This further underlines the importance of accurate revenue forecasting at the time of tariff setting.</w:t>
      </w:r>
    </w:p>
    <w:p w:rsidR="004A7BB9" w:rsidRPr="00474BB2" w:rsidRDefault="004A7BB9" w:rsidP="004A7BB9">
      <w:pPr>
        <w:rPr>
          <w:rFonts w:cs="Arial"/>
          <w:b/>
        </w:rPr>
      </w:pPr>
      <w:r w:rsidRPr="00474BB2">
        <w:rPr>
          <w:rFonts w:cs="Arial"/>
          <w:b/>
        </w:rPr>
        <w:t>Bulk Supply</w:t>
      </w:r>
    </w:p>
    <w:p w:rsidR="004A7BB9" w:rsidRDefault="004A7BB9" w:rsidP="004A7BB9">
      <w:pPr>
        <w:rPr>
          <w:rFonts w:cs="Arial"/>
        </w:rPr>
      </w:pPr>
      <w:r w:rsidRPr="00474BB2">
        <w:rPr>
          <w:rFonts w:cs="Arial"/>
        </w:rPr>
        <w:t xml:space="preserve">We currently have two </w:t>
      </w:r>
      <w:r>
        <w:rPr>
          <w:rFonts w:cs="Arial"/>
        </w:rPr>
        <w:t>bulk supply arrangements with Southern W</w:t>
      </w:r>
      <w:r w:rsidRPr="00474BB2">
        <w:rPr>
          <w:rFonts w:cs="Arial"/>
        </w:rPr>
        <w:t xml:space="preserve">ater. </w:t>
      </w:r>
      <w:r>
        <w:rPr>
          <w:rFonts w:cs="Arial"/>
        </w:rPr>
        <w:t>Although relatively modest at the start of the AMP these could grow over time due to Southern Water’s demand profile.  The down side scenario is minimal as it is assumed that at least a minimal “sweetening flow” will be required at all times.</w:t>
      </w:r>
      <w:r w:rsidRPr="00474BB2">
        <w:rPr>
          <w:rFonts w:cs="Arial"/>
        </w:rPr>
        <w:t xml:space="preserve"> </w:t>
      </w:r>
    </w:p>
    <w:p w:rsidR="004A7BB9" w:rsidRPr="00474BB2" w:rsidRDefault="004A7BB9" w:rsidP="004A7BB9">
      <w:pPr>
        <w:rPr>
          <w:rFonts w:cs="Arial"/>
        </w:rPr>
      </w:pPr>
      <w:r w:rsidRPr="00474BB2">
        <w:rPr>
          <w:rFonts w:cs="Arial"/>
        </w:rPr>
        <w:t xml:space="preserve">As explained in Chapter 8.1, the bulk supply </w:t>
      </w:r>
      <w:r>
        <w:rPr>
          <w:rFonts w:cs="Arial"/>
        </w:rPr>
        <w:t>revenue</w:t>
      </w:r>
      <w:r w:rsidRPr="00474BB2">
        <w:rPr>
          <w:rFonts w:cs="Arial"/>
        </w:rPr>
        <w:t xml:space="preserve"> for the HTWSR are of a very different nature and, effectively recover the costs incurred through the capital programme.  </w:t>
      </w:r>
      <w:r>
        <w:rPr>
          <w:rFonts w:cs="Arial"/>
        </w:rPr>
        <w:t>Accordingly they are not subject to volumetric variances</w:t>
      </w:r>
      <w:r w:rsidR="009847D6">
        <w:rPr>
          <w:rFonts w:cs="Arial"/>
        </w:rPr>
        <w:t xml:space="preserve"> and have been separately modelled further below</w:t>
      </w:r>
      <w:r>
        <w:rPr>
          <w:rFonts w:cs="Arial"/>
        </w:rPr>
        <w:t xml:space="preserve">.  </w:t>
      </w:r>
    </w:p>
    <w:p w:rsidR="004A7BB9" w:rsidRPr="00474BB2" w:rsidRDefault="004A7BB9" w:rsidP="004A7BB9">
      <w:pPr>
        <w:rPr>
          <w:rFonts w:cs="Arial"/>
          <w:b/>
        </w:rPr>
      </w:pPr>
      <w:r w:rsidRPr="00474BB2">
        <w:rPr>
          <w:rFonts w:cs="Arial"/>
          <w:b/>
        </w:rPr>
        <w:t>Costs</w:t>
      </w:r>
    </w:p>
    <w:p w:rsidR="004A7BB9" w:rsidRPr="00474BB2" w:rsidRDefault="004A7BB9" w:rsidP="004A7BB9">
      <w:pPr>
        <w:rPr>
          <w:rFonts w:cs="Arial"/>
        </w:rPr>
      </w:pPr>
      <w:r w:rsidRPr="00474BB2">
        <w:rPr>
          <w:rFonts w:cs="Arial"/>
        </w:rPr>
        <w:t>The analysis shows a manageable RoRE range in the down side scenario following mitigation.  This analysis</w:t>
      </w:r>
      <w:r>
        <w:rPr>
          <w:rFonts w:cs="Arial"/>
        </w:rPr>
        <w:t xml:space="preserve">, which assumes an overall </w:t>
      </w:r>
      <w:r w:rsidR="00560B22">
        <w:rPr>
          <w:rFonts w:cs="Arial"/>
        </w:rPr>
        <w:t>Totex</w:t>
      </w:r>
      <w:r w:rsidRPr="00474BB2">
        <w:rPr>
          <w:rFonts w:cs="Arial"/>
        </w:rPr>
        <w:t xml:space="preserve"> variance, has a proportionately large impact on the Water Resources price control.  This is because it includes a “general” price variance assumption upon the HTWSR costs which at a total £62m are significant relative to the proportionately low opening equity RCV in Water Resources price control of £3.6m.  </w:t>
      </w:r>
    </w:p>
    <w:p w:rsidR="004A7BB9" w:rsidRPr="00474BB2" w:rsidRDefault="004A7BB9" w:rsidP="004A7BB9">
      <w:pPr>
        <w:rPr>
          <w:rFonts w:cs="Arial"/>
        </w:rPr>
      </w:pPr>
      <w:r w:rsidRPr="00474BB2">
        <w:rPr>
          <w:rFonts w:cs="Arial"/>
        </w:rPr>
        <w:t xml:space="preserve">In overall terms the </w:t>
      </w:r>
      <w:r>
        <w:rPr>
          <w:rFonts w:cs="Arial"/>
        </w:rPr>
        <w:t xml:space="preserve">post mitigation </w:t>
      </w:r>
      <w:r w:rsidRPr="00474BB2">
        <w:rPr>
          <w:rFonts w:cs="Arial"/>
        </w:rPr>
        <w:t xml:space="preserve">RoRE range is manageable and understood. </w:t>
      </w:r>
    </w:p>
    <w:p w:rsidR="004A7BB9" w:rsidRPr="00474BB2" w:rsidRDefault="004A7BB9" w:rsidP="004A7BB9">
      <w:pPr>
        <w:rPr>
          <w:rFonts w:cs="Arial"/>
          <w:b/>
        </w:rPr>
      </w:pPr>
      <w:r w:rsidRPr="00474BB2">
        <w:rPr>
          <w:rFonts w:cs="Arial"/>
          <w:b/>
        </w:rPr>
        <w:t>Financing</w:t>
      </w:r>
    </w:p>
    <w:p w:rsidR="004A7BB9" w:rsidRPr="00474BB2" w:rsidRDefault="004A7BB9" w:rsidP="004A7BB9">
      <w:pPr>
        <w:rPr>
          <w:rFonts w:cs="Arial"/>
        </w:rPr>
      </w:pPr>
      <w:r w:rsidRPr="00474BB2">
        <w:rPr>
          <w:rFonts w:cs="Arial"/>
        </w:rPr>
        <w:t xml:space="preserve">Significant new debt will be raised in the last two years of the AMP due to the development of HTWSR.  According this only impacts on the Water Resources price control.  In overall terms this impact is diluted by the significant £61m of </w:t>
      </w:r>
      <w:r w:rsidR="00AB6F74">
        <w:rPr>
          <w:rFonts w:cs="Arial"/>
        </w:rPr>
        <w:t xml:space="preserve">new </w:t>
      </w:r>
      <w:r w:rsidR="005115F9">
        <w:rPr>
          <w:rFonts w:cs="Arial"/>
        </w:rPr>
        <w:t>capital</w:t>
      </w:r>
      <w:r w:rsidRPr="00474BB2">
        <w:rPr>
          <w:rFonts w:cs="Arial"/>
        </w:rPr>
        <w:t xml:space="preserve"> which is all made at the start of the programme – hence significant new debt is only raised in the last two years of the AMP.</w:t>
      </w:r>
    </w:p>
    <w:p w:rsidR="004A7BB9" w:rsidRPr="00474BB2" w:rsidRDefault="004A7BB9" w:rsidP="004A7BB9">
      <w:pPr>
        <w:rPr>
          <w:rFonts w:cs="Arial"/>
          <w:b/>
        </w:rPr>
      </w:pPr>
      <w:r w:rsidRPr="00474BB2">
        <w:rPr>
          <w:rFonts w:cs="Arial"/>
          <w:b/>
        </w:rPr>
        <w:t>ODIs</w:t>
      </w:r>
    </w:p>
    <w:p w:rsidR="004A7BB9" w:rsidRPr="00474BB2" w:rsidRDefault="004A7BB9" w:rsidP="004A7BB9">
      <w:pPr>
        <w:rPr>
          <w:rFonts w:cs="Arial"/>
        </w:rPr>
      </w:pPr>
      <w:r w:rsidRPr="00474BB2">
        <w:rPr>
          <w:rFonts w:cs="Arial"/>
        </w:rPr>
        <w:t xml:space="preserve">Chapter 3 sets out in more detail the RoRE analysis of our ODI package.  In considering the ODI RoRE range in Chapter 3 we have excluded the impact of RCV growth due to HTWSR </w:t>
      </w:r>
      <w:r w:rsidR="00110F38">
        <w:rPr>
          <w:rFonts w:cs="Arial"/>
        </w:rPr>
        <w:t>(since</w:t>
      </w:r>
      <w:r w:rsidRPr="00474BB2">
        <w:rPr>
          <w:rFonts w:cs="Arial"/>
        </w:rPr>
        <w:t xml:space="preserve"> this is recovered entirely through bulk supply charges and is not subject to any related rewards </w:t>
      </w:r>
      <w:r w:rsidR="00560B22">
        <w:rPr>
          <w:rFonts w:cs="Arial"/>
        </w:rPr>
        <w:t>and pe</w:t>
      </w:r>
      <w:r w:rsidRPr="00474BB2">
        <w:rPr>
          <w:rFonts w:cs="Arial"/>
        </w:rPr>
        <w:t>nalties</w:t>
      </w:r>
      <w:r w:rsidR="00110F38">
        <w:rPr>
          <w:rFonts w:cs="Arial"/>
        </w:rPr>
        <w:t>).  We have also used a wider range of outcomes for rewards and penalties</w:t>
      </w:r>
      <w:r w:rsidRPr="00474BB2">
        <w:rPr>
          <w:rFonts w:cs="Arial"/>
        </w:rPr>
        <w:t>.</w:t>
      </w:r>
      <w:r w:rsidR="00110F38">
        <w:rPr>
          <w:rFonts w:cs="Arial"/>
        </w:rPr>
        <w:t xml:space="preserve">  This is because the RoRE analysis in Chapter 3 recognises the need for a step change in stretching service performance, whereas the range used for this analysis is based on historical trends. </w:t>
      </w:r>
      <w:r w:rsidRPr="00474BB2">
        <w:rPr>
          <w:rFonts w:cs="Arial"/>
        </w:rPr>
        <w:t xml:space="preserve"> This</w:t>
      </w:r>
      <w:r w:rsidR="00110F38">
        <w:rPr>
          <w:rFonts w:cs="Arial"/>
        </w:rPr>
        <w:t xml:space="preserve"> difference in approach</w:t>
      </w:r>
      <w:r w:rsidRPr="00474BB2">
        <w:rPr>
          <w:rFonts w:cs="Arial"/>
        </w:rPr>
        <w:t xml:space="preserve"> results in a higher RoRE range of </w:t>
      </w:r>
      <w:r w:rsidR="00110F38">
        <w:rPr>
          <w:rFonts w:cs="Arial"/>
        </w:rPr>
        <w:t xml:space="preserve">1.1% to -1.5%, </w:t>
      </w:r>
      <w:r w:rsidRPr="00474BB2">
        <w:rPr>
          <w:rFonts w:cs="Arial"/>
        </w:rPr>
        <w:t xml:space="preserve">which we believe is representative of </w:t>
      </w:r>
      <w:r w:rsidR="00110F38">
        <w:rPr>
          <w:rFonts w:cs="Arial"/>
        </w:rPr>
        <w:t xml:space="preserve">both </w:t>
      </w:r>
      <w:r w:rsidRPr="00474BB2">
        <w:rPr>
          <w:rFonts w:cs="Arial"/>
        </w:rPr>
        <w:t>th</w:t>
      </w:r>
      <w:r w:rsidR="00110F38">
        <w:rPr>
          <w:rFonts w:cs="Arial"/>
        </w:rPr>
        <w:t>e underlying economic substance and the future change in industry performance.</w:t>
      </w:r>
    </w:p>
    <w:p w:rsidR="004A7BB9" w:rsidRPr="00474BB2" w:rsidRDefault="004A7BB9" w:rsidP="004A7BB9">
      <w:pPr>
        <w:rPr>
          <w:rFonts w:cs="Arial"/>
        </w:rPr>
      </w:pPr>
      <w:r w:rsidRPr="00474BB2">
        <w:rPr>
          <w:rFonts w:cs="Arial"/>
        </w:rPr>
        <w:t xml:space="preserve">The factors having the most significant impact on the ODI RoRE are rewards </w:t>
      </w:r>
      <w:r w:rsidR="00560B22">
        <w:rPr>
          <w:rFonts w:cs="Arial"/>
        </w:rPr>
        <w:t>and</w:t>
      </w:r>
      <w:r w:rsidRPr="00474BB2">
        <w:rPr>
          <w:rFonts w:cs="Arial"/>
        </w:rPr>
        <w:t xml:space="preserve"> penalties relating to “interruptions to supply” and “bursts”.  We have considered this as part of our overall analysis of delivery risk for the Plan.</w:t>
      </w:r>
    </w:p>
    <w:p w:rsidR="004A7BB9" w:rsidRPr="00474BB2" w:rsidRDefault="004A7BB9" w:rsidP="004A7BB9">
      <w:pPr>
        <w:rPr>
          <w:rFonts w:cs="Arial"/>
          <w:b/>
        </w:rPr>
      </w:pPr>
      <w:r w:rsidRPr="00474BB2">
        <w:rPr>
          <w:rFonts w:cs="Arial"/>
          <w:b/>
        </w:rPr>
        <w:t>D-Mex and C-Mex</w:t>
      </w:r>
    </w:p>
    <w:p w:rsidR="004A7BB9" w:rsidRPr="00474BB2" w:rsidRDefault="004A7BB9" w:rsidP="004A7BB9">
      <w:pPr>
        <w:rPr>
          <w:rFonts w:cs="Arial"/>
        </w:rPr>
      </w:pPr>
      <w:r w:rsidRPr="00474BB2">
        <w:rPr>
          <w:rFonts w:cs="Arial"/>
        </w:rPr>
        <w:t xml:space="preserve">Given our historical performance in relation to SIM we have not assumed any </w:t>
      </w:r>
      <w:r>
        <w:rPr>
          <w:rFonts w:cs="Arial"/>
        </w:rPr>
        <w:t xml:space="preserve">significant </w:t>
      </w:r>
      <w:r w:rsidRPr="00474BB2">
        <w:rPr>
          <w:rFonts w:cs="Arial"/>
        </w:rPr>
        <w:t>C-Mex down side impact.</w:t>
      </w:r>
    </w:p>
    <w:p w:rsidR="004A7BB9" w:rsidRPr="00474BB2" w:rsidRDefault="004A7BB9" w:rsidP="004A7BB9">
      <w:pPr>
        <w:rPr>
          <w:rFonts w:cs="Arial"/>
          <w:b/>
        </w:rPr>
      </w:pPr>
      <w:r w:rsidRPr="00474BB2">
        <w:rPr>
          <w:rFonts w:cs="Arial"/>
          <w:b/>
        </w:rPr>
        <w:t>Havant Thicket RoRE analysis</w:t>
      </w:r>
    </w:p>
    <w:p w:rsidR="004A7BB9" w:rsidRDefault="00110F38" w:rsidP="004A7BB9">
      <w:pPr>
        <w:rPr>
          <w:rFonts w:cs="Arial"/>
        </w:rPr>
      </w:pPr>
      <w:r w:rsidRPr="00110F38">
        <w:rPr>
          <w:rFonts w:cs="Arial"/>
        </w:rPr>
        <w:t>We have separately modelled the impact of a P10/P90 range of both cost and revenue for HTWSR.  This indicates an overall impact of +0.15% to -0.3% on the RoRE range.  This does not take into account any risk sharing mechanism, which would reduce the RoRE range further.</w:t>
      </w:r>
    </w:p>
    <w:p w:rsidR="00B45532" w:rsidRDefault="00B45532" w:rsidP="004A7BB9">
      <w:pPr>
        <w:rPr>
          <w:rFonts w:cs="Arial"/>
        </w:rPr>
      </w:pPr>
      <w:r>
        <w:rPr>
          <w:rFonts w:cs="Arial"/>
          <w:b/>
        </w:rPr>
        <w:t>Final RoRE Range</w:t>
      </w:r>
    </w:p>
    <w:p w:rsidR="00B45532" w:rsidRPr="00B45532" w:rsidRDefault="00B45532" w:rsidP="004A7BB9">
      <w:pPr>
        <w:rPr>
          <w:rFonts w:cs="Arial"/>
        </w:rPr>
      </w:pPr>
      <w:r>
        <w:rPr>
          <w:rFonts w:cs="Arial"/>
        </w:rPr>
        <w:t>Set out below are the final RoRE ranges, including the additional HTWSR scenario, on both an adjusted and an unadjusted basis to take account of the different approach to ODIs which we have explained above.</w:t>
      </w:r>
    </w:p>
    <w:tbl>
      <w:tblPr>
        <w:tblW w:w="5255"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90"/>
        <w:gridCol w:w="889"/>
        <w:gridCol w:w="890"/>
        <w:gridCol w:w="890"/>
      </w:tblGrid>
      <w:tr w:rsidR="00B45532" w:rsidRPr="00B45532" w:rsidTr="00CF2560">
        <w:trPr>
          <w:trHeight w:val="288"/>
        </w:trPr>
        <w:tc>
          <w:tcPr>
            <w:tcW w:w="1696" w:type="dxa"/>
            <w:shd w:val="clear" w:color="auto" w:fill="2E74B5" w:themeFill="accent1" w:themeFillShade="BF"/>
            <w:noWrap/>
            <w:vAlign w:val="bottom"/>
            <w:hideMark/>
          </w:tcPr>
          <w:p w:rsidR="00B45532" w:rsidRPr="00B45532" w:rsidRDefault="00B45532" w:rsidP="00B45532">
            <w:pPr>
              <w:tabs>
                <w:tab w:val="clear" w:pos="851"/>
              </w:tabs>
              <w:spacing w:after="0"/>
              <w:ind w:left="0"/>
              <w:jc w:val="left"/>
              <w:rPr>
                <w:rFonts w:cs="Arial"/>
                <w:color w:val="FFFFFF" w:themeColor="background1"/>
                <w:sz w:val="16"/>
                <w:szCs w:val="16"/>
              </w:rPr>
            </w:pPr>
            <w:r w:rsidRPr="00B45532">
              <w:rPr>
                <w:rFonts w:cs="Arial"/>
                <w:color w:val="FFFFFF" w:themeColor="background1"/>
                <w:sz w:val="16"/>
                <w:szCs w:val="16"/>
              </w:rPr>
              <w:t>RoRE Average</w:t>
            </w:r>
          </w:p>
          <w:p w:rsidR="00B45532" w:rsidRPr="00B45532" w:rsidRDefault="00B45532" w:rsidP="00B45532">
            <w:pPr>
              <w:tabs>
                <w:tab w:val="clear" w:pos="851"/>
              </w:tabs>
              <w:spacing w:after="0"/>
              <w:ind w:left="0"/>
              <w:jc w:val="left"/>
              <w:rPr>
                <w:rFonts w:cs="Arial"/>
                <w:color w:val="FFFFFF" w:themeColor="background1"/>
                <w:sz w:val="16"/>
                <w:szCs w:val="16"/>
              </w:rPr>
            </w:pPr>
            <w:r w:rsidRPr="00B45532">
              <w:rPr>
                <w:rFonts w:cs="Arial"/>
                <w:color w:val="FFFFFF" w:themeColor="background1"/>
                <w:sz w:val="16"/>
                <w:szCs w:val="16"/>
              </w:rPr>
              <w:t>(Appointee)</w:t>
            </w:r>
          </w:p>
        </w:tc>
        <w:tc>
          <w:tcPr>
            <w:tcW w:w="1779" w:type="dxa"/>
            <w:gridSpan w:val="2"/>
            <w:shd w:val="clear" w:color="auto" w:fill="2E74B5" w:themeFill="accent1" w:themeFillShade="BF"/>
            <w:noWrap/>
            <w:vAlign w:val="bottom"/>
          </w:tcPr>
          <w:p w:rsidR="00B45532" w:rsidRPr="00B45532" w:rsidRDefault="00B45532" w:rsidP="00B45532">
            <w:pPr>
              <w:tabs>
                <w:tab w:val="clear" w:pos="851"/>
              </w:tabs>
              <w:spacing w:after="0"/>
              <w:ind w:left="0"/>
              <w:jc w:val="center"/>
              <w:rPr>
                <w:rFonts w:cs="Arial"/>
                <w:color w:val="FFFFFF" w:themeColor="background1"/>
                <w:sz w:val="16"/>
                <w:szCs w:val="16"/>
              </w:rPr>
            </w:pPr>
            <w:r w:rsidRPr="00B45532">
              <w:rPr>
                <w:rFonts w:cs="Arial"/>
                <w:color w:val="FFFFFF" w:themeColor="background1"/>
                <w:sz w:val="16"/>
                <w:szCs w:val="16"/>
              </w:rPr>
              <w:t>Adjusted</w:t>
            </w:r>
          </w:p>
        </w:tc>
        <w:tc>
          <w:tcPr>
            <w:tcW w:w="1780" w:type="dxa"/>
            <w:gridSpan w:val="2"/>
            <w:shd w:val="clear" w:color="auto" w:fill="2E74B5" w:themeFill="accent1" w:themeFillShade="BF"/>
            <w:noWrap/>
            <w:vAlign w:val="bottom"/>
            <w:hideMark/>
          </w:tcPr>
          <w:p w:rsidR="00B45532" w:rsidRPr="00B45532" w:rsidRDefault="00B45532" w:rsidP="00B45532">
            <w:pPr>
              <w:tabs>
                <w:tab w:val="clear" w:pos="851"/>
              </w:tabs>
              <w:spacing w:after="0"/>
              <w:ind w:left="0"/>
              <w:jc w:val="center"/>
              <w:rPr>
                <w:rFonts w:cs="Arial"/>
                <w:color w:val="FFFFFF" w:themeColor="background1"/>
                <w:sz w:val="16"/>
                <w:szCs w:val="16"/>
              </w:rPr>
            </w:pPr>
            <w:r w:rsidRPr="00B45532">
              <w:rPr>
                <w:rFonts w:cs="Arial"/>
                <w:color w:val="FFFFFF" w:themeColor="background1"/>
                <w:sz w:val="16"/>
                <w:szCs w:val="16"/>
              </w:rPr>
              <w:t>Unadjusted</w:t>
            </w:r>
          </w:p>
        </w:tc>
      </w:tr>
      <w:tr w:rsidR="00B45532" w:rsidRPr="00B45532" w:rsidTr="00CF2560">
        <w:trPr>
          <w:trHeight w:val="288"/>
        </w:trPr>
        <w:tc>
          <w:tcPr>
            <w:tcW w:w="1696" w:type="dxa"/>
            <w:shd w:val="clear" w:color="auto" w:fill="2E74B5" w:themeFill="accent1" w:themeFillShade="BF"/>
            <w:noWrap/>
            <w:vAlign w:val="bottom"/>
            <w:hideMark/>
          </w:tcPr>
          <w:p w:rsidR="00B45532" w:rsidRPr="00B45532" w:rsidRDefault="00B45532" w:rsidP="00B45532">
            <w:pPr>
              <w:tabs>
                <w:tab w:val="clear" w:pos="851"/>
              </w:tabs>
              <w:spacing w:after="0"/>
              <w:ind w:left="0"/>
              <w:jc w:val="left"/>
              <w:rPr>
                <w:rFonts w:cs="Arial"/>
                <w:color w:val="FFFFFF" w:themeColor="background1"/>
                <w:sz w:val="16"/>
                <w:szCs w:val="16"/>
              </w:rPr>
            </w:pPr>
            <w:r w:rsidRPr="00B45532">
              <w:rPr>
                <w:rFonts w:cs="Arial"/>
                <w:color w:val="FFFFFF" w:themeColor="background1"/>
                <w:sz w:val="16"/>
                <w:szCs w:val="16"/>
              </w:rPr>
              <w:t>Movement from Base Case</w:t>
            </w:r>
          </w:p>
        </w:tc>
        <w:tc>
          <w:tcPr>
            <w:tcW w:w="890" w:type="dxa"/>
            <w:shd w:val="clear" w:color="auto" w:fill="2E74B5" w:themeFill="accent1" w:themeFillShade="BF"/>
            <w:noWrap/>
            <w:vAlign w:val="bottom"/>
            <w:hideMark/>
          </w:tcPr>
          <w:p w:rsidR="00B45532" w:rsidRPr="00B45532" w:rsidRDefault="00B45532" w:rsidP="00B45532">
            <w:pPr>
              <w:tabs>
                <w:tab w:val="clear" w:pos="851"/>
              </w:tabs>
              <w:spacing w:after="0"/>
              <w:ind w:left="0"/>
              <w:jc w:val="center"/>
              <w:rPr>
                <w:rFonts w:cs="Arial"/>
                <w:color w:val="FFFFFF" w:themeColor="background1"/>
                <w:sz w:val="14"/>
                <w:szCs w:val="14"/>
              </w:rPr>
            </w:pPr>
            <w:r w:rsidRPr="00B45532">
              <w:rPr>
                <w:rFonts w:cs="Arial"/>
                <w:color w:val="FFFFFF" w:themeColor="background1"/>
                <w:sz w:val="14"/>
                <w:szCs w:val="14"/>
              </w:rPr>
              <w:t>Upside</w:t>
            </w:r>
          </w:p>
        </w:tc>
        <w:tc>
          <w:tcPr>
            <w:tcW w:w="889" w:type="dxa"/>
            <w:shd w:val="clear" w:color="auto" w:fill="2E74B5" w:themeFill="accent1" w:themeFillShade="BF"/>
            <w:noWrap/>
            <w:vAlign w:val="bottom"/>
          </w:tcPr>
          <w:p w:rsidR="00B45532" w:rsidRPr="00B45532" w:rsidRDefault="00B45532" w:rsidP="00B45532">
            <w:pPr>
              <w:tabs>
                <w:tab w:val="clear" w:pos="851"/>
              </w:tabs>
              <w:spacing w:after="0"/>
              <w:ind w:left="0"/>
              <w:jc w:val="center"/>
              <w:rPr>
                <w:rFonts w:cs="Arial"/>
                <w:color w:val="FFFFFF" w:themeColor="background1"/>
                <w:sz w:val="14"/>
                <w:szCs w:val="14"/>
              </w:rPr>
            </w:pPr>
          </w:p>
        </w:tc>
        <w:tc>
          <w:tcPr>
            <w:tcW w:w="890" w:type="dxa"/>
            <w:shd w:val="clear" w:color="auto" w:fill="2E74B5" w:themeFill="accent1" w:themeFillShade="BF"/>
            <w:noWrap/>
            <w:vAlign w:val="bottom"/>
            <w:hideMark/>
          </w:tcPr>
          <w:p w:rsidR="00B45532" w:rsidRPr="00B45532" w:rsidRDefault="00B45532" w:rsidP="00B45532">
            <w:pPr>
              <w:tabs>
                <w:tab w:val="clear" w:pos="851"/>
              </w:tabs>
              <w:spacing w:after="0"/>
              <w:ind w:left="0"/>
              <w:jc w:val="center"/>
              <w:rPr>
                <w:rFonts w:cs="Arial"/>
                <w:color w:val="FFFFFF" w:themeColor="background1"/>
                <w:sz w:val="14"/>
                <w:szCs w:val="14"/>
              </w:rPr>
            </w:pPr>
            <w:r w:rsidRPr="00B45532">
              <w:rPr>
                <w:rFonts w:cs="Arial"/>
                <w:color w:val="FFFFFF" w:themeColor="background1"/>
                <w:sz w:val="14"/>
                <w:szCs w:val="14"/>
              </w:rPr>
              <w:t>Upside</w:t>
            </w:r>
          </w:p>
        </w:tc>
        <w:tc>
          <w:tcPr>
            <w:tcW w:w="890" w:type="dxa"/>
            <w:shd w:val="clear" w:color="auto" w:fill="2E74B5" w:themeFill="accent1" w:themeFillShade="BF"/>
            <w:noWrap/>
            <w:vAlign w:val="bottom"/>
            <w:hideMark/>
          </w:tcPr>
          <w:p w:rsidR="00B45532" w:rsidRPr="00B45532" w:rsidRDefault="00B45532" w:rsidP="00B45532">
            <w:pPr>
              <w:tabs>
                <w:tab w:val="clear" w:pos="851"/>
              </w:tabs>
              <w:spacing w:after="0"/>
              <w:ind w:left="0"/>
              <w:jc w:val="center"/>
              <w:rPr>
                <w:rFonts w:cs="Arial"/>
                <w:color w:val="FFFFFF" w:themeColor="background1"/>
                <w:sz w:val="14"/>
                <w:szCs w:val="14"/>
              </w:rPr>
            </w:pPr>
            <w:r w:rsidRPr="00B45532">
              <w:rPr>
                <w:rFonts w:cs="Arial"/>
                <w:color w:val="FFFFFF" w:themeColor="background1"/>
                <w:sz w:val="14"/>
                <w:szCs w:val="14"/>
              </w:rPr>
              <w:t>Downside</w:t>
            </w:r>
          </w:p>
        </w:tc>
      </w:tr>
      <w:tr w:rsidR="00B45532" w:rsidRPr="00B45532" w:rsidTr="00CF2560">
        <w:trPr>
          <w:trHeight w:val="288"/>
        </w:trPr>
        <w:tc>
          <w:tcPr>
            <w:tcW w:w="1696" w:type="dxa"/>
            <w:shd w:val="clear" w:color="auto" w:fill="auto"/>
            <w:noWrap/>
            <w:vAlign w:val="center"/>
            <w:hideMark/>
          </w:tcPr>
          <w:p w:rsidR="00B45532" w:rsidRPr="00B45532" w:rsidRDefault="00B45532" w:rsidP="00B45532">
            <w:pPr>
              <w:tabs>
                <w:tab w:val="clear" w:pos="851"/>
              </w:tabs>
              <w:spacing w:after="0"/>
              <w:ind w:left="0"/>
              <w:jc w:val="left"/>
              <w:rPr>
                <w:rFonts w:cs="Arial"/>
                <w:color w:val="000000"/>
                <w:sz w:val="16"/>
                <w:szCs w:val="16"/>
              </w:rPr>
            </w:pPr>
            <w:r w:rsidRPr="00B45532">
              <w:rPr>
                <w:rFonts w:cs="Arial"/>
                <w:color w:val="000000"/>
                <w:sz w:val="16"/>
                <w:szCs w:val="16"/>
              </w:rPr>
              <w:t>Revenue</w:t>
            </w:r>
          </w:p>
        </w:tc>
        <w:tc>
          <w:tcPr>
            <w:tcW w:w="890"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0.43%</w:t>
            </w:r>
          </w:p>
        </w:tc>
        <w:tc>
          <w:tcPr>
            <w:tcW w:w="889"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-0.31%</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0.43%</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-0.31%</w:t>
            </w:r>
          </w:p>
        </w:tc>
      </w:tr>
      <w:tr w:rsidR="00B45532" w:rsidRPr="00B45532" w:rsidTr="00CF2560">
        <w:trPr>
          <w:trHeight w:val="288"/>
        </w:trPr>
        <w:tc>
          <w:tcPr>
            <w:tcW w:w="1696" w:type="dxa"/>
            <w:shd w:val="clear" w:color="auto" w:fill="auto"/>
            <w:noWrap/>
            <w:vAlign w:val="center"/>
            <w:hideMark/>
          </w:tcPr>
          <w:p w:rsidR="00B45532" w:rsidRPr="00B45532" w:rsidRDefault="00B45532" w:rsidP="00B45532">
            <w:pPr>
              <w:tabs>
                <w:tab w:val="clear" w:pos="851"/>
              </w:tabs>
              <w:spacing w:after="0"/>
              <w:ind w:left="0"/>
              <w:jc w:val="left"/>
              <w:rPr>
                <w:rFonts w:cs="Arial"/>
                <w:color w:val="000000"/>
                <w:sz w:val="16"/>
                <w:szCs w:val="16"/>
              </w:rPr>
            </w:pPr>
            <w:r w:rsidRPr="00B45532">
              <w:rPr>
                <w:rFonts w:cs="Arial"/>
                <w:color w:val="000000"/>
                <w:sz w:val="16"/>
                <w:szCs w:val="16"/>
              </w:rPr>
              <w:t>Bulk supply revenue</w:t>
            </w:r>
          </w:p>
        </w:tc>
        <w:tc>
          <w:tcPr>
            <w:tcW w:w="890"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0.16%</w:t>
            </w:r>
          </w:p>
        </w:tc>
        <w:tc>
          <w:tcPr>
            <w:tcW w:w="889"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-0.01%</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0.16%</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-0.01%</w:t>
            </w:r>
          </w:p>
        </w:tc>
      </w:tr>
      <w:tr w:rsidR="00B45532" w:rsidRPr="00B45532" w:rsidTr="00CF2560">
        <w:trPr>
          <w:trHeight w:val="288"/>
        </w:trPr>
        <w:tc>
          <w:tcPr>
            <w:tcW w:w="1696" w:type="dxa"/>
            <w:shd w:val="clear" w:color="auto" w:fill="auto"/>
            <w:noWrap/>
            <w:vAlign w:val="center"/>
            <w:hideMark/>
          </w:tcPr>
          <w:p w:rsidR="00B45532" w:rsidRPr="00B45532" w:rsidRDefault="00B45532" w:rsidP="00B45532">
            <w:pPr>
              <w:tabs>
                <w:tab w:val="clear" w:pos="851"/>
              </w:tabs>
              <w:spacing w:after="0"/>
              <w:ind w:left="0"/>
              <w:jc w:val="left"/>
              <w:rPr>
                <w:rFonts w:cs="Arial"/>
                <w:color w:val="000000"/>
                <w:sz w:val="16"/>
                <w:szCs w:val="16"/>
              </w:rPr>
            </w:pPr>
            <w:r w:rsidRPr="00B45532">
              <w:rPr>
                <w:rFonts w:cs="Arial"/>
                <w:color w:val="000000"/>
                <w:sz w:val="16"/>
                <w:szCs w:val="16"/>
              </w:rPr>
              <w:t>Retail Revenue</w:t>
            </w:r>
          </w:p>
        </w:tc>
        <w:tc>
          <w:tcPr>
            <w:tcW w:w="890"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0.06%</w:t>
            </w:r>
          </w:p>
        </w:tc>
        <w:tc>
          <w:tcPr>
            <w:tcW w:w="889"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-0.04%</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0.06%</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-0.04%</w:t>
            </w:r>
          </w:p>
        </w:tc>
      </w:tr>
      <w:tr w:rsidR="00B45532" w:rsidRPr="00B45532" w:rsidTr="00CF2560">
        <w:trPr>
          <w:trHeight w:val="288"/>
        </w:trPr>
        <w:tc>
          <w:tcPr>
            <w:tcW w:w="1696" w:type="dxa"/>
            <w:shd w:val="clear" w:color="auto" w:fill="auto"/>
            <w:noWrap/>
            <w:vAlign w:val="center"/>
            <w:hideMark/>
          </w:tcPr>
          <w:p w:rsidR="00B45532" w:rsidRPr="00B45532" w:rsidRDefault="00B45532" w:rsidP="00B45532">
            <w:pPr>
              <w:tabs>
                <w:tab w:val="clear" w:pos="851"/>
              </w:tabs>
              <w:spacing w:after="0"/>
              <w:ind w:left="0"/>
              <w:jc w:val="left"/>
              <w:rPr>
                <w:rFonts w:cs="Arial"/>
                <w:color w:val="000000"/>
                <w:sz w:val="16"/>
                <w:szCs w:val="16"/>
              </w:rPr>
            </w:pPr>
            <w:r w:rsidRPr="00B45532">
              <w:rPr>
                <w:rFonts w:cs="Arial"/>
                <w:color w:val="000000"/>
                <w:sz w:val="16"/>
                <w:szCs w:val="16"/>
              </w:rPr>
              <w:t>Retail Cost</w:t>
            </w:r>
          </w:p>
        </w:tc>
        <w:tc>
          <w:tcPr>
            <w:tcW w:w="890"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0.04%</w:t>
            </w:r>
          </w:p>
        </w:tc>
        <w:tc>
          <w:tcPr>
            <w:tcW w:w="889"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-0.03%</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0.04%</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-0.03%</w:t>
            </w:r>
          </w:p>
        </w:tc>
      </w:tr>
      <w:tr w:rsidR="00B45532" w:rsidRPr="00B45532" w:rsidTr="00CF2560">
        <w:trPr>
          <w:trHeight w:val="288"/>
        </w:trPr>
        <w:tc>
          <w:tcPr>
            <w:tcW w:w="1696" w:type="dxa"/>
            <w:shd w:val="clear" w:color="auto" w:fill="auto"/>
            <w:noWrap/>
            <w:vAlign w:val="center"/>
            <w:hideMark/>
          </w:tcPr>
          <w:p w:rsidR="00B45532" w:rsidRPr="00B45532" w:rsidRDefault="00B45532" w:rsidP="00B45532">
            <w:pPr>
              <w:tabs>
                <w:tab w:val="clear" w:pos="851"/>
              </w:tabs>
              <w:spacing w:after="0"/>
              <w:ind w:left="0"/>
              <w:jc w:val="left"/>
              <w:rPr>
                <w:rFonts w:cs="Arial"/>
                <w:color w:val="000000"/>
                <w:sz w:val="16"/>
                <w:szCs w:val="16"/>
              </w:rPr>
            </w:pPr>
            <w:r w:rsidRPr="00B45532">
              <w:rPr>
                <w:rFonts w:cs="Arial"/>
                <w:color w:val="000000"/>
                <w:sz w:val="16"/>
                <w:szCs w:val="16"/>
              </w:rPr>
              <w:t>Costs</w:t>
            </w:r>
          </w:p>
        </w:tc>
        <w:tc>
          <w:tcPr>
            <w:tcW w:w="890"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0.45%</w:t>
            </w:r>
          </w:p>
        </w:tc>
        <w:tc>
          <w:tcPr>
            <w:tcW w:w="889"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-0.28%</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0.45%</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-0.28%</w:t>
            </w:r>
          </w:p>
        </w:tc>
      </w:tr>
      <w:tr w:rsidR="00B45532" w:rsidRPr="00B45532" w:rsidTr="00CF2560">
        <w:trPr>
          <w:trHeight w:val="288"/>
        </w:trPr>
        <w:tc>
          <w:tcPr>
            <w:tcW w:w="1696" w:type="dxa"/>
            <w:shd w:val="clear" w:color="auto" w:fill="auto"/>
            <w:noWrap/>
            <w:vAlign w:val="center"/>
            <w:hideMark/>
          </w:tcPr>
          <w:p w:rsidR="00B45532" w:rsidRPr="00B45532" w:rsidRDefault="00B45532" w:rsidP="00B45532">
            <w:pPr>
              <w:tabs>
                <w:tab w:val="clear" w:pos="851"/>
              </w:tabs>
              <w:spacing w:after="0"/>
              <w:ind w:left="0"/>
              <w:jc w:val="left"/>
              <w:rPr>
                <w:rFonts w:cs="Arial"/>
                <w:color w:val="000000"/>
                <w:sz w:val="16"/>
                <w:szCs w:val="16"/>
              </w:rPr>
            </w:pPr>
            <w:r w:rsidRPr="00B45532">
              <w:rPr>
                <w:rFonts w:cs="Arial"/>
                <w:color w:val="000000"/>
                <w:sz w:val="16"/>
                <w:szCs w:val="16"/>
              </w:rPr>
              <w:t>ODI</w:t>
            </w:r>
          </w:p>
        </w:tc>
        <w:tc>
          <w:tcPr>
            <w:tcW w:w="890"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1.10%</w:t>
            </w:r>
          </w:p>
        </w:tc>
        <w:tc>
          <w:tcPr>
            <w:tcW w:w="889"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-1.50%</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0.41%</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-0.41%</w:t>
            </w:r>
          </w:p>
        </w:tc>
      </w:tr>
      <w:tr w:rsidR="00B45532" w:rsidRPr="00B45532" w:rsidTr="00CF2560">
        <w:trPr>
          <w:trHeight w:val="288"/>
        </w:trPr>
        <w:tc>
          <w:tcPr>
            <w:tcW w:w="1696" w:type="dxa"/>
            <w:shd w:val="clear" w:color="auto" w:fill="auto"/>
            <w:noWrap/>
            <w:vAlign w:val="center"/>
            <w:hideMark/>
          </w:tcPr>
          <w:p w:rsidR="00B45532" w:rsidRPr="00B45532" w:rsidRDefault="00B45532" w:rsidP="00B45532">
            <w:pPr>
              <w:tabs>
                <w:tab w:val="clear" w:pos="851"/>
              </w:tabs>
              <w:spacing w:after="0"/>
              <w:ind w:left="0"/>
              <w:jc w:val="left"/>
              <w:rPr>
                <w:rFonts w:cs="Arial"/>
                <w:color w:val="000000"/>
                <w:sz w:val="16"/>
                <w:szCs w:val="16"/>
              </w:rPr>
            </w:pPr>
            <w:r w:rsidRPr="00B45532">
              <w:rPr>
                <w:rFonts w:cs="Arial"/>
                <w:color w:val="000000"/>
                <w:sz w:val="16"/>
                <w:szCs w:val="16"/>
              </w:rPr>
              <w:t>C-Mex</w:t>
            </w:r>
          </w:p>
        </w:tc>
        <w:tc>
          <w:tcPr>
            <w:tcW w:w="890"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0.23%</w:t>
            </w:r>
          </w:p>
        </w:tc>
        <w:tc>
          <w:tcPr>
            <w:tcW w:w="889"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0.00%</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0.23%</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0.00%</w:t>
            </w:r>
          </w:p>
        </w:tc>
      </w:tr>
      <w:tr w:rsidR="00B45532" w:rsidRPr="00B45532" w:rsidTr="00CF2560">
        <w:trPr>
          <w:trHeight w:val="288"/>
        </w:trPr>
        <w:tc>
          <w:tcPr>
            <w:tcW w:w="1696" w:type="dxa"/>
            <w:shd w:val="clear" w:color="auto" w:fill="auto"/>
            <w:noWrap/>
            <w:vAlign w:val="center"/>
            <w:hideMark/>
          </w:tcPr>
          <w:p w:rsidR="00B45532" w:rsidRPr="00B45532" w:rsidRDefault="00B45532" w:rsidP="00B45532">
            <w:pPr>
              <w:tabs>
                <w:tab w:val="clear" w:pos="851"/>
              </w:tabs>
              <w:spacing w:after="0"/>
              <w:ind w:left="0"/>
              <w:jc w:val="left"/>
              <w:rPr>
                <w:rFonts w:cs="Arial"/>
                <w:color w:val="000000"/>
                <w:sz w:val="16"/>
                <w:szCs w:val="16"/>
              </w:rPr>
            </w:pPr>
            <w:r w:rsidRPr="00B45532">
              <w:rPr>
                <w:rFonts w:cs="Arial"/>
                <w:color w:val="000000"/>
                <w:sz w:val="16"/>
                <w:szCs w:val="16"/>
              </w:rPr>
              <w:t>D-Mex</w:t>
            </w:r>
          </w:p>
        </w:tc>
        <w:tc>
          <w:tcPr>
            <w:tcW w:w="890"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0.07%</w:t>
            </w:r>
          </w:p>
        </w:tc>
        <w:tc>
          <w:tcPr>
            <w:tcW w:w="889"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-0.04%</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0.07%</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-0.04%</w:t>
            </w:r>
          </w:p>
        </w:tc>
      </w:tr>
      <w:tr w:rsidR="00B45532" w:rsidRPr="00B45532" w:rsidTr="00CF2560">
        <w:trPr>
          <w:trHeight w:val="288"/>
        </w:trPr>
        <w:tc>
          <w:tcPr>
            <w:tcW w:w="1696" w:type="dxa"/>
            <w:shd w:val="clear" w:color="auto" w:fill="auto"/>
            <w:noWrap/>
            <w:vAlign w:val="center"/>
            <w:hideMark/>
          </w:tcPr>
          <w:p w:rsidR="00B45532" w:rsidRPr="00B45532" w:rsidRDefault="00B45532" w:rsidP="00B45532">
            <w:pPr>
              <w:tabs>
                <w:tab w:val="clear" w:pos="851"/>
              </w:tabs>
              <w:spacing w:after="0"/>
              <w:ind w:left="0"/>
              <w:jc w:val="left"/>
              <w:rPr>
                <w:rFonts w:cs="Arial"/>
                <w:color w:val="000000"/>
                <w:sz w:val="16"/>
                <w:szCs w:val="16"/>
              </w:rPr>
            </w:pPr>
            <w:r w:rsidRPr="00B45532">
              <w:rPr>
                <w:rFonts w:cs="Arial"/>
                <w:color w:val="000000"/>
                <w:sz w:val="16"/>
                <w:szCs w:val="16"/>
              </w:rPr>
              <w:t>Financing</w:t>
            </w:r>
          </w:p>
        </w:tc>
        <w:tc>
          <w:tcPr>
            <w:tcW w:w="890"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0.11%</w:t>
            </w:r>
          </w:p>
        </w:tc>
        <w:tc>
          <w:tcPr>
            <w:tcW w:w="889" w:type="dxa"/>
            <w:shd w:val="clear" w:color="auto" w:fill="auto"/>
            <w:noWrap/>
            <w:vAlign w:val="center"/>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-0.11%</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0.11%</w:t>
            </w:r>
          </w:p>
        </w:tc>
        <w:tc>
          <w:tcPr>
            <w:tcW w:w="890" w:type="dxa"/>
            <w:shd w:val="clear" w:color="auto" w:fill="auto"/>
            <w:noWrap/>
            <w:vAlign w:val="center"/>
            <w:hideMark/>
          </w:tcPr>
          <w:p w:rsidR="00B45532" w:rsidRPr="00B45532" w:rsidRDefault="00B45532" w:rsidP="00B45532">
            <w:pPr>
              <w:tabs>
                <w:tab w:val="clear" w:pos="851"/>
              </w:tabs>
              <w:spacing w:after="0"/>
              <w:ind w:left="0"/>
              <w:jc w:val="center"/>
              <w:rPr>
                <w:rFonts w:cs="Arial"/>
                <w:color w:val="000000"/>
                <w:sz w:val="16"/>
                <w:szCs w:val="16"/>
              </w:rPr>
            </w:pPr>
            <w:r w:rsidRPr="00B45532">
              <w:rPr>
                <w:rFonts w:cs="Arial"/>
                <w:color w:val="000000"/>
                <w:sz w:val="16"/>
                <w:szCs w:val="16"/>
              </w:rPr>
              <w:t>-0.11%</w:t>
            </w:r>
          </w:p>
        </w:tc>
      </w:tr>
      <w:tr w:rsidR="00B45532" w:rsidRPr="00B45532" w:rsidTr="00CF2560">
        <w:trPr>
          <w:trHeight w:val="288"/>
        </w:trPr>
        <w:tc>
          <w:tcPr>
            <w:tcW w:w="1696" w:type="dxa"/>
            <w:shd w:val="clear" w:color="auto" w:fill="FFFFFF" w:themeFill="background1"/>
            <w:noWrap/>
            <w:vAlign w:val="center"/>
          </w:tcPr>
          <w:p w:rsidR="00B45532" w:rsidRPr="00B45532" w:rsidRDefault="00B45532" w:rsidP="00B45532">
            <w:pPr>
              <w:tabs>
                <w:tab w:val="clear" w:pos="851"/>
              </w:tabs>
              <w:spacing w:after="0"/>
              <w:ind w:left="0"/>
              <w:jc w:val="left"/>
              <w:rPr>
                <w:rFonts w:cs="Arial"/>
                <w:sz w:val="16"/>
                <w:szCs w:val="16"/>
              </w:rPr>
            </w:pPr>
            <w:r w:rsidRPr="00B45532">
              <w:rPr>
                <w:rFonts w:cs="Arial"/>
                <w:sz w:val="16"/>
                <w:szCs w:val="16"/>
              </w:rPr>
              <w:t>Havant Thicket scenario</w:t>
            </w:r>
          </w:p>
        </w:tc>
        <w:tc>
          <w:tcPr>
            <w:tcW w:w="890" w:type="dxa"/>
            <w:shd w:val="clear" w:color="auto" w:fill="FFFFFF" w:themeFill="background1"/>
            <w:noWrap/>
            <w:vAlign w:val="center"/>
          </w:tcPr>
          <w:p w:rsidR="00B45532" w:rsidRPr="00B45532" w:rsidRDefault="00B45532" w:rsidP="00B45532">
            <w:pPr>
              <w:tabs>
                <w:tab w:val="clear" w:pos="851"/>
              </w:tabs>
              <w:spacing w:after="0"/>
              <w:ind w:left="0"/>
              <w:jc w:val="center"/>
              <w:rPr>
                <w:rFonts w:cs="Arial"/>
                <w:sz w:val="16"/>
                <w:szCs w:val="16"/>
              </w:rPr>
            </w:pPr>
            <w:r w:rsidRPr="00B45532">
              <w:rPr>
                <w:rFonts w:cs="Arial"/>
                <w:sz w:val="16"/>
                <w:szCs w:val="16"/>
              </w:rPr>
              <w:t>0.15%</w:t>
            </w:r>
          </w:p>
        </w:tc>
        <w:tc>
          <w:tcPr>
            <w:tcW w:w="889" w:type="dxa"/>
            <w:shd w:val="clear" w:color="auto" w:fill="FFFFFF" w:themeFill="background1"/>
            <w:noWrap/>
            <w:vAlign w:val="center"/>
          </w:tcPr>
          <w:p w:rsidR="00B45532" w:rsidRPr="00B45532" w:rsidRDefault="00B45532" w:rsidP="00B45532">
            <w:pPr>
              <w:tabs>
                <w:tab w:val="clear" w:pos="851"/>
              </w:tabs>
              <w:spacing w:after="0"/>
              <w:ind w:left="0"/>
              <w:jc w:val="center"/>
              <w:rPr>
                <w:rFonts w:cs="Arial"/>
                <w:sz w:val="16"/>
                <w:szCs w:val="16"/>
              </w:rPr>
            </w:pPr>
            <w:r w:rsidRPr="00B45532">
              <w:rPr>
                <w:rFonts w:cs="Arial"/>
                <w:sz w:val="16"/>
                <w:szCs w:val="16"/>
              </w:rPr>
              <w:t>-0.3%</w:t>
            </w:r>
          </w:p>
        </w:tc>
        <w:tc>
          <w:tcPr>
            <w:tcW w:w="890" w:type="dxa"/>
            <w:shd w:val="clear" w:color="auto" w:fill="FFFFFF" w:themeFill="background1"/>
            <w:noWrap/>
            <w:vAlign w:val="center"/>
          </w:tcPr>
          <w:p w:rsidR="00B45532" w:rsidRPr="00B45532" w:rsidRDefault="00B45532" w:rsidP="00B45532">
            <w:pPr>
              <w:tabs>
                <w:tab w:val="clear" w:pos="851"/>
              </w:tabs>
              <w:spacing w:after="0"/>
              <w:ind w:left="0"/>
              <w:jc w:val="center"/>
              <w:rPr>
                <w:rFonts w:cs="Arial"/>
                <w:sz w:val="16"/>
                <w:szCs w:val="16"/>
              </w:rPr>
            </w:pPr>
            <w:r w:rsidRPr="00B45532">
              <w:rPr>
                <w:rFonts w:cs="Arial"/>
                <w:sz w:val="16"/>
                <w:szCs w:val="16"/>
              </w:rPr>
              <w:t>0.15%</w:t>
            </w:r>
          </w:p>
        </w:tc>
        <w:tc>
          <w:tcPr>
            <w:tcW w:w="890" w:type="dxa"/>
            <w:shd w:val="clear" w:color="auto" w:fill="FFFFFF" w:themeFill="background1"/>
            <w:noWrap/>
            <w:vAlign w:val="center"/>
          </w:tcPr>
          <w:p w:rsidR="00B45532" w:rsidRPr="00B45532" w:rsidRDefault="00B45532" w:rsidP="00B45532">
            <w:pPr>
              <w:tabs>
                <w:tab w:val="clear" w:pos="851"/>
              </w:tabs>
              <w:spacing w:after="0"/>
              <w:ind w:left="0"/>
              <w:jc w:val="center"/>
              <w:rPr>
                <w:rFonts w:cs="Arial"/>
                <w:sz w:val="16"/>
                <w:szCs w:val="16"/>
              </w:rPr>
            </w:pPr>
            <w:r w:rsidRPr="00B45532">
              <w:rPr>
                <w:rFonts w:cs="Arial"/>
                <w:sz w:val="16"/>
                <w:szCs w:val="16"/>
              </w:rPr>
              <w:t>-0.3%</w:t>
            </w:r>
          </w:p>
        </w:tc>
      </w:tr>
      <w:tr w:rsidR="00B45532" w:rsidRPr="00B45532" w:rsidTr="00CF2560">
        <w:trPr>
          <w:trHeight w:val="288"/>
        </w:trPr>
        <w:tc>
          <w:tcPr>
            <w:tcW w:w="1696" w:type="dxa"/>
            <w:shd w:val="clear" w:color="auto" w:fill="FFFFFF" w:themeFill="background1"/>
            <w:noWrap/>
            <w:vAlign w:val="center"/>
          </w:tcPr>
          <w:p w:rsidR="00B45532" w:rsidRPr="00B45532" w:rsidRDefault="00B45532" w:rsidP="00B45532">
            <w:pPr>
              <w:tabs>
                <w:tab w:val="clear" w:pos="851"/>
              </w:tabs>
              <w:spacing w:after="0"/>
              <w:ind w:left="0"/>
              <w:jc w:val="left"/>
              <w:rPr>
                <w:rFonts w:cs="Arial"/>
                <w:sz w:val="16"/>
                <w:szCs w:val="16"/>
              </w:rPr>
            </w:pPr>
            <w:r w:rsidRPr="00B45532">
              <w:rPr>
                <w:rFonts w:cs="Arial"/>
                <w:sz w:val="16"/>
                <w:szCs w:val="16"/>
              </w:rPr>
              <w:t>Total range</w:t>
            </w:r>
          </w:p>
        </w:tc>
        <w:tc>
          <w:tcPr>
            <w:tcW w:w="890" w:type="dxa"/>
            <w:shd w:val="clear" w:color="auto" w:fill="FFFFFF" w:themeFill="background1"/>
            <w:noWrap/>
            <w:vAlign w:val="center"/>
          </w:tcPr>
          <w:p w:rsidR="00B45532" w:rsidRPr="00B45532" w:rsidRDefault="00B45532" w:rsidP="00B45532">
            <w:pPr>
              <w:tabs>
                <w:tab w:val="clear" w:pos="851"/>
              </w:tabs>
              <w:spacing w:after="0"/>
              <w:ind w:left="0"/>
              <w:jc w:val="center"/>
              <w:rPr>
                <w:rFonts w:cs="Arial"/>
                <w:sz w:val="16"/>
                <w:szCs w:val="16"/>
              </w:rPr>
            </w:pPr>
            <w:r w:rsidRPr="00B45532">
              <w:rPr>
                <w:rFonts w:cs="Arial"/>
                <w:sz w:val="16"/>
                <w:szCs w:val="16"/>
              </w:rPr>
              <w:t>2.80%</w:t>
            </w:r>
          </w:p>
        </w:tc>
        <w:tc>
          <w:tcPr>
            <w:tcW w:w="889" w:type="dxa"/>
            <w:shd w:val="clear" w:color="auto" w:fill="FFFFFF" w:themeFill="background1"/>
            <w:noWrap/>
            <w:vAlign w:val="center"/>
          </w:tcPr>
          <w:p w:rsidR="00B45532" w:rsidRPr="00B45532" w:rsidRDefault="00B45532" w:rsidP="00B45532">
            <w:pPr>
              <w:tabs>
                <w:tab w:val="clear" w:pos="851"/>
              </w:tabs>
              <w:spacing w:after="0"/>
              <w:ind w:left="0"/>
              <w:jc w:val="center"/>
              <w:rPr>
                <w:rFonts w:cs="Arial"/>
                <w:sz w:val="16"/>
                <w:szCs w:val="16"/>
              </w:rPr>
            </w:pPr>
            <w:r w:rsidRPr="00B45532">
              <w:rPr>
                <w:rFonts w:cs="Arial"/>
                <w:sz w:val="16"/>
                <w:szCs w:val="16"/>
              </w:rPr>
              <w:t>-2.62%</w:t>
            </w:r>
          </w:p>
        </w:tc>
        <w:tc>
          <w:tcPr>
            <w:tcW w:w="890" w:type="dxa"/>
            <w:shd w:val="clear" w:color="auto" w:fill="FFFFFF" w:themeFill="background1"/>
            <w:noWrap/>
            <w:vAlign w:val="center"/>
          </w:tcPr>
          <w:p w:rsidR="00B45532" w:rsidRPr="00B45532" w:rsidRDefault="00B45532" w:rsidP="00B45532">
            <w:pPr>
              <w:tabs>
                <w:tab w:val="clear" w:pos="851"/>
              </w:tabs>
              <w:spacing w:after="0"/>
              <w:ind w:left="0"/>
              <w:jc w:val="center"/>
              <w:rPr>
                <w:rFonts w:cs="Arial"/>
                <w:sz w:val="16"/>
                <w:szCs w:val="16"/>
              </w:rPr>
            </w:pPr>
            <w:r w:rsidRPr="00B45532">
              <w:rPr>
                <w:rFonts w:cs="Arial"/>
                <w:sz w:val="16"/>
                <w:szCs w:val="16"/>
              </w:rPr>
              <w:t>2.11%</w:t>
            </w:r>
          </w:p>
        </w:tc>
        <w:tc>
          <w:tcPr>
            <w:tcW w:w="890" w:type="dxa"/>
            <w:shd w:val="clear" w:color="auto" w:fill="FFFFFF" w:themeFill="background1"/>
            <w:noWrap/>
            <w:vAlign w:val="center"/>
          </w:tcPr>
          <w:p w:rsidR="00B45532" w:rsidRPr="00B45532" w:rsidRDefault="00B45532" w:rsidP="00B45532">
            <w:pPr>
              <w:tabs>
                <w:tab w:val="clear" w:pos="851"/>
              </w:tabs>
              <w:spacing w:after="0"/>
              <w:ind w:left="0"/>
              <w:jc w:val="center"/>
              <w:rPr>
                <w:rFonts w:cs="Arial"/>
                <w:sz w:val="16"/>
                <w:szCs w:val="16"/>
              </w:rPr>
            </w:pPr>
            <w:r w:rsidRPr="00B45532">
              <w:rPr>
                <w:rFonts w:cs="Arial"/>
                <w:sz w:val="16"/>
                <w:szCs w:val="16"/>
              </w:rPr>
              <w:t>-1.53%</w:t>
            </w:r>
          </w:p>
        </w:tc>
      </w:tr>
    </w:tbl>
    <w:p w:rsidR="00B45532" w:rsidRPr="00110F38" w:rsidRDefault="00B45532" w:rsidP="004A7BB9">
      <w:pPr>
        <w:rPr>
          <w:rFonts w:cs="Arial"/>
        </w:rPr>
      </w:pPr>
    </w:p>
    <w:p w:rsidR="0020756E" w:rsidRPr="005D2A11" w:rsidRDefault="005D2A11" w:rsidP="00CD58D3">
      <w:pPr>
        <w:rPr>
          <w:b/>
        </w:rPr>
      </w:pPr>
      <w:r w:rsidRPr="005D2A11">
        <w:rPr>
          <w:b/>
        </w:rPr>
        <w:t>RoRE Cap on ODI Out-Performance</w:t>
      </w:r>
    </w:p>
    <w:p w:rsidR="00CD58D3" w:rsidRPr="00CD58D3" w:rsidRDefault="00CD58D3" w:rsidP="00CD58D3">
      <w:r w:rsidRPr="00CD58D3">
        <w:t>Although the RoRE analysis of ODIs does not indicate a range of out-performance beyond the +3% RoRE range set by Ofwat, the company has committed to a 3% RoRE cap for net ODI outperformance should this arise.</w:t>
      </w:r>
    </w:p>
    <w:p w:rsidR="00CD58D3" w:rsidRDefault="00CD58D3" w:rsidP="00CD58D3">
      <w:r w:rsidRPr="00CD58D3">
        <w:t>Taking into account the Company’s assessment of delivery risk, the ODI package and</w:t>
      </w:r>
      <w:r w:rsidR="00556CF7">
        <w:t xml:space="preserve"> the outcome of the RoRE analysi</w:t>
      </w:r>
      <w:r w:rsidRPr="00CD58D3">
        <w:t xml:space="preserve">s the Board has concluded that the overall balance of risk and return is appropriate.  </w:t>
      </w:r>
      <w:r w:rsidR="00541DE6" w:rsidRPr="00CD58D3">
        <w:t>Furthermore,</w:t>
      </w:r>
      <w:r w:rsidRPr="00CD58D3">
        <w:t xml:space="preserve"> customers will be protected from any significant outperformance through a capping of outperformance on ODIs at 3% of RoRE.</w:t>
      </w:r>
    </w:p>
    <w:p w:rsidR="00C300BF" w:rsidRPr="00453F64" w:rsidRDefault="00C300BF" w:rsidP="00C300BF">
      <w:pPr>
        <w:rPr>
          <w:rFonts w:cs="Arial"/>
          <w:color w:val="2E74B5" w:themeColor="accent1" w:themeShade="BF"/>
        </w:rPr>
      </w:pPr>
      <w:r w:rsidRPr="00453F64">
        <w:rPr>
          <w:rFonts w:cs="Arial"/>
          <w:color w:val="2E74B5" w:themeColor="accent1" w:themeShade="BF"/>
        </w:rPr>
        <w:t xml:space="preserve">Appendices relevant to this </w:t>
      </w:r>
      <w:r w:rsidR="00B24CAC" w:rsidRPr="00453F64">
        <w:rPr>
          <w:rFonts w:cs="Arial"/>
          <w:color w:val="2E74B5" w:themeColor="accent1" w:themeShade="BF"/>
        </w:rPr>
        <w:t>chapter</w:t>
      </w:r>
    </w:p>
    <w:tbl>
      <w:tblPr>
        <w:tblStyle w:val="TableGrid22"/>
        <w:tblW w:w="0" w:type="auto"/>
        <w:jc w:val="center"/>
        <w:tblLook w:val="04A0" w:firstRow="1" w:lastRow="0" w:firstColumn="1" w:lastColumn="0" w:noHBand="0" w:noVBand="1"/>
      </w:tblPr>
      <w:tblGrid>
        <w:gridCol w:w="1838"/>
        <w:gridCol w:w="4173"/>
        <w:gridCol w:w="1781"/>
      </w:tblGrid>
      <w:tr w:rsidR="00C300BF" w:rsidRPr="001E0DCD" w:rsidTr="00A05BD7">
        <w:trPr>
          <w:jc w:val="center"/>
        </w:trPr>
        <w:tc>
          <w:tcPr>
            <w:tcW w:w="1838" w:type="dxa"/>
            <w:shd w:val="clear" w:color="auto" w:fill="2E74B5" w:themeFill="accent1" w:themeFillShade="BF"/>
          </w:tcPr>
          <w:p w:rsidR="00C300BF" w:rsidRPr="001E0DCD" w:rsidRDefault="00C300BF" w:rsidP="00A05BD7">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C300BF" w:rsidRPr="001E0DCD" w:rsidRDefault="00C300BF" w:rsidP="00A05BD7">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C300BF" w:rsidRPr="001E0DCD" w:rsidRDefault="00C300BF" w:rsidP="00A05BD7">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C300BF" w:rsidRPr="001E0DCD" w:rsidTr="00A05BD7">
        <w:trPr>
          <w:jc w:val="center"/>
        </w:trPr>
        <w:tc>
          <w:tcPr>
            <w:tcW w:w="1838" w:type="dxa"/>
          </w:tcPr>
          <w:p w:rsidR="00C300BF" w:rsidRPr="001E0DCD" w:rsidRDefault="0005412A" w:rsidP="00A05BD7">
            <w:pPr>
              <w:tabs>
                <w:tab w:val="clear" w:pos="851"/>
              </w:tabs>
              <w:spacing w:after="0"/>
              <w:ind w:left="0"/>
              <w:jc w:val="left"/>
              <w:rPr>
                <w:rFonts w:cs="Arial"/>
                <w:sz w:val="16"/>
                <w:szCs w:val="16"/>
              </w:rPr>
            </w:pPr>
            <w:r>
              <w:rPr>
                <w:rFonts w:cs="Arial"/>
                <w:sz w:val="16"/>
                <w:szCs w:val="16"/>
              </w:rPr>
              <w:t>2.26</w:t>
            </w:r>
          </w:p>
        </w:tc>
        <w:tc>
          <w:tcPr>
            <w:tcW w:w="4173" w:type="dxa"/>
          </w:tcPr>
          <w:p w:rsidR="00C300BF" w:rsidRPr="001E0DCD" w:rsidRDefault="0005412A" w:rsidP="0005412A">
            <w:pPr>
              <w:tabs>
                <w:tab w:val="clear" w:pos="851"/>
              </w:tabs>
              <w:spacing w:after="0"/>
              <w:ind w:left="0"/>
              <w:jc w:val="left"/>
              <w:rPr>
                <w:rFonts w:cs="Arial"/>
                <w:sz w:val="16"/>
                <w:szCs w:val="16"/>
              </w:rPr>
            </w:pPr>
            <w:r>
              <w:rPr>
                <w:rFonts w:cs="Arial"/>
                <w:sz w:val="16"/>
                <w:szCs w:val="16"/>
              </w:rPr>
              <w:t>ICS – Bill profiling and Company Specific Premium</w:t>
            </w:r>
          </w:p>
        </w:tc>
        <w:tc>
          <w:tcPr>
            <w:tcW w:w="1781" w:type="dxa"/>
          </w:tcPr>
          <w:p w:rsidR="00C300BF" w:rsidRPr="001E0DCD" w:rsidRDefault="0005412A" w:rsidP="00A05BD7">
            <w:pPr>
              <w:tabs>
                <w:tab w:val="clear" w:pos="851"/>
              </w:tabs>
              <w:spacing w:after="0"/>
              <w:ind w:left="0"/>
              <w:jc w:val="left"/>
              <w:rPr>
                <w:rFonts w:cs="Arial"/>
                <w:sz w:val="16"/>
                <w:szCs w:val="16"/>
              </w:rPr>
            </w:pPr>
            <w:r>
              <w:rPr>
                <w:rFonts w:cs="Arial"/>
                <w:sz w:val="16"/>
                <w:szCs w:val="16"/>
              </w:rPr>
              <w:t>July 2018</w:t>
            </w:r>
          </w:p>
        </w:tc>
      </w:tr>
      <w:tr w:rsidR="00C300BF" w:rsidRPr="001E0DCD" w:rsidTr="00A05BD7">
        <w:trPr>
          <w:jc w:val="center"/>
        </w:trPr>
        <w:tc>
          <w:tcPr>
            <w:tcW w:w="1838" w:type="dxa"/>
          </w:tcPr>
          <w:p w:rsidR="00C300BF" w:rsidRPr="001E0DCD" w:rsidRDefault="0005412A" w:rsidP="00A05BD7">
            <w:pPr>
              <w:tabs>
                <w:tab w:val="clear" w:pos="851"/>
              </w:tabs>
              <w:spacing w:after="0"/>
              <w:ind w:left="0"/>
              <w:jc w:val="left"/>
              <w:rPr>
                <w:rFonts w:cs="Arial"/>
                <w:sz w:val="16"/>
                <w:szCs w:val="16"/>
              </w:rPr>
            </w:pPr>
            <w:r>
              <w:rPr>
                <w:rFonts w:cs="Arial"/>
                <w:sz w:val="16"/>
                <w:szCs w:val="16"/>
              </w:rPr>
              <w:t>2.28</w:t>
            </w:r>
          </w:p>
        </w:tc>
        <w:tc>
          <w:tcPr>
            <w:tcW w:w="4173" w:type="dxa"/>
          </w:tcPr>
          <w:p w:rsidR="00C300BF" w:rsidRPr="001E0DCD" w:rsidRDefault="0005412A" w:rsidP="00A05BD7">
            <w:pPr>
              <w:tabs>
                <w:tab w:val="clear" w:pos="851"/>
              </w:tabs>
              <w:spacing w:after="0"/>
              <w:ind w:left="0"/>
              <w:jc w:val="left"/>
              <w:rPr>
                <w:rFonts w:cs="Arial"/>
                <w:sz w:val="16"/>
                <w:szCs w:val="16"/>
              </w:rPr>
            </w:pPr>
            <w:r>
              <w:rPr>
                <w:rFonts w:cs="Arial"/>
                <w:sz w:val="16"/>
                <w:szCs w:val="16"/>
              </w:rPr>
              <w:t>ICS – Acceptability testing</w:t>
            </w:r>
          </w:p>
        </w:tc>
        <w:tc>
          <w:tcPr>
            <w:tcW w:w="1781" w:type="dxa"/>
          </w:tcPr>
          <w:p w:rsidR="00C300BF" w:rsidRPr="001E0DCD" w:rsidRDefault="0005412A" w:rsidP="00A05BD7">
            <w:pPr>
              <w:tabs>
                <w:tab w:val="clear" w:pos="851"/>
              </w:tabs>
              <w:spacing w:after="0"/>
              <w:ind w:left="0"/>
              <w:jc w:val="left"/>
              <w:rPr>
                <w:rFonts w:cs="Arial"/>
                <w:sz w:val="16"/>
                <w:szCs w:val="16"/>
              </w:rPr>
            </w:pPr>
            <w:r>
              <w:rPr>
                <w:rFonts w:cs="Arial"/>
                <w:sz w:val="16"/>
                <w:szCs w:val="16"/>
              </w:rPr>
              <w:t>August 2018</w:t>
            </w:r>
          </w:p>
        </w:tc>
      </w:tr>
      <w:tr w:rsidR="00C300BF" w:rsidRPr="001E0DCD" w:rsidTr="00A05BD7">
        <w:trPr>
          <w:jc w:val="center"/>
        </w:trPr>
        <w:tc>
          <w:tcPr>
            <w:tcW w:w="1838" w:type="dxa"/>
          </w:tcPr>
          <w:p w:rsidR="00C300BF" w:rsidRDefault="0005412A" w:rsidP="00A05BD7">
            <w:pPr>
              <w:tabs>
                <w:tab w:val="clear" w:pos="851"/>
              </w:tabs>
              <w:spacing w:after="0"/>
              <w:ind w:left="0"/>
              <w:jc w:val="left"/>
              <w:rPr>
                <w:rFonts w:cs="Arial"/>
                <w:sz w:val="16"/>
                <w:szCs w:val="16"/>
              </w:rPr>
            </w:pPr>
            <w:r>
              <w:rPr>
                <w:rFonts w:cs="Arial"/>
                <w:sz w:val="16"/>
                <w:szCs w:val="16"/>
              </w:rPr>
              <w:t>10.1</w:t>
            </w:r>
          </w:p>
        </w:tc>
        <w:tc>
          <w:tcPr>
            <w:tcW w:w="4173" w:type="dxa"/>
          </w:tcPr>
          <w:p w:rsidR="00C300BF" w:rsidRDefault="0005412A" w:rsidP="0005412A">
            <w:pPr>
              <w:tabs>
                <w:tab w:val="clear" w:pos="851"/>
              </w:tabs>
              <w:spacing w:after="0"/>
              <w:ind w:left="0"/>
              <w:jc w:val="left"/>
              <w:rPr>
                <w:rFonts w:cs="Arial"/>
                <w:sz w:val="16"/>
                <w:szCs w:val="16"/>
              </w:rPr>
            </w:pPr>
            <w:r>
              <w:rPr>
                <w:rFonts w:cs="Arial"/>
                <w:sz w:val="16"/>
                <w:szCs w:val="16"/>
              </w:rPr>
              <w:t>NERA – Evidence on Company Specific Adjustment for Portsmouth Water’s cost of debt</w:t>
            </w:r>
          </w:p>
        </w:tc>
        <w:tc>
          <w:tcPr>
            <w:tcW w:w="1781" w:type="dxa"/>
          </w:tcPr>
          <w:p w:rsidR="00C300BF" w:rsidRDefault="0005412A" w:rsidP="0005412A">
            <w:pPr>
              <w:tabs>
                <w:tab w:val="clear" w:pos="851"/>
              </w:tabs>
              <w:spacing w:after="0"/>
              <w:ind w:left="0"/>
              <w:jc w:val="left"/>
              <w:rPr>
                <w:rFonts w:cs="Arial"/>
                <w:sz w:val="16"/>
                <w:szCs w:val="16"/>
              </w:rPr>
            </w:pPr>
            <w:r>
              <w:rPr>
                <w:rFonts w:cs="Arial"/>
                <w:sz w:val="16"/>
                <w:szCs w:val="16"/>
              </w:rPr>
              <w:t>August 2017</w:t>
            </w:r>
          </w:p>
        </w:tc>
      </w:tr>
      <w:tr w:rsidR="00C300BF" w:rsidRPr="001E0DCD" w:rsidTr="00A05BD7">
        <w:trPr>
          <w:jc w:val="center"/>
        </w:trPr>
        <w:tc>
          <w:tcPr>
            <w:tcW w:w="1838" w:type="dxa"/>
          </w:tcPr>
          <w:p w:rsidR="00C300BF" w:rsidRDefault="0005412A" w:rsidP="00A05BD7">
            <w:pPr>
              <w:tabs>
                <w:tab w:val="clear" w:pos="851"/>
              </w:tabs>
              <w:spacing w:after="0"/>
              <w:ind w:left="0"/>
              <w:jc w:val="left"/>
              <w:rPr>
                <w:rFonts w:cs="Arial"/>
                <w:sz w:val="16"/>
                <w:szCs w:val="16"/>
              </w:rPr>
            </w:pPr>
            <w:r>
              <w:rPr>
                <w:rFonts w:cs="Arial"/>
                <w:sz w:val="16"/>
                <w:szCs w:val="16"/>
              </w:rPr>
              <w:t>10.2</w:t>
            </w:r>
          </w:p>
        </w:tc>
        <w:tc>
          <w:tcPr>
            <w:tcW w:w="4173" w:type="dxa"/>
          </w:tcPr>
          <w:p w:rsidR="00C300BF" w:rsidRDefault="0005412A" w:rsidP="00A05BD7">
            <w:pPr>
              <w:tabs>
                <w:tab w:val="clear" w:pos="851"/>
              </w:tabs>
              <w:spacing w:after="0"/>
              <w:ind w:left="0"/>
              <w:jc w:val="left"/>
              <w:rPr>
                <w:rFonts w:cs="Arial"/>
                <w:sz w:val="16"/>
                <w:szCs w:val="16"/>
              </w:rPr>
            </w:pPr>
            <w:r>
              <w:rPr>
                <w:rFonts w:cs="Arial"/>
                <w:sz w:val="16"/>
                <w:szCs w:val="16"/>
              </w:rPr>
              <w:t>NERA – Company Benefit Test for a Specific Company Adjustment to the cost of debt</w:t>
            </w:r>
          </w:p>
        </w:tc>
        <w:tc>
          <w:tcPr>
            <w:tcW w:w="1781" w:type="dxa"/>
          </w:tcPr>
          <w:p w:rsidR="00C300BF" w:rsidRDefault="0005412A" w:rsidP="00A05BD7">
            <w:pPr>
              <w:tabs>
                <w:tab w:val="clear" w:pos="851"/>
              </w:tabs>
              <w:spacing w:after="0"/>
              <w:ind w:left="0"/>
              <w:jc w:val="left"/>
              <w:rPr>
                <w:rFonts w:cs="Arial"/>
                <w:sz w:val="16"/>
                <w:szCs w:val="16"/>
              </w:rPr>
            </w:pPr>
            <w:r>
              <w:rPr>
                <w:rFonts w:cs="Arial"/>
                <w:sz w:val="16"/>
                <w:szCs w:val="16"/>
              </w:rPr>
              <w:t>June 2018</w:t>
            </w:r>
          </w:p>
        </w:tc>
      </w:tr>
      <w:tr w:rsidR="00C300BF" w:rsidRPr="001E0DCD" w:rsidTr="00A05BD7">
        <w:trPr>
          <w:jc w:val="center"/>
        </w:trPr>
        <w:tc>
          <w:tcPr>
            <w:tcW w:w="1838" w:type="dxa"/>
          </w:tcPr>
          <w:p w:rsidR="00C300BF" w:rsidRDefault="0005412A" w:rsidP="00A05BD7">
            <w:pPr>
              <w:tabs>
                <w:tab w:val="clear" w:pos="851"/>
              </w:tabs>
              <w:spacing w:after="0"/>
              <w:ind w:left="0"/>
              <w:jc w:val="left"/>
              <w:rPr>
                <w:rFonts w:cs="Arial"/>
                <w:sz w:val="16"/>
                <w:szCs w:val="16"/>
              </w:rPr>
            </w:pPr>
            <w:r>
              <w:rPr>
                <w:rFonts w:cs="Arial"/>
                <w:sz w:val="16"/>
                <w:szCs w:val="16"/>
              </w:rPr>
              <w:t>10.3</w:t>
            </w:r>
          </w:p>
        </w:tc>
        <w:tc>
          <w:tcPr>
            <w:tcW w:w="4173" w:type="dxa"/>
          </w:tcPr>
          <w:p w:rsidR="00C300BF" w:rsidRDefault="0005412A" w:rsidP="00A05BD7">
            <w:pPr>
              <w:tabs>
                <w:tab w:val="clear" w:pos="851"/>
              </w:tabs>
              <w:spacing w:after="0"/>
              <w:ind w:left="0"/>
              <w:jc w:val="left"/>
              <w:rPr>
                <w:rFonts w:cs="Arial"/>
                <w:sz w:val="16"/>
                <w:szCs w:val="16"/>
              </w:rPr>
            </w:pPr>
            <w:r>
              <w:rPr>
                <w:rFonts w:cs="Arial"/>
                <w:sz w:val="16"/>
                <w:szCs w:val="16"/>
              </w:rPr>
              <w:t>Board paper – summary of PR19 Delivery Risk</w:t>
            </w:r>
          </w:p>
        </w:tc>
        <w:tc>
          <w:tcPr>
            <w:tcW w:w="1781" w:type="dxa"/>
          </w:tcPr>
          <w:p w:rsidR="00C300BF" w:rsidRDefault="0005412A" w:rsidP="00A05BD7">
            <w:pPr>
              <w:tabs>
                <w:tab w:val="clear" w:pos="851"/>
              </w:tabs>
              <w:spacing w:after="0"/>
              <w:ind w:left="0"/>
              <w:jc w:val="left"/>
              <w:rPr>
                <w:rFonts w:cs="Arial"/>
                <w:sz w:val="16"/>
                <w:szCs w:val="16"/>
              </w:rPr>
            </w:pPr>
            <w:r>
              <w:rPr>
                <w:rFonts w:cs="Arial"/>
                <w:sz w:val="16"/>
                <w:szCs w:val="16"/>
              </w:rPr>
              <w:t>May 2018</w:t>
            </w:r>
          </w:p>
        </w:tc>
      </w:tr>
      <w:tr w:rsidR="00C300BF" w:rsidRPr="001E0DCD" w:rsidTr="00A05BD7">
        <w:trPr>
          <w:jc w:val="center"/>
        </w:trPr>
        <w:tc>
          <w:tcPr>
            <w:tcW w:w="1838" w:type="dxa"/>
          </w:tcPr>
          <w:p w:rsidR="00C300BF" w:rsidRDefault="0005412A" w:rsidP="00A05BD7">
            <w:pPr>
              <w:tabs>
                <w:tab w:val="clear" w:pos="851"/>
              </w:tabs>
              <w:spacing w:after="0"/>
              <w:ind w:left="0"/>
              <w:jc w:val="left"/>
              <w:rPr>
                <w:rFonts w:cs="Arial"/>
                <w:sz w:val="16"/>
                <w:szCs w:val="16"/>
              </w:rPr>
            </w:pPr>
            <w:r>
              <w:rPr>
                <w:rFonts w:cs="Arial"/>
                <w:sz w:val="16"/>
                <w:szCs w:val="16"/>
              </w:rPr>
              <w:t>10.4</w:t>
            </w:r>
          </w:p>
        </w:tc>
        <w:tc>
          <w:tcPr>
            <w:tcW w:w="4173" w:type="dxa"/>
          </w:tcPr>
          <w:p w:rsidR="00C300BF" w:rsidRDefault="0005412A" w:rsidP="00A05BD7">
            <w:pPr>
              <w:tabs>
                <w:tab w:val="clear" w:pos="851"/>
              </w:tabs>
              <w:spacing w:after="0"/>
              <w:ind w:left="0"/>
              <w:jc w:val="left"/>
              <w:rPr>
                <w:rFonts w:cs="Arial"/>
                <w:sz w:val="16"/>
                <w:szCs w:val="16"/>
              </w:rPr>
            </w:pPr>
            <w:r>
              <w:rPr>
                <w:rFonts w:cs="Arial"/>
                <w:sz w:val="16"/>
                <w:szCs w:val="16"/>
              </w:rPr>
              <w:t>Approach to RoRE Scenarios</w:t>
            </w:r>
          </w:p>
        </w:tc>
        <w:tc>
          <w:tcPr>
            <w:tcW w:w="1781" w:type="dxa"/>
          </w:tcPr>
          <w:p w:rsidR="00C300BF" w:rsidRDefault="0005412A" w:rsidP="00A05BD7">
            <w:pPr>
              <w:tabs>
                <w:tab w:val="clear" w:pos="851"/>
              </w:tabs>
              <w:spacing w:after="0"/>
              <w:ind w:left="0"/>
              <w:jc w:val="left"/>
              <w:rPr>
                <w:rFonts w:cs="Arial"/>
                <w:sz w:val="16"/>
                <w:szCs w:val="16"/>
              </w:rPr>
            </w:pPr>
            <w:r>
              <w:rPr>
                <w:rFonts w:cs="Arial"/>
                <w:sz w:val="16"/>
                <w:szCs w:val="16"/>
              </w:rPr>
              <w:t>August 2018</w:t>
            </w:r>
          </w:p>
        </w:tc>
      </w:tr>
    </w:tbl>
    <w:p w:rsidR="00CD58D3" w:rsidRPr="00EE3837" w:rsidRDefault="00CD58D3" w:rsidP="00EE3837">
      <w:pPr>
        <w:ind w:left="1436" w:hanging="585"/>
        <w:rPr>
          <w:color w:val="00B0F0"/>
        </w:rPr>
      </w:pPr>
    </w:p>
    <w:p w:rsidR="00312A77" w:rsidRDefault="00312A77">
      <w:pPr>
        <w:tabs>
          <w:tab w:val="clear" w:pos="851"/>
        </w:tabs>
        <w:spacing w:after="0"/>
        <w:ind w:left="0"/>
        <w:jc w:val="left"/>
      </w:pPr>
      <w:r>
        <w:br w:type="page"/>
      </w:r>
    </w:p>
    <w:p w:rsidR="00791BF9" w:rsidRDefault="00791BF9" w:rsidP="0005234B">
      <w:pPr>
        <w:pStyle w:val="Heading1"/>
      </w:pPr>
      <w:bookmarkStart w:id="252" w:name="_Toc522200041"/>
      <w:bookmarkStart w:id="253" w:name="_Toc522200138"/>
      <w:bookmarkStart w:id="254" w:name="_Toc523651331"/>
      <w:r>
        <w:t>Risk and Return – Financeability</w:t>
      </w:r>
      <w:bookmarkEnd w:id="252"/>
      <w:bookmarkEnd w:id="253"/>
      <w:bookmarkEnd w:id="254"/>
    </w:p>
    <w:p w:rsidR="00C60D6C" w:rsidRDefault="00C60D6C" w:rsidP="00C60D6C">
      <w:pPr>
        <w:rPr>
          <w:rFonts w:cs="Arial"/>
        </w:rPr>
      </w:pPr>
      <w:r>
        <w:rPr>
          <w:rFonts w:cs="Arial"/>
        </w:rPr>
        <w:t>The aim of the chapter is to demonstrate that the business is financeable both through PR19 and in the longer term.  This includes how we have assessed financeability under both a notional and an actual capital structure together with our conclusions on financial resilience.  In addition we also cover elements supporting financeability relating to bill levels &amp; profiles, appropriateness of PAYG levels and the financial ratios used to assess financeability.</w:t>
      </w:r>
    </w:p>
    <w:p w:rsidR="00B24CAC" w:rsidRDefault="00B24CAC" w:rsidP="00B24CAC">
      <w:pPr>
        <w:pStyle w:val="Heading2"/>
      </w:pPr>
      <w:bookmarkStart w:id="255" w:name="_Toc523651332"/>
      <w:r w:rsidRPr="00C60D6C">
        <w:t>Board</w:t>
      </w:r>
      <w:r>
        <w:t xml:space="preserve"> statement on financeability</w:t>
      </w:r>
      <w:bookmarkEnd w:id="255"/>
    </w:p>
    <w:p w:rsidR="008B4529" w:rsidRPr="008B4529" w:rsidRDefault="008B4529" w:rsidP="00A5052C">
      <w:pPr>
        <w:rPr>
          <w:rFonts w:eastAsiaTheme="minorHAnsi"/>
          <w:lang w:eastAsia="en-US"/>
        </w:rPr>
      </w:pPr>
      <w:r w:rsidRPr="008B4529">
        <w:rPr>
          <w:rFonts w:eastAsiaTheme="minorHAnsi"/>
          <w:lang w:eastAsia="en-US"/>
        </w:rPr>
        <w:t>The Board has concluded that the Company is financeable on both a notional and an actual capital structure.  They have also concluded that the Company is financially resilient.</w:t>
      </w:r>
    </w:p>
    <w:p w:rsidR="008B4529" w:rsidRPr="008B4529" w:rsidRDefault="008B4529" w:rsidP="00A5052C">
      <w:pPr>
        <w:rPr>
          <w:rFonts w:eastAsiaTheme="minorHAnsi"/>
          <w:lang w:eastAsia="en-US"/>
        </w:rPr>
      </w:pPr>
      <w:r w:rsidRPr="008B4529">
        <w:rPr>
          <w:rFonts w:eastAsiaTheme="minorHAnsi"/>
          <w:lang w:eastAsia="en-US"/>
        </w:rPr>
        <w:t xml:space="preserve">Board assurance has been gained over financeability and financial resilience by close oversight, review, challenge and approval of all of the aspects of the Business Plan process which impact on these two areas. </w:t>
      </w:r>
    </w:p>
    <w:p w:rsidR="008B4529" w:rsidRPr="008B4529" w:rsidRDefault="008B4529" w:rsidP="00A5052C">
      <w:pPr>
        <w:rPr>
          <w:rFonts w:eastAsiaTheme="minorHAnsi"/>
          <w:lang w:eastAsia="en-US"/>
        </w:rPr>
      </w:pPr>
      <w:r w:rsidRPr="008B4529">
        <w:rPr>
          <w:rFonts w:eastAsiaTheme="minorHAnsi"/>
          <w:lang w:eastAsia="en-US"/>
        </w:rPr>
        <w:t xml:space="preserve">Critical to this assurance has been the Board’s oversight of the process of financial modelling of the Business Plan.  As set out in the Board Assurance </w:t>
      </w:r>
      <w:r w:rsidR="005D2A11">
        <w:rPr>
          <w:rFonts w:eastAsiaTheme="minorHAnsi"/>
          <w:lang w:eastAsia="en-US"/>
        </w:rPr>
        <w:t xml:space="preserve">Statement, </w:t>
      </w:r>
      <w:r w:rsidRPr="008B4529">
        <w:rPr>
          <w:rFonts w:eastAsiaTheme="minorHAnsi"/>
          <w:lang w:eastAsia="en-US"/>
        </w:rPr>
        <w:t xml:space="preserve">the Board has reviewed and approved the key inputs to and outputs from the Plan </w:t>
      </w:r>
      <w:r w:rsidR="005D2A11">
        <w:rPr>
          <w:rFonts w:eastAsiaTheme="minorHAnsi"/>
          <w:lang w:eastAsia="en-US"/>
        </w:rPr>
        <w:t xml:space="preserve">that </w:t>
      </w:r>
      <w:r w:rsidRPr="008B4529">
        <w:rPr>
          <w:rFonts w:eastAsiaTheme="minorHAnsi"/>
          <w:lang w:eastAsia="en-US"/>
        </w:rPr>
        <w:t xml:space="preserve">have a bearing on the overall financial results, financeability and financial resilience.  </w:t>
      </w:r>
    </w:p>
    <w:p w:rsidR="008B4529" w:rsidRPr="008B4529" w:rsidRDefault="008B4529" w:rsidP="00A5052C">
      <w:pPr>
        <w:rPr>
          <w:rFonts w:eastAsiaTheme="minorHAnsi"/>
          <w:lang w:eastAsia="en-US"/>
        </w:rPr>
      </w:pPr>
      <w:r w:rsidRPr="008B4529">
        <w:rPr>
          <w:rFonts w:eastAsiaTheme="minorHAnsi"/>
          <w:lang w:eastAsia="en-US"/>
        </w:rPr>
        <w:t>The Board has reviewed, challenged and approved all of the key areas that support it’s overall conclusions in relation to financeability.  Of particular importance is the Board involvement in assessing the appropriate target credit rating and the Board’s close understanding of business risks, which has driven the selection of financial resilience scenarios.</w:t>
      </w:r>
    </w:p>
    <w:p w:rsidR="00212F4A" w:rsidRPr="00212F4A" w:rsidRDefault="008B4529" w:rsidP="00A5052C">
      <w:pPr>
        <w:rPr>
          <w:rFonts w:eastAsiaTheme="minorHAnsi"/>
          <w:lang w:eastAsia="en-US"/>
        </w:rPr>
      </w:pPr>
      <w:r w:rsidRPr="008B4529">
        <w:rPr>
          <w:rFonts w:eastAsiaTheme="minorHAnsi"/>
          <w:lang w:eastAsia="en-US"/>
        </w:rPr>
        <w:t xml:space="preserve">The Board assurance process </w:t>
      </w:r>
      <w:r w:rsidR="005D2A11">
        <w:rPr>
          <w:rFonts w:eastAsiaTheme="minorHAnsi"/>
          <w:lang w:eastAsia="en-US"/>
        </w:rPr>
        <w:t xml:space="preserve">over financeability </w:t>
      </w:r>
      <w:r w:rsidRPr="008B4529">
        <w:rPr>
          <w:rFonts w:eastAsiaTheme="minorHAnsi"/>
          <w:lang w:eastAsia="en-US"/>
        </w:rPr>
        <w:t>has included the following areas;</w:t>
      </w:r>
    </w:p>
    <w:tbl>
      <w:tblPr>
        <w:tblStyle w:val="TableGrid57"/>
        <w:tblW w:w="8930" w:type="dxa"/>
        <w:tblInd w:w="704" w:type="dxa"/>
        <w:tblLook w:val="04A0" w:firstRow="1" w:lastRow="0" w:firstColumn="1" w:lastColumn="0" w:noHBand="0" w:noVBand="1"/>
      </w:tblPr>
      <w:tblGrid>
        <w:gridCol w:w="2410"/>
        <w:gridCol w:w="6520"/>
      </w:tblGrid>
      <w:tr w:rsidR="00212F4A" w:rsidRPr="00212F4A" w:rsidTr="00B75EB2">
        <w:tc>
          <w:tcPr>
            <w:tcW w:w="2410" w:type="dxa"/>
            <w:shd w:val="clear" w:color="auto" w:fill="2E74B5" w:themeFill="accent1" w:themeFillShade="BF"/>
          </w:tcPr>
          <w:p w:rsidR="00212F4A" w:rsidRPr="00212F4A" w:rsidRDefault="00212F4A" w:rsidP="00212F4A">
            <w:pPr>
              <w:tabs>
                <w:tab w:val="clear" w:pos="851"/>
              </w:tabs>
              <w:spacing w:after="0"/>
              <w:ind w:left="0"/>
              <w:jc w:val="left"/>
              <w:rPr>
                <w:rFonts w:cs="Arial"/>
                <w:b/>
                <w:color w:val="FFFFFF" w:themeColor="background1"/>
                <w:sz w:val="16"/>
                <w:szCs w:val="16"/>
              </w:rPr>
            </w:pPr>
            <w:r w:rsidRPr="00212F4A">
              <w:rPr>
                <w:rFonts w:cs="Arial"/>
                <w:b/>
                <w:color w:val="FFFFFF" w:themeColor="background1"/>
                <w:sz w:val="16"/>
                <w:szCs w:val="16"/>
              </w:rPr>
              <w:t>Business Plan area</w:t>
            </w:r>
          </w:p>
        </w:tc>
        <w:tc>
          <w:tcPr>
            <w:tcW w:w="6520" w:type="dxa"/>
            <w:shd w:val="clear" w:color="auto" w:fill="2E74B5" w:themeFill="accent1" w:themeFillShade="BF"/>
          </w:tcPr>
          <w:p w:rsidR="00212F4A" w:rsidRPr="00212F4A" w:rsidRDefault="00212F4A" w:rsidP="00212F4A">
            <w:pPr>
              <w:tabs>
                <w:tab w:val="clear" w:pos="851"/>
              </w:tabs>
              <w:spacing w:after="0"/>
              <w:ind w:left="0"/>
              <w:jc w:val="left"/>
              <w:rPr>
                <w:rFonts w:cs="Arial"/>
                <w:b/>
                <w:color w:val="FFFFFF" w:themeColor="background1"/>
                <w:sz w:val="16"/>
                <w:szCs w:val="16"/>
              </w:rPr>
            </w:pPr>
            <w:r w:rsidRPr="00212F4A">
              <w:rPr>
                <w:rFonts w:cs="Arial"/>
                <w:b/>
                <w:color w:val="FFFFFF" w:themeColor="background1"/>
                <w:sz w:val="16"/>
                <w:szCs w:val="16"/>
              </w:rPr>
              <w:t>Summary of Board review &amp; approval</w:t>
            </w:r>
          </w:p>
        </w:tc>
      </w:tr>
      <w:tr w:rsidR="00212F4A" w:rsidRPr="00212F4A" w:rsidTr="00B75EB2">
        <w:tc>
          <w:tcPr>
            <w:tcW w:w="241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Ofwat Guidance</w:t>
            </w:r>
          </w:p>
        </w:tc>
        <w:tc>
          <w:tcPr>
            <w:tcW w:w="652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Consideration of Ofwat methodology and approach including;</w:t>
            </w:r>
          </w:p>
          <w:p w:rsidR="00212F4A" w:rsidRPr="00212F4A" w:rsidRDefault="00212F4A" w:rsidP="00C2402B">
            <w:pPr>
              <w:numPr>
                <w:ilvl w:val="0"/>
                <w:numId w:val="23"/>
              </w:numPr>
              <w:tabs>
                <w:tab w:val="clear" w:pos="851"/>
              </w:tabs>
              <w:spacing w:after="0"/>
              <w:contextualSpacing/>
              <w:jc w:val="left"/>
              <w:rPr>
                <w:rFonts w:cs="Arial"/>
                <w:sz w:val="16"/>
                <w:szCs w:val="16"/>
              </w:rPr>
            </w:pPr>
            <w:r w:rsidRPr="00212F4A">
              <w:rPr>
                <w:rFonts w:cs="Arial"/>
                <w:sz w:val="16"/>
                <w:szCs w:val="16"/>
              </w:rPr>
              <w:t>Setting of WACC</w:t>
            </w:r>
          </w:p>
          <w:p w:rsidR="00212F4A" w:rsidRPr="00212F4A" w:rsidRDefault="00212F4A" w:rsidP="00C2402B">
            <w:pPr>
              <w:numPr>
                <w:ilvl w:val="0"/>
                <w:numId w:val="23"/>
              </w:numPr>
              <w:tabs>
                <w:tab w:val="clear" w:pos="851"/>
              </w:tabs>
              <w:spacing w:after="0"/>
              <w:contextualSpacing/>
              <w:jc w:val="left"/>
              <w:rPr>
                <w:rFonts w:cs="Arial"/>
                <w:sz w:val="16"/>
                <w:szCs w:val="16"/>
              </w:rPr>
            </w:pPr>
            <w:r w:rsidRPr="00212F4A">
              <w:rPr>
                <w:rFonts w:cs="Arial"/>
                <w:sz w:val="16"/>
                <w:szCs w:val="16"/>
              </w:rPr>
              <w:t>Approach to Company Specific Premium</w:t>
            </w:r>
          </w:p>
          <w:p w:rsidR="00212F4A" w:rsidRPr="00212F4A" w:rsidRDefault="00212F4A" w:rsidP="00C2402B">
            <w:pPr>
              <w:numPr>
                <w:ilvl w:val="0"/>
                <w:numId w:val="23"/>
              </w:numPr>
              <w:tabs>
                <w:tab w:val="clear" w:pos="851"/>
              </w:tabs>
              <w:spacing w:after="0"/>
              <w:contextualSpacing/>
              <w:jc w:val="left"/>
              <w:rPr>
                <w:rFonts w:cs="Arial"/>
                <w:sz w:val="16"/>
                <w:szCs w:val="16"/>
              </w:rPr>
            </w:pPr>
            <w:r w:rsidRPr="00212F4A">
              <w:rPr>
                <w:rFonts w:cs="Arial"/>
                <w:sz w:val="16"/>
                <w:szCs w:val="16"/>
              </w:rPr>
              <w:t>Approaches set out in the “Putting the Sector Back in Balance” consultation</w:t>
            </w:r>
          </w:p>
        </w:tc>
      </w:tr>
      <w:tr w:rsidR="00212F4A" w:rsidRPr="00212F4A" w:rsidTr="00B75EB2">
        <w:tc>
          <w:tcPr>
            <w:tcW w:w="241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Company Specific Premium</w:t>
            </w:r>
          </w:p>
        </w:tc>
        <w:tc>
          <w:tcPr>
            <w:tcW w:w="652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Review of NERA reports supporting Company Specific Premium.</w:t>
            </w:r>
          </w:p>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Approval of the use of a 30bps uplift to cost of debt as set out in the NERA reports.</w:t>
            </w:r>
          </w:p>
        </w:tc>
      </w:tr>
      <w:tr w:rsidR="00212F4A" w:rsidRPr="00212F4A" w:rsidTr="00B75EB2">
        <w:tc>
          <w:tcPr>
            <w:tcW w:w="241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Affordability</w:t>
            </w:r>
          </w:p>
        </w:tc>
        <w:tc>
          <w:tcPr>
            <w:tcW w:w="652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Work supporting bill levels, profile and social tariff.</w:t>
            </w:r>
          </w:p>
        </w:tc>
      </w:tr>
      <w:tr w:rsidR="00212F4A" w:rsidRPr="00212F4A" w:rsidTr="00B75EB2">
        <w:tc>
          <w:tcPr>
            <w:tcW w:w="241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Outcomes</w:t>
            </w:r>
          </w:p>
        </w:tc>
        <w:tc>
          <w:tcPr>
            <w:tcW w:w="652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ODI proposals including rewards &amp; penalties basket and RoRE impact</w:t>
            </w:r>
          </w:p>
        </w:tc>
      </w:tr>
      <w:tr w:rsidR="00212F4A" w:rsidRPr="00212F4A" w:rsidTr="00B75EB2">
        <w:tc>
          <w:tcPr>
            <w:tcW w:w="241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Resilience</w:t>
            </w:r>
          </w:p>
        </w:tc>
        <w:tc>
          <w:tcPr>
            <w:tcW w:w="652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Financial resilience (scenario modelling)</w:t>
            </w:r>
          </w:p>
          <w:p w:rsidR="00212F4A" w:rsidRPr="00212F4A" w:rsidRDefault="00212F4A" w:rsidP="00C2402B">
            <w:pPr>
              <w:numPr>
                <w:ilvl w:val="0"/>
                <w:numId w:val="22"/>
              </w:numPr>
              <w:tabs>
                <w:tab w:val="clear" w:pos="851"/>
              </w:tabs>
              <w:spacing w:after="0"/>
              <w:contextualSpacing/>
              <w:jc w:val="left"/>
              <w:rPr>
                <w:rFonts w:cs="Arial"/>
                <w:sz w:val="16"/>
                <w:szCs w:val="16"/>
              </w:rPr>
            </w:pPr>
            <w:r w:rsidRPr="00212F4A">
              <w:rPr>
                <w:rFonts w:cs="Arial"/>
                <w:sz w:val="16"/>
                <w:szCs w:val="16"/>
              </w:rPr>
              <w:t>Reviewing and agreeing financial viability statement scenarios for Annual Report</w:t>
            </w:r>
          </w:p>
          <w:p w:rsidR="00212F4A" w:rsidRPr="00212F4A" w:rsidRDefault="00212F4A" w:rsidP="00C2402B">
            <w:pPr>
              <w:numPr>
                <w:ilvl w:val="0"/>
                <w:numId w:val="22"/>
              </w:numPr>
              <w:tabs>
                <w:tab w:val="clear" w:pos="851"/>
              </w:tabs>
              <w:spacing w:after="0"/>
              <w:contextualSpacing/>
              <w:jc w:val="left"/>
              <w:rPr>
                <w:rFonts w:cs="Arial"/>
                <w:sz w:val="16"/>
                <w:szCs w:val="16"/>
              </w:rPr>
            </w:pPr>
            <w:r w:rsidRPr="00212F4A">
              <w:rPr>
                <w:rFonts w:cs="Arial"/>
                <w:sz w:val="16"/>
                <w:szCs w:val="16"/>
              </w:rPr>
              <w:t>Reviewing  and agreeing updated scenarios for the Business Plan process</w:t>
            </w:r>
          </w:p>
          <w:p w:rsidR="00212F4A" w:rsidRPr="00212F4A" w:rsidRDefault="00212F4A" w:rsidP="00C2402B">
            <w:pPr>
              <w:numPr>
                <w:ilvl w:val="0"/>
                <w:numId w:val="22"/>
              </w:numPr>
              <w:tabs>
                <w:tab w:val="clear" w:pos="851"/>
              </w:tabs>
              <w:spacing w:after="0"/>
              <w:contextualSpacing/>
              <w:jc w:val="left"/>
              <w:rPr>
                <w:rFonts w:cs="Arial"/>
                <w:sz w:val="16"/>
                <w:szCs w:val="16"/>
              </w:rPr>
            </w:pPr>
            <w:r w:rsidRPr="00212F4A">
              <w:rPr>
                <w:rFonts w:cs="Arial"/>
                <w:sz w:val="16"/>
                <w:szCs w:val="16"/>
              </w:rPr>
              <w:t>Considering financial resilience scenarios set out in the Ofwat “Putting the Sector Back in Balance” consultation</w:t>
            </w:r>
          </w:p>
          <w:p w:rsidR="00212F4A" w:rsidRPr="00212F4A" w:rsidRDefault="00212F4A" w:rsidP="00C2402B">
            <w:pPr>
              <w:numPr>
                <w:ilvl w:val="0"/>
                <w:numId w:val="22"/>
              </w:numPr>
              <w:tabs>
                <w:tab w:val="clear" w:pos="851"/>
              </w:tabs>
              <w:spacing w:after="0"/>
              <w:contextualSpacing/>
              <w:jc w:val="left"/>
              <w:rPr>
                <w:rFonts w:cs="Arial"/>
                <w:sz w:val="16"/>
                <w:szCs w:val="16"/>
              </w:rPr>
            </w:pPr>
            <w:r w:rsidRPr="00212F4A">
              <w:rPr>
                <w:rFonts w:cs="Arial"/>
                <w:sz w:val="16"/>
                <w:szCs w:val="16"/>
              </w:rPr>
              <w:t>Reviewing the outputs and mitigations from the scenario modelling</w:t>
            </w:r>
          </w:p>
        </w:tc>
      </w:tr>
      <w:tr w:rsidR="00212F4A" w:rsidRPr="00212F4A" w:rsidTr="00B75EB2">
        <w:tc>
          <w:tcPr>
            <w:tcW w:w="241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Cost assessment &amp; efficiency</w:t>
            </w:r>
          </w:p>
          <w:p w:rsidR="00212F4A" w:rsidRPr="00212F4A" w:rsidRDefault="00212F4A" w:rsidP="00212F4A">
            <w:pPr>
              <w:tabs>
                <w:tab w:val="clear" w:pos="851"/>
              </w:tabs>
              <w:spacing w:after="0"/>
              <w:ind w:left="0"/>
              <w:jc w:val="left"/>
              <w:rPr>
                <w:rFonts w:cs="Arial"/>
                <w:sz w:val="16"/>
                <w:szCs w:val="16"/>
              </w:rPr>
            </w:pPr>
          </w:p>
        </w:tc>
        <w:tc>
          <w:tcPr>
            <w:tcW w:w="652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 xml:space="preserve">Company challenges in relation to cost and efficiency including overall </w:t>
            </w:r>
            <w:r w:rsidR="00FE42E8">
              <w:rPr>
                <w:rFonts w:cs="Arial"/>
                <w:sz w:val="16"/>
                <w:szCs w:val="16"/>
              </w:rPr>
              <w:t>Totex</w:t>
            </w:r>
            <w:r w:rsidRPr="00212F4A">
              <w:rPr>
                <w:rFonts w:cs="Arial"/>
                <w:sz w:val="16"/>
                <w:szCs w:val="16"/>
              </w:rPr>
              <w:t xml:space="preserve"> benchmarking.</w:t>
            </w:r>
          </w:p>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 xml:space="preserve">Proposed </w:t>
            </w:r>
            <w:r w:rsidR="00FE42E8">
              <w:rPr>
                <w:rFonts w:cs="Arial"/>
                <w:sz w:val="16"/>
                <w:szCs w:val="16"/>
              </w:rPr>
              <w:t>Totex</w:t>
            </w:r>
            <w:r w:rsidRPr="00212F4A">
              <w:rPr>
                <w:rFonts w:cs="Arial"/>
                <w:sz w:val="16"/>
                <w:szCs w:val="16"/>
              </w:rPr>
              <w:t xml:space="preserve"> position</w:t>
            </w:r>
          </w:p>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Specific papers covering large investment proposals;</w:t>
            </w:r>
          </w:p>
          <w:p w:rsidR="00212F4A" w:rsidRPr="00212F4A" w:rsidRDefault="00212F4A" w:rsidP="00C2402B">
            <w:pPr>
              <w:numPr>
                <w:ilvl w:val="0"/>
                <w:numId w:val="21"/>
              </w:numPr>
              <w:tabs>
                <w:tab w:val="clear" w:pos="851"/>
              </w:tabs>
              <w:spacing w:after="0"/>
              <w:contextualSpacing/>
              <w:jc w:val="left"/>
              <w:rPr>
                <w:rFonts w:cs="Arial"/>
                <w:sz w:val="16"/>
                <w:szCs w:val="16"/>
              </w:rPr>
            </w:pPr>
            <w:r w:rsidRPr="00212F4A">
              <w:rPr>
                <w:rFonts w:cs="Arial"/>
                <w:sz w:val="16"/>
                <w:szCs w:val="16"/>
              </w:rPr>
              <w:t xml:space="preserve">Overall </w:t>
            </w:r>
            <w:r w:rsidR="00964B14">
              <w:rPr>
                <w:rFonts w:cs="Arial"/>
                <w:sz w:val="16"/>
                <w:szCs w:val="16"/>
              </w:rPr>
              <w:t>Capex</w:t>
            </w:r>
            <w:r w:rsidRPr="00212F4A">
              <w:rPr>
                <w:rFonts w:cs="Arial"/>
                <w:sz w:val="16"/>
                <w:szCs w:val="16"/>
              </w:rPr>
              <w:t xml:space="preserve"> plan</w:t>
            </w:r>
          </w:p>
          <w:p w:rsidR="00212F4A" w:rsidRPr="00212F4A" w:rsidRDefault="00212F4A" w:rsidP="00C2402B">
            <w:pPr>
              <w:numPr>
                <w:ilvl w:val="0"/>
                <w:numId w:val="21"/>
              </w:numPr>
              <w:tabs>
                <w:tab w:val="clear" w:pos="851"/>
              </w:tabs>
              <w:spacing w:after="0"/>
              <w:contextualSpacing/>
              <w:jc w:val="left"/>
              <w:rPr>
                <w:rFonts w:cs="Arial"/>
                <w:sz w:val="16"/>
                <w:szCs w:val="16"/>
              </w:rPr>
            </w:pPr>
            <w:r w:rsidRPr="00212F4A">
              <w:rPr>
                <w:rFonts w:cs="Arial"/>
                <w:sz w:val="16"/>
                <w:szCs w:val="16"/>
              </w:rPr>
              <w:t>Havant Thicket Winter Storage Reservoir</w:t>
            </w:r>
          </w:p>
          <w:p w:rsidR="00212F4A" w:rsidRPr="00212F4A" w:rsidRDefault="00212F4A" w:rsidP="00C2402B">
            <w:pPr>
              <w:numPr>
                <w:ilvl w:val="0"/>
                <w:numId w:val="21"/>
              </w:numPr>
              <w:tabs>
                <w:tab w:val="clear" w:pos="851"/>
              </w:tabs>
              <w:spacing w:after="0"/>
              <w:contextualSpacing/>
              <w:jc w:val="left"/>
              <w:rPr>
                <w:rFonts w:cs="Arial"/>
                <w:sz w:val="16"/>
                <w:szCs w:val="16"/>
              </w:rPr>
            </w:pPr>
            <w:r w:rsidRPr="00212F4A">
              <w:rPr>
                <w:rFonts w:cs="Arial"/>
                <w:sz w:val="16"/>
                <w:szCs w:val="16"/>
              </w:rPr>
              <w:t xml:space="preserve">Catchment </w:t>
            </w:r>
            <w:r w:rsidR="00B24CAC">
              <w:rPr>
                <w:rFonts w:cs="Arial"/>
                <w:sz w:val="16"/>
                <w:szCs w:val="16"/>
              </w:rPr>
              <w:t>M</w:t>
            </w:r>
            <w:r w:rsidRPr="00212F4A">
              <w:rPr>
                <w:rFonts w:cs="Arial"/>
                <w:sz w:val="16"/>
                <w:szCs w:val="16"/>
              </w:rPr>
              <w:t>anagement</w:t>
            </w:r>
          </w:p>
          <w:p w:rsidR="00212F4A" w:rsidRPr="00212F4A" w:rsidRDefault="00212F4A" w:rsidP="00C2402B">
            <w:pPr>
              <w:numPr>
                <w:ilvl w:val="0"/>
                <w:numId w:val="21"/>
              </w:numPr>
              <w:tabs>
                <w:tab w:val="clear" w:pos="851"/>
              </w:tabs>
              <w:spacing w:after="0"/>
              <w:contextualSpacing/>
              <w:jc w:val="left"/>
              <w:rPr>
                <w:rFonts w:cs="Arial"/>
                <w:sz w:val="16"/>
                <w:szCs w:val="16"/>
              </w:rPr>
            </w:pPr>
            <w:r w:rsidRPr="00212F4A">
              <w:rPr>
                <w:rFonts w:cs="Arial"/>
                <w:sz w:val="16"/>
                <w:szCs w:val="16"/>
              </w:rPr>
              <w:t>Infrastructure renewals</w:t>
            </w:r>
          </w:p>
          <w:p w:rsidR="00212F4A" w:rsidRPr="00212F4A" w:rsidRDefault="00212F4A" w:rsidP="00C2402B">
            <w:pPr>
              <w:numPr>
                <w:ilvl w:val="0"/>
                <w:numId w:val="21"/>
              </w:numPr>
              <w:tabs>
                <w:tab w:val="clear" w:pos="851"/>
              </w:tabs>
              <w:spacing w:after="0"/>
              <w:contextualSpacing/>
              <w:jc w:val="left"/>
              <w:rPr>
                <w:rFonts w:cs="Arial"/>
                <w:sz w:val="16"/>
                <w:szCs w:val="16"/>
              </w:rPr>
            </w:pPr>
            <w:r w:rsidRPr="00212F4A">
              <w:rPr>
                <w:rFonts w:cs="Arial"/>
                <w:sz w:val="16"/>
                <w:szCs w:val="16"/>
              </w:rPr>
              <w:t>Water quality investments</w:t>
            </w:r>
          </w:p>
          <w:p w:rsidR="00212F4A" w:rsidRPr="00212F4A" w:rsidRDefault="00212F4A" w:rsidP="00C2402B">
            <w:pPr>
              <w:numPr>
                <w:ilvl w:val="0"/>
                <w:numId w:val="21"/>
              </w:numPr>
              <w:tabs>
                <w:tab w:val="clear" w:pos="851"/>
              </w:tabs>
              <w:spacing w:after="0"/>
              <w:contextualSpacing/>
              <w:jc w:val="left"/>
              <w:rPr>
                <w:rFonts w:cs="Arial"/>
                <w:sz w:val="16"/>
                <w:szCs w:val="16"/>
              </w:rPr>
            </w:pPr>
            <w:r w:rsidRPr="00212F4A">
              <w:rPr>
                <w:rFonts w:cs="Arial"/>
                <w:sz w:val="16"/>
                <w:szCs w:val="16"/>
              </w:rPr>
              <w:t>Resilience schemes</w:t>
            </w:r>
          </w:p>
          <w:p w:rsidR="00212F4A" w:rsidRPr="00212F4A" w:rsidRDefault="00212F4A" w:rsidP="00C2402B">
            <w:pPr>
              <w:numPr>
                <w:ilvl w:val="0"/>
                <w:numId w:val="21"/>
              </w:numPr>
              <w:tabs>
                <w:tab w:val="clear" w:pos="851"/>
              </w:tabs>
              <w:spacing w:after="0"/>
              <w:contextualSpacing/>
              <w:jc w:val="left"/>
              <w:rPr>
                <w:rFonts w:cs="Arial"/>
                <w:sz w:val="16"/>
                <w:szCs w:val="16"/>
              </w:rPr>
            </w:pPr>
            <w:r w:rsidRPr="00212F4A">
              <w:rPr>
                <w:rFonts w:cs="Arial"/>
                <w:sz w:val="16"/>
                <w:szCs w:val="16"/>
              </w:rPr>
              <w:t>Enhancements</w:t>
            </w:r>
          </w:p>
        </w:tc>
      </w:tr>
    </w:tbl>
    <w:p w:rsidR="00B75EB2" w:rsidRDefault="00B75EB2" w:rsidP="00B75EB2">
      <w:pPr>
        <w:spacing w:after="0"/>
      </w:pPr>
    </w:p>
    <w:tbl>
      <w:tblPr>
        <w:tblStyle w:val="TableGrid57"/>
        <w:tblW w:w="8930" w:type="dxa"/>
        <w:tblInd w:w="704" w:type="dxa"/>
        <w:tblLook w:val="04A0" w:firstRow="1" w:lastRow="0" w:firstColumn="1" w:lastColumn="0" w:noHBand="0" w:noVBand="1"/>
      </w:tblPr>
      <w:tblGrid>
        <w:gridCol w:w="2410"/>
        <w:gridCol w:w="6520"/>
      </w:tblGrid>
      <w:tr w:rsidR="00B75EB2" w:rsidRPr="00B75EB2" w:rsidTr="00B75EB2">
        <w:tc>
          <w:tcPr>
            <w:tcW w:w="2410" w:type="dxa"/>
            <w:shd w:val="clear" w:color="auto" w:fill="2E74B5" w:themeFill="accent1" w:themeFillShade="BF"/>
          </w:tcPr>
          <w:p w:rsidR="00B75EB2" w:rsidRPr="00B75EB2" w:rsidRDefault="00B75EB2" w:rsidP="00212F4A">
            <w:pPr>
              <w:tabs>
                <w:tab w:val="clear" w:pos="851"/>
              </w:tabs>
              <w:spacing w:after="0"/>
              <w:ind w:left="0"/>
              <w:jc w:val="left"/>
              <w:rPr>
                <w:rFonts w:cs="Arial"/>
                <w:b/>
                <w:color w:val="FFFFFF" w:themeColor="background1"/>
                <w:sz w:val="16"/>
                <w:szCs w:val="16"/>
              </w:rPr>
            </w:pPr>
            <w:r w:rsidRPr="00B75EB2">
              <w:rPr>
                <w:rFonts w:cs="Arial"/>
                <w:b/>
                <w:color w:val="FFFFFF" w:themeColor="background1"/>
                <w:sz w:val="16"/>
                <w:szCs w:val="16"/>
              </w:rPr>
              <w:t>Business Plan area</w:t>
            </w:r>
          </w:p>
        </w:tc>
        <w:tc>
          <w:tcPr>
            <w:tcW w:w="6520" w:type="dxa"/>
            <w:shd w:val="clear" w:color="auto" w:fill="2E74B5" w:themeFill="accent1" w:themeFillShade="BF"/>
          </w:tcPr>
          <w:p w:rsidR="00B75EB2" w:rsidRPr="00B75EB2" w:rsidRDefault="00B75EB2" w:rsidP="00212F4A">
            <w:pPr>
              <w:tabs>
                <w:tab w:val="clear" w:pos="851"/>
              </w:tabs>
              <w:spacing w:after="0"/>
              <w:ind w:left="0"/>
              <w:jc w:val="left"/>
              <w:rPr>
                <w:rFonts w:cs="Arial"/>
                <w:b/>
                <w:color w:val="FFFFFF" w:themeColor="background1"/>
                <w:sz w:val="16"/>
                <w:szCs w:val="16"/>
              </w:rPr>
            </w:pPr>
            <w:r w:rsidRPr="00B75EB2">
              <w:rPr>
                <w:rFonts w:cs="Arial"/>
                <w:b/>
                <w:color w:val="FFFFFF" w:themeColor="background1"/>
                <w:sz w:val="16"/>
                <w:szCs w:val="16"/>
              </w:rPr>
              <w:t>Summary of Board review &amp; approval</w:t>
            </w:r>
          </w:p>
        </w:tc>
      </w:tr>
      <w:tr w:rsidR="00212F4A" w:rsidRPr="00212F4A" w:rsidTr="00B75EB2">
        <w:tc>
          <w:tcPr>
            <w:tcW w:w="241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Risk &amp; Return</w:t>
            </w:r>
          </w:p>
        </w:tc>
        <w:tc>
          <w:tcPr>
            <w:tcW w:w="652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Board review of Company paper summarising PR19 delivery risk and mitigation plans (including impact on ODI outturn and RORE assessment).</w:t>
            </w:r>
          </w:p>
        </w:tc>
      </w:tr>
      <w:tr w:rsidR="00212F4A" w:rsidRPr="00212F4A" w:rsidTr="00B75EB2">
        <w:tc>
          <w:tcPr>
            <w:tcW w:w="241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Financeability</w:t>
            </w:r>
          </w:p>
        </w:tc>
        <w:tc>
          <w:tcPr>
            <w:tcW w:w="6520" w:type="dxa"/>
          </w:tcPr>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 xml:space="preserve">Approach to Company’s assessment of financeability.  Principles including key financial ratios and levels, targeted credit rating, injection of </w:t>
            </w:r>
            <w:r w:rsidR="005115F9">
              <w:rPr>
                <w:rFonts w:cs="Arial"/>
                <w:sz w:val="16"/>
                <w:szCs w:val="16"/>
              </w:rPr>
              <w:t>capital</w:t>
            </w:r>
            <w:r w:rsidRPr="00212F4A">
              <w:rPr>
                <w:rFonts w:cs="Arial"/>
                <w:sz w:val="16"/>
                <w:szCs w:val="16"/>
              </w:rPr>
              <w:t xml:space="preserve"> and use of PAYG levers.</w:t>
            </w:r>
          </w:p>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Review of the Company’s modelling and sensitivity analysis of financial outturn including key ratios (in line with Business Plan guidance and Ofwat Scenarios).</w:t>
            </w:r>
          </w:p>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Customer engagement covering Bill Profiles, PAYG adjustment and Small Company Premium</w:t>
            </w:r>
          </w:p>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Approval of dividend policy and gearing sharing approach.</w:t>
            </w:r>
          </w:p>
          <w:p w:rsidR="00212F4A" w:rsidRPr="00212F4A" w:rsidRDefault="00212F4A" w:rsidP="00212F4A">
            <w:pPr>
              <w:tabs>
                <w:tab w:val="clear" w:pos="851"/>
              </w:tabs>
              <w:spacing w:after="0"/>
              <w:ind w:left="0"/>
              <w:jc w:val="left"/>
              <w:rPr>
                <w:rFonts w:cs="Arial"/>
                <w:sz w:val="16"/>
                <w:szCs w:val="16"/>
              </w:rPr>
            </w:pPr>
            <w:r w:rsidRPr="00212F4A">
              <w:rPr>
                <w:rFonts w:cs="Arial"/>
                <w:sz w:val="16"/>
                <w:szCs w:val="16"/>
              </w:rPr>
              <w:t>Review of overall assessment of financeability including outturn ratios, PAYG levers applied final bill levels and profiles.</w:t>
            </w:r>
          </w:p>
        </w:tc>
      </w:tr>
    </w:tbl>
    <w:p w:rsidR="00212F4A" w:rsidRPr="00212F4A" w:rsidRDefault="00212F4A" w:rsidP="00212F4A">
      <w:pPr>
        <w:tabs>
          <w:tab w:val="clear" w:pos="851"/>
        </w:tabs>
        <w:autoSpaceDE w:val="0"/>
        <w:autoSpaceDN w:val="0"/>
        <w:adjustRightInd w:val="0"/>
        <w:spacing w:after="0"/>
        <w:ind w:left="0"/>
        <w:jc w:val="left"/>
        <w:rPr>
          <w:rFonts w:eastAsiaTheme="minorHAnsi" w:cs="Arial"/>
          <w:color w:val="000000" w:themeColor="text1"/>
          <w:lang w:eastAsia="en-US"/>
        </w:rPr>
      </w:pPr>
    </w:p>
    <w:p w:rsidR="008B4529" w:rsidRPr="008B4529" w:rsidRDefault="008B4529" w:rsidP="008B4529">
      <w:pPr>
        <w:rPr>
          <w:rFonts w:cs="Arial"/>
          <w:szCs w:val="20"/>
        </w:rPr>
      </w:pPr>
      <w:r w:rsidRPr="008B4529">
        <w:rPr>
          <w:rFonts w:cs="Arial"/>
          <w:szCs w:val="20"/>
        </w:rPr>
        <w:t>The Board has robust governance processes and believes they are appropriate to ensure long term financial resilience. These include rigorous budgeting and financial approval processes and clear governance linkage between risk assessment and financial resilience.</w:t>
      </w:r>
    </w:p>
    <w:p w:rsidR="008B4529" w:rsidRPr="008B4529" w:rsidRDefault="008B4529" w:rsidP="008B4529">
      <w:pPr>
        <w:rPr>
          <w:rFonts w:cs="Arial"/>
          <w:szCs w:val="20"/>
        </w:rPr>
      </w:pPr>
      <w:r w:rsidRPr="008B4529">
        <w:rPr>
          <w:rFonts w:cs="Arial"/>
          <w:szCs w:val="20"/>
        </w:rPr>
        <w:t>Following early modelling and analysis by the Company</w:t>
      </w:r>
      <w:r w:rsidR="005D2A11">
        <w:rPr>
          <w:rFonts w:cs="Arial"/>
          <w:szCs w:val="20"/>
        </w:rPr>
        <w:t>,</w:t>
      </w:r>
      <w:r w:rsidRPr="008B4529">
        <w:rPr>
          <w:rFonts w:cs="Arial"/>
          <w:szCs w:val="20"/>
        </w:rPr>
        <w:t xml:space="preserve"> it was identified that the </w:t>
      </w:r>
      <w:r w:rsidR="00545AE9">
        <w:rPr>
          <w:rFonts w:cs="Arial"/>
          <w:szCs w:val="20"/>
        </w:rPr>
        <w:t>p</w:t>
      </w:r>
      <w:r w:rsidRPr="008B4529">
        <w:rPr>
          <w:rFonts w:cs="Arial"/>
          <w:szCs w:val="20"/>
        </w:rPr>
        <w:t xml:space="preserve">roposed WACC could have a significant impact on financeability of the business.  The Board has actively engaged with the Shareholder to ensure it will </w:t>
      </w:r>
      <w:r w:rsidR="004977F6">
        <w:rPr>
          <w:rFonts w:cs="Arial"/>
          <w:szCs w:val="20"/>
        </w:rPr>
        <w:t xml:space="preserve">provide financial support in the form of </w:t>
      </w:r>
      <w:r w:rsidR="005115F9">
        <w:rPr>
          <w:rFonts w:cs="Arial"/>
          <w:szCs w:val="20"/>
        </w:rPr>
        <w:t>capital</w:t>
      </w:r>
      <w:r w:rsidRPr="008B4529">
        <w:rPr>
          <w:rFonts w:cs="Arial"/>
          <w:szCs w:val="20"/>
        </w:rPr>
        <w:t xml:space="preserve"> to allow it to </w:t>
      </w:r>
      <w:r w:rsidR="004977F6">
        <w:rPr>
          <w:rFonts w:cs="Arial"/>
          <w:szCs w:val="20"/>
        </w:rPr>
        <w:t>manage financeability in the context of developing HTWSR</w:t>
      </w:r>
      <w:r w:rsidRPr="008B4529">
        <w:rPr>
          <w:rFonts w:cs="Arial"/>
          <w:szCs w:val="20"/>
        </w:rPr>
        <w:t>.  Accordingly</w:t>
      </w:r>
      <w:r w:rsidR="004977F6">
        <w:rPr>
          <w:rFonts w:cs="Arial"/>
          <w:szCs w:val="20"/>
        </w:rPr>
        <w:t>,</w:t>
      </w:r>
      <w:r w:rsidRPr="008B4529">
        <w:rPr>
          <w:rFonts w:cs="Arial"/>
          <w:szCs w:val="20"/>
        </w:rPr>
        <w:t xml:space="preserve"> a</w:t>
      </w:r>
      <w:r w:rsidR="00AB6F74">
        <w:rPr>
          <w:rFonts w:cs="Arial"/>
          <w:szCs w:val="20"/>
        </w:rPr>
        <w:t xml:space="preserve"> </w:t>
      </w:r>
      <w:r w:rsidRPr="008B4529">
        <w:rPr>
          <w:rFonts w:cs="Arial"/>
          <w:szCs w:val="20"/>
        </w:rPr>
        <w:t>n</w:t>
      </w:r>
      <w:r w:rsidR="00AB6F74">
        <w:rPr>
          <w:rFonts w:cs="Arial"/>
          <w:szCs w:val="20"/>
        </w:rPr>
        <w:t>ew</w:t>
      </w:r>
      <w:r w:rsidRPr="008B4529">
        <w:rPr>
          <w:rFonts w:cs="Arial"/>
          <w:szCs w:val="20"/>
        </w:rPr>
        <w:t xml:space="preserve"> </w:t>
      </w:r>
      <w:r w:rsidR="005115F9">
        <w:rPr>
          <w:rFonts w:cs="Arial"/>
          <w:szCs w:val="20"/>
        </w:rPr>
        <w:t>capital</w:t>
      </w:r>
      <w:r w:rsidRPr="008B4529">
        <w:rPr>
          <w:rFonts w:cs="Arial"/>
          <w:szCs w:val="20"/>
        </w:rPr>
        <w:t xml:space="preserve"> injection of £61m will be made in order to support the development of Havant Thicket Winter Storage Reservoir.</w:t>
      </w:r>
    </w:p>
    <w:p w:rsidR="008B4529" w:rsidRPr="008B4529" w:rsidRDefault="008B4529" w:rsidP="008B4529">
      <w:pPr>
        <w:rPr>
          <w:rFonts w:cs="Arial"/>
          <w:szCs w:val="20"/>
        </w:rPr>
      </w:pPr>
      <w:r w:rsidRPr="008B4529">
        <w:rPr>
          <w:rFonts w:cs="Arial"/>
          <w:szCs w:val="20"/>
        </w:rPr>
        <w:t xml:space="preserve">In assessing financeability the Board concluded </w:t>
      </w:r>
      <w:r w:rsidR="004977F6">
        <w:rPr>
          <w:rFonts w:cs="Arial"/>
          <w:szCs w:val="20"/>
        </w:rPr>
        <w:t xml:space="preserve">it </w:t>
      </w:r>
      <w:r w:rsidRPr="008B4529">
        <w:rPr>
          <w:rFonts w:cs="Arial"/>
          <w:szCs w:val="20"/>
        </w:rPr>
        <w:t>was appropriate to consider both the Company’s financial covenant ratios</w:t>
      </w:r>
      <w:r w:rsidR="004977F6">
        <w:rPr>
          <w:rFonts w:cs="Arial"/>
          <w:szCs w:val="20"/>
        </w:rPr>
        <w:t xml:space="preserve"> set out in the existing debt facilities</w:t>
      </w:r>
      <w:r w:rsidRPr="008B4529">
        <w:rPr>
          <w:rFonts w:cs="Arial"/>
          <w:szCs w:val="20"/>
        </w:rPr>
        <w:t xml:space="preserve"> and the primary ratios used in the Moody’s rating methodology.  It also considered the appropriate credit ratings to be targeted in the financeability assessment.  In assessing the appropriate credit rating for the notional </w:t>
      </w:r>
      <w:r w:rsidR="004977F6">
        <w:rPr>
          <w:rFonts w:cs="Arial"/>
          <w:szCs w:val="20"/>
        </w:rPr>
        <w:t xml:space="preserve">capital </w:t>
      </w:r>
      <w:r w:rsidRPr="008B4529">
        <w:rPr>
          <w:rFonts w:cs="Arial"/>
          <w:szCs w:val="20"/>
        </w:rPr>
        <w:t>structure</w:t>
      </w:r>
      <w:r w:rsidR="005D2A11">
        <w:rPr>
          <w:rFonts w:cs="Arial"/>
          <w:szCs w:val="20"/>
        </w:rPr>
        <w:t>,</w:t>
      </w:r>
      <w:r w:rsidRPr="008B4529">
        <w:rPr>
          <w:rFonts w:cs="Arial"/>
          <w:szCs w:val="20"/>
        </w:rPr>
        <w:t xml:space="preserve"> the Board has considered the rating which a well performing company</w:t>
      </w:r>
      <w:r w:rsidR="005D2A11">
        <w:rPr>
          <w:rFonts w:cs="Arial"/>
          <w:szCs w:val="20"/>
        </w:rPr>
        <w:t>,</w:t>
      </w:r>
      <w:r w:rsidRPr="008B4529">
        <w:rPr>
          <w:rFonts w:cs="Arial"/>
          <w:szCs w:val="20"/>
        </w:rPr>
        <w:t xml:space="preserve"> with close to notional gearing would target.  In doing so it has considered the published Moody’s rating methodology and target ratios and has benchmarked against United Utilities and Severn Trent, both of which operate at gearing levels close to 60%.  These companies retain Moody’s A3 ratings.  The Board also concluded that the use of an A3 target for the notional structure was consistent with Ofwat’s use</w:t>
      </w:r>
      <w:r w:rsidR="00850C3A">
        <w:rPr>
          <w:rFonts w:cs="Arial"/>
          <w:szCs w:val="20"/>
        </w:rPr>
        <w:t xml:space="preserve"> of</w:t>
      </w:r>
      <w:r w:rsidRPr="008B4529">
        <w:rPr>
          <w:rFonts w:cs="Arial"/>
          <w:szCs w:val="20"/>
        </w:rPr>
        <w:t xml:space="preserve"> a 50:50 mix of A and BBB rated indices was considered to reflect the appropriate credit profile for the notionally financed company.</w:t>
      </w:r>
    </w:p>
    <w:p w:rsidR="008B4529" w:rsidRPr="008B4529" w:rsidRDefault="008B4529" w:rsidP="008B4529">
      <w:pPr>
        <w:rPr>
          <w:rFonts w:cs="Arial"/>
          <w:szCs w:val="20"/>
        </w:rPr>
      </w:pPr>
      <w:r w:rsidRPr="008B4529">
        <w:rPr>
          <w:rFonts w:cs="Arial"/>
          <w:szCs w:val="20"/>
        </w:rPr>
        <w:t>In reaching it’s conclusion on financeability in the notional structure, the Board concluded on the appropriateness of both using PAYG levers a</w:t>
      </w:r>
      <w:r w:rsidR="00AB6F74">
        <w:rPr>
          <w:rFonts w:cs="Arial"/>
          <w:szCs w:val="20"/>
        </w:rPr>
        <w:t xml:space="preserve">nd </w:t>
      </w:r>
      <w:r w:rsidRPr="008B4529">
        <w:rPr>
          <w:rFonts w:cs="Arial"/>
          <w:szCs w:val="20"/>
        </w:rPr>
        <w:t>n</w:t>
      </w:r>
      <w:r w:rsidR="00AB6F74">
        <w:rPr>
          <w:rFonts w:cs="Arial"/>
          <w:szCs w:val="20"/>
        </w:rPr>
        <w:t>ew</w:t>
      </w:r>
      <w:r w:rsidRPr="008B4529">
        <w:rPr>
          <w:rFonts w:cs="Arial"/>
          <w:szCs w:val="20"/>
        </w:rPr>
        <w:t xml:space="preserve"> </w:t>
      </w:r>
      <w:r w:rsidR="005115F9">
        <w:rPr>
          <w:rFonts w:cs="Arial"/>
          <w:szCs w:val="20"/>
        </w:rPr>
        <w:t>capital</w:t>
      </w:r>
      <w:r w:rsidRPr="008B4529">
        <w:rPr>
          <w:rFonts w:cs="Arial"/>
          <w:szCs w:val="20"/>
        </w:rPr>
        <w:t xml:space="preserve"> injections to address financeability constraints.  In reviewing the use of PAYG levers the Board has also considered the impact on bills in both the short and longer term and concluded that the use appropriately balances the interests of customers in the short and long term.</w:t>
      </w:r>
      <w:r w:rsidR="005D2A11">
        <w:rPr>
          <w:rFonts w:cs="Arial"/>
          <w:szCs w:val="20"/>
        </w:rPr>
        <w:t xml:space="preserve">  These impacts were supported by customers.</w:t>
      </w:r>
    </w:p>
    <w:p w:rsidR="00C60D6C" w:rsidRDefault="008B4529" w:rsidP="008B4529">
      <w:pPr>
        <w:rPr>
          <w:rFonts w:cs="Arial"/>
          <w:szCs w:val="20"/>
        </w:rPr>
      </w:pPr>
      <w:r w:rsidRPr="008B4529">
        <w:rPr>
          <w:rFonts w:cs="Arial"/>
          <w:szCs w:val="20"/>
        </w:rPr>
        <w:t xml:space="preserve">In concluding on financeability in the actual capital structure </w:t>
      </w:r>
      <w:r w:rsidR="00850C3A">
        <w:rPr>
          <w:rFonts w:cs="Arial"/>
          <w:szCs w:val="20"/>
        </w:rPr>
        <w:t>the Board</w:t>
      </w:r>
      <w:r w:rsidRPr="008B4529">
        <w:rPr>
          <w:rFonts w:cs="Arial"/>
          <w:szCs w:val="20"/>
        </w:rPr>
        <w:t xml:space="preserve"> had regard to the full £61m </w:t>
      </w:r>
      <w:r w:rsidR="005115F9">
        <w:rPr>
          <w:rFonts w:cs="Arial"/>
          <w:szCs w:val="20"/>
        </w:rPr>
        <w:t>capital</w:t>
      </w:r>
      <w:r w:rsidRPr="008B4529">
        <w:rPr>
          <w:rFonts w:cs="Arial"/>
          <w:szCs w:val="20"/>
        </w:rPr>
        <w:t xml:space="preserve"> injection to be made.  The specifics of these conclusions are set out further below in this chapter.</w:t>
      </w:r>
    </w:p>
    <w:p w:rsidR="00B24CAC" w:rsidRPr="00C60D6C" w:rsidRDefault="00B24CAC" w:rsidP="00B24CAC">
      <w:pPr>
        <w:pStyle w:val="Heading2"/>
      </w:pPr>
      <w:bookmarkStart w:id="256" w:name="_Toc523651333"/>
      <w:r>
        <w:t>Financial resilience</w:t>
      </w:r>
      <w:bookmarkEnd w:id="256"/>
    </w:p>
    <w:p w:rsidR="00C60D6C" w:rsidRDefault="00C60D6C" w:rsidP="00C60D6C">
      <w:pPr>
        <w:rPr>
          <w:rFonts w:cs="Arial"/>
        </w:rPr>
      </w:pPr>
      <w:r>
        <w:rPr>
          <w:rFonts w:cs="Arial"/>
        </w:rPr>
        <w:t>Financial resilience reflects our ability to avoid, cope with and recover from the financial impacts of business disruption.  We have assessed financial resilience by undertaking financial modelling of a suite of scenarios and considering the extent to which the Company can reasonably avoid mitigate and recover from such financial shocks.</w:t>
      </w:r>
    </w:p>
    <w:p w:rsidR="00C60D6C" w:rsidRDefault="00C60D6C" w:rsidP="00A5052C">
      <w:r>
        <w:t>Our approach builds on the Viability Statement prepared as part of our 2018/19 Annual Report &amp; Accounts.  We have assessed our financial resilience by modelling the financial impact of a suite of down-side scenarios and shocks consistent with those used in the 201</w:t>
      </w:r>
      <w:r w:rsidR="00A5052C">
        <w:t>7</w:t>
      </w:r>
      <w:r>
        <w:t>/1</w:t>
      </w:r>
      <w:r w:rsidR="00A5052C">
        <w:t>8</w:t>
      </w:r>
      <w:r>
        <w:t xml:space="preserve"> Viability Statement and set out on pages 32-34 of the Annual Report &amp; Accounts.  These scenarios are based upon relevant severe, plausible and reasonable business scenarios.  </w:t>
      </w:r>
      <w:r w:rsidR="008B4529">
        <w:t>In setting</w:t>
      </w:r>
      <w:r w:rsidR="003477F1">
        <w:t xml:space="preserve"> the scenarios the Board reviewed in detail the Corporate Risk Register to identify appropriate operational scenarios. </w:t>
      </w:r>
    </w:p>
    <w:p w:rsidR="00647E02" w:rsidRDefault="00C60D6C" w:rsidP="00A5052C">
      <w:r>
        <w:t>In our 201</w:t>
      </w:r>
      <w:r w:rsidR="00A5052C">
        <w:t>7</w:t>
      </w:r>
      <w:r>
        <w:t>/1</w:t>
      </w:r>
      <w:r w:rsidR="00A5052C">
        <w:t>8</w:t>
      </w:r>
      <w:r>
        <w:t xml:space="preserve"> Viability Statement we have explained the process of setting our specific scenarios.  This involved a review of our risk register, resilience modelling for the Business Plan and Board analysis used to support our assessment of “resilience in the round”.  This process has been updated based upon the most up-to date information at the time of submitting the Business Plan.  We have not made any significant changes to the viability scenarios underpinning the 201</w:t>
      </w:r>
      <w:r w:rsidR="00A5052C">
        <w:t>7</w:t>
      </w:r>
      <w:r>
        <w:t>/1</w:t>
      </w:r>
      <w:r w:rsidR="00A5052C">
        <w:t>8</w:t>
      </w:r>
      <w:r>
        <w:t xml:space="preserve"> Viability Statement.  However, where more up to date information is available we have revised the scenarios to reflect this.  This is summarised in the table below.  In addition to the Company scenarios we have also considered the scenarios set out by Ofwat in the document “Putting the </w:t>
      </w:r>
      <w:r w:rsidR="00FE42E8">
        <w:t>S</w:t>
      </w:r>
      <w:r>
        <w:t xml:space="preserve">ector </w:t>
      </w:r>
      <w:r w:rsidR="00FE42E8">
        <w:t>B</w:t>
      </w:r>
      <w:r>
        <w:t>ack in balance”.  We have used a 5 year period of assessment to the end of the Business Plan period – 2025.</w:t>
      </w:r>
    </w:p>
    <w:tbl>
      <w:tblPr>
        <w:tblStyle w:val="TableGrid51"/>
        <w:tblW w:w="8788" w:type="dxa"/>
        <w:tblInd w:w="846" w:type="dxa"/>
        <w:tblLook w:val="04A0" w:firstRow="1" w:lastRow="0" w:firstColumn="1" w:lastColumn="0" w:noHBand="0" w:noVBand="1"/>
      </w:tblPr>
      <w:tblGrid>
        <w:gridCol w:w="567"/>
        <w:gridCol w:w="2410"/>
        <w:gridCol w:w="4677"/>
        <w:gridCol w:w="1134"/>
      </w:tblGrid>
      <w:tr w:rsidR="00C60D6C" w:rsidRPr="00647E02" w:rsidTr="00212F4A">
        <w:tc>
          <w:tcPr>
            <w:tcW w:w="567" w:type="dxa"/>
            <w:tcBorders>
              <w:top w:val="single" w:sz="4" w:space="0" w:color="auto"/>
              <w:left w:val="single" w:sz="4" w:space="0" w:color="auto"/>
              <w:bottom w:val="single" w:sz="4" w:space="0" w:color="auto"/>
              <w:right w:val="single" w:sz="4" w:space="0" w:color="auto"/>
            </w:tcBorders>
            <w:shd w:val="clear" w:color="auto" w:fill="0070C0"/>
          </w:tcPr>
          <w:p w:rsidR="00C60D6C" w:rsidRPr="00647E02" w:rsidRDefault="00C60D6C" w:rsidP="00C60D6C">
            <w:pPr>
              <w:tabs>
                <w:tab w:val="clear" w:pos="851"/>
              </w:tabs>
              <w:spacing w:after="0"/>
              <w:ind w:left="0"/>
              <w:jc w:val="left"/>
              <w:rPr>
                <w:rFonts w:cs="Arial"/>
                <w:color w:val="FFFFFF" w:themeColor="background1"/>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647E02" w:rsidRDefault="00C60D6C" w:rsidP="00C60D6C">
            <w:pPr>
              <w:tabs>
                <w:tab w:val="clear" w:pos="851"/>
              </w:tabs>
              <w:spacing w:after="0"/>
              <w:ind w:left="0"/>
              <w:jc w:val="left"/>
              <w:rPr>
                <w:rFonts w:cs="Arial"/>
                <w:b/>
                <w:color w:val="FFFFFF" w:themeColor="background1"/>
                <w:sz w:val="16"/>
                <w:szCs w:val="16"/>
              </w:rPr>
            </w:pPr>
            <w:r w:rsidRPr="00647E02">
              <w:rPr>
                <w:rFonts w:cs="Arial"/>
                <w:b/>
                <w:color w:val="FFFFFF" w:themeColor="background1"/>
                <w:sz w:val="16"/>
                <w:szCs w:val="16"/>
              </w:rPr>
              <w:t>Individual scenario</w:t>
            </w:r>
          </w:p>
        </w:tc>
        <w:tc>
          <w:tcPr>
            <w:tcW w:w="4677"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647E02" w:rsidRDefault="00C60D6C" w:rsidP="00C60D6C">
            <w:pPr>
              <w:tabs>
                <w:tab w:val="clear" w:pos="851"/>
              </w:tabs>
              <w:spacing w:after="0"/>
              <w:ind w:left="0"/>
              <w:jc w:val="left"/>
              <w:rPr>
                <w:rFonts w:cs="Arial"/>
                <w:b/>
                <w:color w:val="FFFFFF" w:themeColor="background1"/>
                <w:sz w:val="16"/>
                <w:szCs w:val="16"/>
              </w:rPr>
            </w:pPr>
            <w:r w:rsidRPr="00647E02">
              <w:rPr>
                <w:rFonts w:cs="Arial"/>
                <w:b/>
                <w:color w:val="FFFFFF" w:themeColor="background1"/>
                <w:sz w:val="16"/>
                <w:szCs w:val="16"/>
              </w:rPr>
              <w:t>Comments</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647E02" w:rsidRDefault="00C60D6C" w:rsidP="00C60D6C">
            <w:pPr>
              <w:tabs>
                <w:tab w:val="clear" w:pos="851"/>
              </w:tabs>
              <w:spacing w:after="0"/>
              <w:ind w:left="0"/>
              <w:jc w:val="left"/>
              <w:rPr>
                <w:rFonts w:cs="Arial"/>
                <w:b/>
                <w:color w:val="FFFFFF" w:themeColor="background1"/>
                <w:sz w:val="16"/>
                <w:szCs w:val="16"/>
              </w:rPr>
            </w:pPr>
            <w:r w:rsidRPr="00647E02">
              <w:rPr>
                <w:rFonts w:cs="Arial"/>
                <w:b/>
                <w:color w:val="FFFFFF" w:themeColor="background1"/>
                <w:sz w:val="16"/>
                <w:szCs w:val="16"/>
              </w:rPr>
              <w:t>Company/</w:t>
            </w:r>
          </w:p>
          <w:p w:rsidR="00C60D6C" w:rsidRPr="00647E02" w:rsidRDefault="00C60D6C" w:rsidP="00C60D6C">
            <w:pPr>
              <w:tabs>
                <w:tab w:val="clear" w:pos="851"/>
              </w:tabs>
              <w:spacing w:after="0"/>
              <w:ind w:left="0"/>
              <w:jc w:val="left"/>
              <w:rPr>
                <w:rFonts w:cs="Arial"/>
                <w:b/>
                <w:color w:val="FFFFFF" w:themeColor="background1"/>
                <w:sz w:val="16"/>
                <w:szCs w:val="16"/>
              </w:rPr>
            </w:pPr>
            <w:r w:rsidRPr="00647E02">
              <w:rPr>
                <w:rFonts w:cs="Arial"/>
                <w:b/>
                <w:color w:val="FFFFFF" w:themeColor="background1"/>
                <w:sz w:val="16"/>
                <w:szCs w:val="16"/>
              </w:rPr>
              <w:t>Ofwat</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1</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FE42E8" w:rsidP="00C60D6C">
            <w:pPr>
              <w:tabs>
                <w:tab w:val="clear" w:pos="851"/>
              </w:tabs>
              <w:spacing w:after="0"/>
              <w:ind w:left="0"/>
              <w:jc w:val="left"/>
              <w:rPr>
                <w:rFonts w:cs="Arial"/>
                <w:sz w:val="16"/>
                <w:szCs w:val="16"/>
              </w:rPr>
            </w:pPr>
            <w:r>
              <w:rPr>
                <w:rFonts w:cs="Arial"/>
                <w:sz w:val="16"/>
                <w:szCs w:val="16"/>
              </w:rPr>
              <w:t>Totex</w:t>
            </w:r>
            <w:r w:rsidR="00C60D6C" w:rsidRPr="00647E02">
              <w:rPr>
                <w:rFonts w:cs="Arial"/>
                <w:sz w:val="16"/>
                <w:szCs w:val="16"/>
              </w:rPr>
              <w:t xml:space="preserve"> underperformance (10% of </w:t>
            </w:r>
            <w:r>
              <w:rPr>
                <w:rFonts w:cs="Arial"/>
                <w:sz w:val="16"/>
                <w:szCs w:val="16"/>
              </w:rPr>
              <w:t>Totex</w:t>
            </w:r>
            <w:r w:rsidR="00C60D6C" w:rsidRPr="00647E02">
              <w:rPr>
                <w:rFonts w:cs="Arial"/>
                <w:sz w:val="16"/>
                <w:szCs w:val="16"/>
              </w:rPr>
              <w:t xml:space="preserve">) for each assuming 50:50 </w:t>
            </w:r>
            <w:r w:rsidR="00964B14">
              <w:rPr>
                <w:rFonts w:cs="Arial"/>
                <w:sz w:val="16"/>
                <w:szCs w:val="16"/>
              </w:rPr>
              <w:t>Capex</w:t>
            </w:r>
            <w:r w:rsidR="00C60D6C" w:rsidRPr="00647E02">
              <w:rPr>
                <w:rFonts w:cs="Arial"/>
                <w:sz w:val="16"/>
                <w:szCs w:val="16"/>
              </w:rPr>
              <w:t>/</w:t>
            </w:r>
            <w:r w:rsidR="00964B14">
              <w:rPr>
                <w:rFonts w:cs="Arial"/>
                <w:sz w:val="16"/>
                <w:szCs w:val="16"/>
              </w:rPr>
              <w:t>Opex</w:t>
            </w:r>
            <w:r w:rsidR="00C60D6C" w:rsidRPr="00647E02">
              <w:rPr>
                <w:rFonts w:cs="Arial"/>
                <w:sz w:val="16"/>
                <w:szCs w:val="16"/>
              </w:rPr>
              <w:t xml:space="preserve"> split </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 xml:space="preserve">This appears to be an unrealistic scenario with respect to </w:t>
            </w:r>
            <w:r w:rsidR="00FE42E8">
              <w:rPr>
                <w:rFonts w:cs="Arial"/>
                <w:sz w:val="16"/>
                <w:szCs w:val="16"/>
              </w:rPr>
              <w:t>Totex</w:t>
            </w:r>
            <w:r w:rsidRPr="00647E02">
              <w:rPr>
                <w:rFonts w:cs="Arial"/>
                <w:sz w:val="16"/>
                <w:szCs w:val="16"/>
              </w:rPr>
              <w:t xml:space="preserve"> as it is unlikely that, any event which had such significant impact would not be mitigated by some extent by management actions.</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Ofwat</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2</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FE42E8" w:rsidP="00C60D6C">
            <w:pPr>
              <w:tabs>
                <w:tab w:val="clear" w:pos="851"/>
              </w:tabs>
              <w:spacing w:after="0"/>
              <w:ind w:left="0"/>
              <w:jc w:val="left"/>
              <w:rPr>
                <w:rFonts w:cs="Arial"/>
                <w:sz w:val="16"/>
                <w:szCs w:val="16"/>
              </w:rPr>
            </w:pPr>
            <w:r>
              <w:rPr>
                <w:rFonts w:cs="Arial"/>
                <w:sz w:val="16"/>
                <w:szCs w:val="16"/>
              </w:rPr>
              <w:t>Totex</w:t>
            </w:r>
            <w:r w:rsidR="00C60D6C" w:rsidRPr="00647E02">
              <w:rPr>
                <w:rFonts w:cs="Arial"/>
                <w:sz w:val="16"/>
                <w:szCs w:val="16"/>
              </w:rPr>
              <w:t xml:space="preserve"> – loss of a significant water treatment works</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 xml:space="preserve">£7m </w:t>
            </w:r>
            <w:r w:rsidR="00964B14">
              <w:rPr>
                <w:rFonts w:cs="Arial"/>
                <w:sz w:val="16"/>
                <w:szCs w:val="16"/>
              </w:rPr>
              <w:t>Capex</w:t>
            </w:r>
            <w:r w:rsidRPr="00647E02">
              <w:rPr>
                <w:rFonts w:cs="Arial"/>
                <w:sz w:val="16"/>
                <w:szCs w:val="16"/>
              </w:rPr>
              <w:t xml:space="preserve"> and £1m </w:t>
            </w:r>
            <w:r w:rsidR="00964B14">
              <w:rPr>
                <w:rFonts w:cs="Arial"/>
                <w:sz w:val="16"/>
                <w:szCs w:val="16"/>
              </w:rPr>
              <w:t>Opex</w:t>
            </w:r>
            <w:r w:rsidRPr="00647E02">
              <w:rPr>
                <w:rFonts w:cs="Arial"/>
                <w:sz w:val="16"/>
                <w:szCs w:val="16"/>
              </w:rPr>
              <w:t xml:space="preserve"> remediation costs and £3.5m insurance receipt the following year. </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Company</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eastAsia="Arial Narrow" w:cs="Arial"/>
                <w:w w:val="115"/>
                <w:sz w:val="16"/>
                <w:szCs w:val="16"/>
                <w:lang w:val="en-US"/>
              </w:rPr>
            </w:pPr>
            <w:r w:rsidRPr="00647E02">
              <w:rPr>
                <w:rFonts w:cs="Arial"/>
                <w:w w:val="115"/>
                <w:sz w:val="16"/>
                <w:szCs w:val="16"/>
                <w:lang w:val="en-US"/>
              </w:rPr>
              <w:t>3</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FE42E8" w:rsidP="00C60D6C">
            <w:pPr>
              <w:tabs>
                <w:tab w:val="clear" w:pos="851"/>
              </w:tabs>
              <w:spacing w:after="0"/>
              <w:ind w:left="0"/>
              <w:jc w:val="left"/>
              <w:rPr>
                <w:rFonts w:cs="Arial"/>
                <w:sz w:val="16"/>
                <w:szCs w:val="16"/>
              </w:rPr>
            </w:pPr>
            <w:r>
              <w:rPr>
                <w:rFonts w:cs="Arial"/>
                <w:w w:val="115"/>
                <w:sz w:val="16"/>
                <w:szCs w:val="16"/>
                <w:lang w:val="en-US"/>
              </w:rPr>
              <w:t>Totex</w:t>
            </w:r>
            <w:r w:rsidR="00C60D6C" w:rsidRPr="00647E02">
              <w:rPr>
                <w:rFonts w:cs="Arial"/>
                <w:w w:val="115"/>
                <w:sz w:val="16"/>
                <w:szCs w:val="16"/>
                <w:lang w:val="en-US"/>
              </w:rPr>
              <w:t xml:space="preserve"> - A combination of 2 risk events arise</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w w:val="115"/>
                <w:sz w:val="16"/>
                <w:szCs w:val="16"/>
                <w:lang w:val="en-US"/>
              </w:rPr>
              <w:t xml:space="preserve">£4m additional </w:t>
            </w:r>
            <w:r w:rsidR="00964B14">
              <w:rPr>
                <w:rFonts w:cs="Arial"/>
                <w:w w:val="115"/>
                <w:sz w:val="16"/>
                <w:szCs w:val="16"/>
                <w:lang w:val="en-US"/>
              </w:rPr>
              <w:t>Capex</w:t>
            </w:r>
            <w:r w:rsidRPr="00647E02">
              <w:rPr>
                <w:rFonts w:cs="Arial"/>
                <w:w w:val="115"/>
                <w:sz w:val="16"/>
                <w:szCs w:val="16"/>
                <w:lang w:val="en-US"/>
              </w:rPr>
              <w:t xml:space="preserve"> costs driven by operational risk scenario modelling as part of the Servalec resilience study (see resilience Chapter 6).</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Company</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eastAsia="Arial Narrow" w:cs="Arial"/>
                <w:w w:val="115"/>
                <w:sz w:val="16"/>
                <w:szCs w:val="16"/>
                <w:lang w:val="en-US"/>
              </w:rPr>
            </w:pPr>
            <w:r w:rsidRPr="00647E02">
              <w:rPr>
                <w:rFonts w:cs="Arial"/>
                <w:w w:val="115"/>
                <w:sz w:val="16"/>
                <w:szCs w:val="16"/>
                <w:lang w:val="en-US"/>
              </w:rPr>
              <w:t>4</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FE42E8" w:rsidP="00C60D6C">
            <w:pPr>
              <w:tabs>
                <w:tab w:val="clear" w:pos="851"/>
              </w:tabs>
              <w:spacing w:after="0"/>
              <w:ind w:left="0"/>
              <w:jc w:val="left"/>
              <w:rPr>
                <w:rFonts w:cs="Arial"/>
                <w:w w:val="115"/>
                <w:sz w:val="16"/>
                <w:szCs w:val="16"/>
                <w:lang w:val="en-US"/>
              </w:rPr>
            </w:pPr>
            <w:r>
              <w:rPr>
                <w:rFonts w:cs="Arial"/>
                <w:w w:val="115"/>
                <w:sz w:val="16"/>
                <w:szCs w:val="16"/>
                <w:lang w:val="en-US"/>
              </w:rPr>
              <w:t>Totex</w:t>
            </w:r>
            <w:r w:rsidR="00C60D6C" w:rsidRPr="00647E02">
              <w:rPr>
                <w:rFonts w:cs="Arial"/>
                <w:w w:val="115"/>
                <w:sz w:val="16"/>
                <w:szCs w:val="16"/>
                <w:lang w:val="en-US"/>
              </w:rPr>
              <w:t xml:space="preserve"> – Pension scheme deficit</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w w:val="115"/>
                <w:sz w:val="16"/>
                <w:szCs w:val="16"/>
                <w:lang w:val="en-US"/>
              </w:rPr>
            </w:pPr>
            <w:r w:rsidRPr="00647E02">
              <w:rPr>
                <w:rFonts w:cs="Arial"/>
                <w:w w:val="115"/>
                <w:sz w:val="16"/>
                <w:szCs w:val="16"/>
                <w:lang w:val="en-US"/>
              </w:rPr>
              <w:t xml:space="preserve">£12m deficit recovery over 10 years; additional </w:t>
            </w:r>
            <w:r w:rsidR="00964B14">
              <w:rPr>
                <w:rFonts w:cs="Arial"/>
                <w:w w:val="115"/>
                <w:sz w:val="16"/>
                <w:szCs w:val="16"/>
                <w:lang w:val="en-US"/>
              </w:rPr>
              <w:t>Opex</w:t>
            </w:r>
            <w:r w:rsidRPr="00647E02">
              <w:rPr>
                <w:rFonts w:cs="Arial"/>
                <w:w w:val="115"/>
                <w:sz w:val="16"/>
                <w:szCs w:val="16"/>
                <w:lang w:val="en-US"/>
              </w:rPr>
              <w:t xml:space="preserve"> contributions of £250k per anum.</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Company</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widowControl w:val="0"/>
              <w:tabs>
                <w:tab w:val="clear" w:pos="851"/>
                <w:tab w:val="left" w:pos="494"/>
              </w:tabs>
              <w:spacing w:before="9" w:after="0"/>
              <w:ind w:left="0"/>
              <w:jc w:val="left"/>
              <w:rPr>
                <w:rFonts w:eastAsia="Arial Narrow" w:cs="Arial"/>
                <w:w w:val="115"/>
                <w:sz w:val="16"/>
                <w:szCs w:val="16"/>
                <w:lang w:val="en-US"/>
              </w:rPr>
            </w:pPr>
            <w:r w:rsidRPr="00647E02">
              <w:rPr>
                <w:rFonts w:cs="Arial"/>
                <w:w w:val="115"/>
                <w:sz w:val="16"/>
                <w:szCs w:val="16"/>
                <w:lang w:val="en-US"/>
              </w:rPr>
              <w:t>5</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widowControl w:val="0"/>
              <w:tabs>
                <w:tab w:val="clear" w:pos="851"/>
                <w:tab w:val="left" w:pos="494"/>
              </w:tabs>
              <w:spacing w:before="9" w:after="0"/>
              <w:ind w:left="0"/>
              <w:jc w:val="left"/>
              <w:rPr>
                <w:rFonts w:cs="Arial"/>
                <w:w w:val="115"/>
                <w:sz w:val="16"/>
                <w:szCs w:val="16"/>
                <w:lang w:val="en-US"/>
              </w:rPr>
            </w:pPr>
            <w:r w:rsidRPr="00647E02">
              <w:rPr>
                <w:rFonts w:cs="Arial"/>
                <w:w w:val="115"/>
                <w:sz w:val="16"/>
                <w:szCs w:val="16"/>
                <w:lang w:val="en-US"/>
              </w:rPr>
              <w:t xml:space="preserve">An upper limit capital expenditure test of £20m </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w w:val="115"/>
                <w:sz w:val="16"/>
                <w:szCs w:val="16"/>
                <w:lang w:val="en-US"/>
              </w:rPr>
            </w:pPr>
            <w:r w:rsidRPr="00647E02">
              <w:rPr>
                <w:rFonts w:cs="Arial"/>
                <w:w w:val="115"/>
                <w:sz w:val="16"/>
                <w:szCs w:val="16"/>
                <w:lang w:val="en-US"/>
              </w:rPr>
              <w:t xml:space="preserve">Up to £20m additional </w:t>
            </w:r>
            <w:r w:rsidR="00964B14">
              <w:rPr>
                <w:rFonts w:cs="Arial"/>
                <w:w w:val="115"/>
                <w:sz w:val="16"/>
                <w:szCs w:val="16"/>
                <w:lang w:val="en-US"/>
              </w:rPr>
              <w:t>Capex</w:t>
            </w:r>
            <w:r w:rsidRPr="00647E02">
              <w:rPr>
                <w:rFonts w:cs="Arial"/>
                <w:w w:val="115"/>
                <w:sz w:val="16"/>
                <w:szCs w:val="16"/>
                <w:lang w:val="en-US"/>
              </w:rPr>
              <w:t xml:space="preserve"> incurred.</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Company</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widowControl w:val="0"/>
              <w:tabs>
                <w:tab w:val="clear" w:pos="851"/>
                <w:tab w:val="left" w:pos="494"/>
              </w:tabs>
              <w:spacing w:before="9" w:after="0"/>
              <w:ind w:left="0"/>
              <w:jc w:val="left"/>
              <w:rPr>
                <w:rFonts w:eastAsia="Arial Narrow" w:cs="Arial"/>
                <w:w w:val="115"/>
                <w:sz w:val="16"/>
                <w:szCs w:val="16"/>
                <w:lang w:val="en-US"/>
              </w:rPr>
            </w:pPr>
            <w:r w:rsidRPr="00647E02">
              <w:rPr>
                <w:rFonts w:cs="Arial"/>
                <w:w w:val="115"/>
                <w:sz w:val="16"/>
                <w:szCs w:val="16"/>
                <w:lang w:val="en-US"/>
              </w:rPr>
              <w:t>6</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widowControl w:val="0"/>
              <w:tabs>
                <w:tab w:val="clear" w:pos="851"/>
                <w:tab w:val="left" w:pos="494"/>
              </w:tabs>
              <w:spacing w:before="9" w:after="0"/>
              <w:ind w:left="0"/>
              <w:jc w:val="left"/>
              <w:rPr>
                <w:rFonts w:cs="Arial"/>
                <w:w w:val="115"/>
                <w:sz w:val="16"/>
                <w:szCs w:val="16"/>
                <w:lang w:val="en-US"/>
              </w:rPr>
            </w:pPr>
            <w:r w:rsidRPr="00647E02">
              <w:rPr>
                <w:rFonts w:cs="Arial"/>
                <w:w w:val="115"/>
                <w:sz w:val="16"/>
                <w:szCs w:val="16"/>
                <w:lang w:val="en-US"/>
              </w:rPr>
              <w:t xml:space="preserve">Cost variance on HTWSR </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647E02">
            <w:pPr>
              <w:tabs>
                <w:tab w:val="clear" w:pos="851"/>
              </w:tabs>
              <w:spacing w:after="0"/>
              <w:ind w:left="0"/>
              <w:jc w:val="left"/>
              <w:rPr>
                <w:rFonts w:cs="Arial"/>
                <w:w w:val="115"/>
                <w:sz w:val="16"/>
                <w:szCs w:val="16"/>
                <w:lang w:val="en-US"/>
              </w:rPr>
            </w:pPr>
            <w:r w:rsidRPr="00647E02">
              <w:rPr>
                <w:rFonts w:cs="Arial"/>
                <w:w w:val="115"/>
                <w:sz w:val="16"/>
                <w:szCs w:val="16"/>
                <w:lang w:val="en-US"/>
              </w:rPr>
              <w:t xml:space="preserve">Considering that HTWSR costs increase to the P90 level of costs during the AMP. </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Company</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7</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ODI penalty (3% of RoRE) in one year (</w:t>
            </w:r>
            <w:r w:rsidR="00964B14">
              <w:rPr>
                <w:rFonts w:cs="Arial"/>
                <w:sz w:val="16"/>
                <w:szCs w:val="16"/>
              </w:rPr>
              <w:t>Opex</w:t>
            </w:r>
            <w:r w:rsidRPr="00647E02">
              <w:rPr>
                <w:rFonts w:cs="Arial"/>
                <w:sz w:val="16"/>
                <w:szCs w:val="16"/>
              </w:rPr>
              <w:t>)</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Consistent with company scenarios below but will be higher than Company scenario as company rewards &amp; penalties will not reach this level.</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Ofwat</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8</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ODI - Maximum ODI penalty (</w:t>
            </w:r>
            <w:r w:rsidR="00964B14">
              <w:rPr>
                <w:rFonts w:cs="Arial"/>
                <w:sz w:val="16"/>
                <w:szCs w:val="16"/>
              </w:rPr>
              <w:t>Opex</w:t>
            </w:r>
            <w:r w:rsidRPr="00647E02">
              <w:rPr>
                <w:rFonts w:cs="Arial"/>
                <w:sz w:val="16"/>
                <w:szCs w:val="16"/>
              </w:rPr>
              <w:t>)</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This has been updated to reflect the final basket of ODI rewards/penalties submitted in the business plan.</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spacing w:after="0"/>
              <w:ind w:left="0"/>
              <w:jc w:val="left"/>
              <w:rPr>
                <w:rFonts w:cs="Arial"/>
                <w:sz w:val="16"/>
                <w:szCs w:val="16"/>
              </w:rPr>
            </w:pPr>
            <w:r w:rsidRPr="00647E02">
              <w:rPr>
                <w:rFonts w:cs="Arial"/>
                <w:sz w:val="16"/>
                <w:szCs w:val="16"/>
              </w:rPr>
              <w:t>Company</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9</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 xml:space="preserve">Inflation scenario (high inflation scenario RPI 4%, CPIH 3%; low inflation scenario RPI 2%, CPIH 1% for each of the five years of the price control) </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Very extreme scenarios based upon RPI/CPIH trends and predictions.</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Ofwat</w:t>
            </w:r>
          </w:p>
        </w:tc>
      </w:tr>
    </w:tbl>
    <w:p w:rsidR="001231C6" w:rsidRDefault="001231C6"/>
    <w:p w:rsidR="001231C6" w:rsidRDefault="001231C6">
      <w:pPr>
        <w:tabs>
          <w:tab w:val="clear" w:pos="851"/>
        </w:tabs>
        <w:spacing w:after="0"/>
        <w:ind w:left="0"/>
        <w:jc w:val="left"/>
      </w:pPr>
      <w:r>
        <w:br w:type="page"/>
      </w:r>
    </w:p>
    <w:tbl>
      <w:tblPr>
        <w:tblStyle w:val="TableGrid51"/>
        <w:tblW w:w="8788" w:type="dxa"/>
        <w:tblInd w:w="846" w:type="dxa"/>
        <w:tblLook w:val="04A0" w:firstRow="1" w:lastRow="0" w:firstColumn="1" w:lastColumn="0" w:noHBand="0" w:noVBand="1"/>
      </w:tblPr>
      <w:tblGrid>
        <w:gridCol w:w="567"/>
        <w:gridCol w:w="2410"/>
        <w:gridCol w:w="4677"/>
        <w:gridCol w:w="1134"/>
      </w:tblGrid>
      <w:tr w:rsidR="001231C6" w:rsidRPr="00647E02" w:rsidTr="008B0746">
        <w:tc>
          <w:tcPr>
            <w:tcW w:w="567" w:type="dxa"/>
            <w:tcBorders>
              <w:top w:val="single" w:sz="4" w:space="0" w:color="auto"/>
              <w:left w:val="single" w:sz="4" w:space="0" w:color="auto"/>
              <w:bottom w:val="single" w:sz="4" w:space="0" w:color="auto"/>
              <w:right w:val="single" w:sz="4" w:space="0" w:color="auto"/>
            </w:tcBorders>
            <w:shd w:val="clear" w:color="auto" w:fill="0070C0"/>
          </w:tcPr>
          <w:p w:rsidR="001231C6" w:rsidRPr="00647E02" w:rsidRDefault="001231C6" w:rsidP="008B0746">
            <w:pPr>
              <w:tabs>
                <w:tab w:val="clear" w:pos="851"/>
              </w:tabs>
              <w:spacing w:after="0"/>
              <w:ind w:left="0"/>
              <w:jc w:val="left"/>
              <w:rPr>
                <w:rFonts w:cs="Arial"/>
                <w:color w:val="FFFFFF" w:themeColor="background1"/>
                <w:sz w:val="16"/>
                <w:szCs w:val="16"/>
              </w:rPr>
            </w:pPr>
            <w:r>
              <w:rPr>
                <w:rFonts w:eastAsia="Times New Roman"/>
                <w:lang w:eastAsia="en-GB"/>
              </w:rPr>
              <w:br w:type="page"/>
            </w:r>
          </w:p>
        </w:tc>
        <w:tc>
          <w:tcPr>
            <w:tcW w:w="2410" w:type="dxa"/>
            <w:tcBorders>
              <w:top w:val="single" w:sz="4" w:space="0" w:color="auto"/>
              <w:left w:val="single" w:sz="4" w:space="0" w:color="auto"/>
              <w:bottom w:val="single" w:sz="4" w:space="0" w:color="auto"/>
              <w:right w:val="single" w:sz="4" w:space="0" w:color="auto"/>
            </w:tcBorders>
            <w:shd w:val="clear" w:color="auto" w:fill="0070C0"/>
            <w:hideMark/>
          </w:tcPr>
          <w:p w:rsidR="001231C6" w:rsidRPr="00647E02" w:rsidRDefault="001231C6" w:rsidP="008B0746">
            <w:pPr>
              <w:tabs>
                <w:tab w:val="clear" w:pos="851"/>
              </w:tabs>
              <w:spacing w:after="0"/>
              <w:ind w:left="0"/>
              <w:jc w:val="left"/>
              <w:rPr>
                <w:rFonts w:cs="Arial"/>
                <w:b/>
                <w:color w:val="FFFFFF" w:themeColor="background1"/>
                <w:sz w:val="16"/>
                <w:szCs w:val="16"/>
              </w:rPr>
            </w:pPr>
            <w:r w:rsidRPr="00647E02">
              <w:rPr>
                <w:rFonts w:cs="Arial"/>
                <w:b/>
                <w:color w:val="FFFFFF" w:themeColor="background1"/>
                <w:sz w:val="16"/>
                <w:szCs w:val="16"/>
              </w:rPr>
              <w:t>Individual scenario</w:t>
            </w:r>
          </w:p>
        </w:tc>
        <w:tc>
          <w:tcPr>
            <w:tcW w:w="4677" w:type="dxa"/>
            <w:tcBorders>
              <w:top w:val="single" w:sz="4" w:space="0" w:color="auto"/>
              <w:left w:val="single" w:sz="4" w:space="0" w:color="auto"/>
              <w:bottom w:val="single" w:sz="4" w:space="0" w:color="auto"/>
              <w:right w:val="single" w:sz="4" w:space="0" w:color="auto"/>
            </w:tcBorders>
            <w:shd w:val="clear" w:color="auto" w:fill="0070C0"/>
            <w:hideMark/>
          </w:tcPr>
          <w:p w:rsidR="001231C6" w:rsidRPr="00647E02" w:rsidRDefault="001231C6" w:rsidP="008B0746">
            <w:pPr>
              <w:tabs>
                <w:tab w:val="clear" w:pos="851"/>
              </w:tabs>
              <w:spacing w:after="0"/>
              <w:ind w:left="0"/>
              <w:jc w:val="left"/>
              <w:rPr>
                <w:rFonts w:cs="Arial"/>
                <w:b/>
                <w:color w:val="FFFFFF" w:themeColor="background1"/>
                <w:sz w:val="16"/>
                <w:szCs w:val="16"/>
              </w:rPr>
            </w:pPr>
            <w:r w:rsidRPr="00647E02">
              <w:rPr>
                <w:rFonts w:cs="Arial"/>
                <w:b/>
                <w:color w:val="FFFFFF" w:themeColor="background1"/>
                <w:sz w:val="16"/>
                <w:szCs w:val="16"/>
              </w:rPr>
              <w:t>Comments</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1231C6" w:rsidRPr="00647E02" w:rsidRDefault="001231C6" w:rsidP="008B0746">
            <w:pPr>
              <w:tabs>
                <w:tab w:val="clear" w:pos="851"/>
              </w:tabs>
              <w:spacing w:after="0"/>
              <w:ind w:left="0"/>
              <w:jc w:val="left"/>
              <w:rPr>
                <w:rFonts w:cs="Arial"/>
                <w:b/>
                <w:color w:val="FFFFFF" w:themeColor="background1"/>
                <w:sz w:val="16"/>
                <w:szCs w:val="16"/>
              </w:rPr>
            </w:pPr>
            <w:r w:rsidRPr="00647E02">
              <w:rPr>
                <w:rFonts w:cs="Arial"/>
                <w:b/>
                <w:color w:val="FFFFFF" w:themeColor="background1"/>
                <w:sz w:val="16"/>
                <w:szCs w:val="16"/>
              </w:rPr>
              <w:t>Company/</w:t>
            </w:r>
          </w:p>
          <w:p w:rsidR="001231C6" w:rsidRPr="00647E02" w:rsidRDefault="001231C6" w:rsidP="008B0746">
            <w:pPr>
              <w:tabs>
                <w:tab w:val="clear" w:pos="851"/>
              </w:tabs>
              <w:spacing w:after="0"/>
              <w:ind w:left="0"/>
              <w:jc w:val="left"/>
              <w:rPr>
                <w:rFonts w:cs="Arial"/>
                <w:b/>
                <w:color w:val="FFFFFF" w:themeColor="background1"/>
                <w:sz w:val="16"/>
                <w:szCs w:val="16"/>
              </w:rPr>
            </w:pPr>
            <w:r w:rsidRPr="00647E02">
              <w:rPr>
                <w:rFonts w:cs="Arial"/>
                <w:b/>
                <w:color w:val="FFFFFF" w:themeColor="background1"/>
                <w:sz w:val="16"/>
                <w:szCs w:val="16"/>
              </w:rPr>
              <w:t>Ofwat</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widowControl w:val="0"/>
              <w:tabs>
                <w:tab w:val="clear" w:pos="851"/>
                <w:tab w:val="left" w:pos="494"/>
              </w:tabs>
              <w:spacing w:before="9" w:after="0"/>
              <w:ind w:left="0"/>
              <w:jc w:val="left"/>
              <w:rPr>
                <w:rFonts w:eastAsia="Arial Narrow" w:cs="Arial"/>
                <w:w w:val="115"/>
                <w:sz w:val="16"/>
                <w:szCs w:val="16"/>
                <w:lang w:val="en-US"/>
              </w:rPr>
            </w:pPr>
            <w:r w:rsidRPr="00647E02">
              <w:rPr>
                <w:rFonts w:cs="Arial"/>
                <w:w w:val="115"/>
                <w:sz w:val="16"/>
                <w:szCs w:val="16"/>
                <w:lang w:val="en-US"/>
              </w:rPr>
              <w:t>10</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widowControl w:val="0"/>
              <w:tabs>
                <w:tab w:val="clear" w:pos="851"/>
                <w:tab w:val="left" w:pos="494"/>
              </w:tabs>
              <w:spacing w:before="9" w:after="0"/>
              <w:ind w:left="0"/>
              <w:jc w:val="left"/>
              <w:rPr>
                <w:rFonts w:cs="Arial"/>
                <w:w w:val="115"/>
                <w:sz w:val="16"/>
                <w:szCs w:val="16"/>
                <w:lang w:val="en-US"/>
              </w:rPr>
            </w:pPr>
            <w:r w:rsidRPr="00647E02">
              <w:rPr>
                <w:rFonts w:cs="Arial"/>
                <w:w w:val="115"/>
                <w:sz w:val="16"/>
                <w:szCs w:val="16"/>
                <w:lang w:val="en-US"/>
              </w:rPr>
              <w:t>Sensitivity testing of key assumptions</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widowControl w:val="0"/>
              <w:tabs>
                <w:tab w:val="clear" w:pos="851"/>
                <w:tab w:val="left" w:pos="494"/>
              </w:tabs>
              <w:spacing w:before="9" w:after="0"/>
              <w:ind w:left="0"/>
              <w:jc w:val="left"/>
              <w:rPr>
                <w:rFonts w:cs="Arial"/>
                <w:w w:val="115"/>
                <w:sz w:val="16"/>
                <w:szCs w:val="16"/>
                <w:lang w:val="en-US"/>
              </w:rPr>
            </w:pPr>
            <w:r w:rsidRPr="00647E02">
              <w:rPr>
                <w:rFonts w:cs="Arial"/>
                <w:w w:val="115"/>
                <w:sz w:val="16"/>
                <w:szCs w:val="16"/>
                <w:lang w:val="en-US"/>
              </w:rPr>
              <w:t>Inflation -1%</w:t>
            </w:r>
          </w:p>
          <w:p w:rsidR="00C60D6C" w:rsidRPr="00647E02" w:rsidRDefault="00C60D6C" w:rsidP="00C60D6C">
            <w:pPr>
              <w:widowControl w:val="0"/>
              <w:tabs>
                <w:tab w:val="clear" w:pos="851"/>
                <w:tab w:val="left" w:pos="494"/>
              </w:tabs>
              <w:spacing w:before="9" w:after="0"/>
              <w:ind w:left="0"/>
              <w:jc w:val="left"/>
              <w:rPr>
                <w:rFonts w:cs="Arial"/>
                <w:w w:val="115"/>
                <w:sz w:val="16"/>
                <w:szCs w:val="16"/>
                <w:lang w:val="en-US"/>
              </w:rPr>
            </w:pPr>
            <w:r w:rsidRPr="00647E02">
              <w:rPr>
                <w:rFonts w:cs="Arial"/>
                <w:w w:val="115"/>
                <w:sz w:val="16"/>
                <w:szCs w:val="16"/>
                <w:lang w:val="en-US"/>
              </w:rPr>
              <w:t>WAAC to 2%</w:t>
            </w:r>
          </w:p>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w w:val="115"/>
                <w:sz w:val="16"/>
                <w:szCs w:val="16"/>
                <w:lang w:val="en-US"/>
              </w:rPr>
              <w:t>Increased wedge RPI/CPIH</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Company</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11</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 xml:space="preserve">Increase in the level of bad debt (5%) over current bad debt levels </w:t>
            </w:r>
          </w:p>
        </w:tc>
        <w:tc>
          <w:tcPr>
            <w:tcW w:w="4677" w:type="dxa"/>
            <w:tcBorders>
              <w:top w:val="single" w:sz="4" w:space="0" w:color="auto"/>
              <w:left w:val="single" w:sz="4" w:space="0" w:color="auto"/>
              <w:bottom w:val="single" w:sz="4" w:space="0" w:color="auto"/>
              <w:right w:val="single" w:sz="4" w:space="0" w:color="auto"/>
            </w:tcBorders>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Ofwat</w:t>
            </w:r>
          </w:p>
        </w:tc>
      </w:tr>
      <w:tr w:rsidR="00C60D6C" w:rsidRPr="00647E02" w:rsidTr="00212F4A">
        <w:tc>
          <w:tcPr>
            <w:tcW w:w="56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12</w:t>
            </w:r>
          </w:p>
        </w:tc>
        <w:tc>
          <w:tcPr>
            <w:tcW w:w="2410"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 xml:space="preserve">Debt refinanced as it matures, and new debt financed as required at 2% above the forward projections </w:t>
            </w:r>
          </w:p>
        </w:tc>
        <w:tc>
          <w:tcPr>
            <w:tcW w:w="4677"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Exposure for new debt financing for HTWSR.  This has been updated to reflect the level and profile of debt raised to finance HTWSR in the final Business Plan.</w:t>
            </w:r>
          </w:p>
        </w:tc>
        <w:tc>
          <w:tcPr>
            <w:tcW w:w="1134" w:type="dxa"/>
            <w:tcBorders>
              <w:top w:val="single" w:sz="4" w:space="0" w:color="auto"/>
              <w:left w:val="single" w:sz="4" w:space="0" w:color="auto"/>
              <w:bottom w:val="single" w:sz="4" w:space="0" w:color="auto"/>
              <w:right w:val="single" w:sz="4" w:space="0" w:color="auto"/>
            </w:tcBorders>
            <w:hideMark/>
          </w:tcPr>
          <w:p w:rsidR="00C60D6C" w:rsidRPr="00647E02" w:rsidRDefault="00C60D6C" w:rsidP="00C60D6C">
            <w:pPr>
              <w:tabs>
                <w:tab w:val="clear" w:pos="851"/>
              </w:tabs>
              <w:autoSpaceDE w:val="0"/>
              <w:autoSpaceDN w:val="0"/>
              <w:adjustRightInd w:val="0"/>
              <w:spacing w:after="0"/>
              <w:ind w:left="0"/>
              <w:jc w:val="left"/>
              <w:rPr>
                <w:rFonts w:cs="Arial"/>
                <w:color w:val="000000"/>
                <w:sz w:val="16"/>
                <w:szCs w:val="16"/>
              </w:rPr>
            </w:pPr>
            <w:r w:rsidRPr="00647E02">
              <w:rPr>
                <w:rFonts w:cs="Arial"/>
                <w:color w:val="000000"/>
                <w:sz w:val="16"/>
                <w:szCs w:val="16"/>
              </w:rPr>
              <w:t>Ofwat</w:t>
            </w:r>
          </w:p>
        </w:tc>
      </w:tr>
      <w:tr w:rsidR="00C60D6C" w:rsidRPr="005D2A11" w:rsidTr="00212F4A">
        <w:tc>
          <w:tcPr>
            <w:tcW w:w="567"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13</w:t>
            </w:r>
          </w:p>
        </w:tc>
        <w:tc>
          <w:tcPr>
            <w:tcW w:w="2410"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 xml:space="preserve">Financial penalty – equivalent to 3% on one year Appointee turnover </w:t>
            </w:r>
          </w:p>
        </w:tc>
        <w:tc>
          <w:tcPr>
            <w:tcW w:w="4677"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This has been updated to reflect revenue included in the final Business Plan.</w:t>
            </w:r>
          </w:p>
        </w:tc>
        <w:tc>
          <w:tcPr>
            <w:tcW w:w="1134"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Ofwat &amp;</w:t>
            </w:r>
          </w:p>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Company</w:t>
            </w:r>
          </w:p>
        </w:tc>
      </w:tr>
      <w:tr w:rsidR="00C60D6C" w:rsidRPr="005D2A11" w:rsidTr="00212F4A">
        <w:tc>
          <w:tcPr>
            <w:tcW w:w="567"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14</w:t>
            </w:r>
          </w:p>
        </w:tc>
        <w:tc>
          <w:tcPr>
            <w:tcW w:w="2410"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Relevant Intercompany-financing scenarios</w:t>
            </w:r>
          </w:p>
        </w:tc>
        <w:tc>
          <w:tcPr>
            <w:tcW w:w="4677"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There are no such relevant scenarios.</w:t>
            </w:r>
          </w:p>
        </w:tc>
        <w:tc>
          <w:tcPr>
            <w:tcW w:w="1134"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Ofwat</w:t>
            </w:r>
          </w:p>
        </w:tc>
      </w:tr>
      <w:tr w:rsidR="00C60D6C" w:rsidRPr="005D2A11" w:rsidTr="00212F4A">
        <w:tc>
          <w:tcPr>
            <w:tcW w:w="567" w:type="dxa"/>
            <w:tcBorders>
              <w:top w:val="single" w:sz="4" w:space="0" w:color="auto"/>
              <w:left w:val="single" w:sz="4" w:space="0" w:color="auto"/>
              <w:bottom w:val="single" w:sz="4" w:space="0" w:color="auto"/>
              <w:right w:val="single" w:sz="4" w:space="0" w:color="auto"/>
            </w:tcBorders>
            <w:shd w:val="clear" w:color="auto" w:fill="0070C0"/>
          </w:tcPr>
          <w:p w:rsidR="00C60D6C" w:rsidRPr="005D2A11" w:rsidRDefault="00C60D6C" w:rsidP="00C60D6C">
            <w:pPr>
              <w:tabs>
                <w:tab w:val="clear" w:pos="851"/>
              </w:tabs>
              <w:spacing w:after="0"/>
              <w:ind w:left="0"/>
              <w:jc w:val="left"/>
              <w:rPr>
                <w:rFonts w:cs="Arial"/>
                <w:color w:val="FFFFFF" w:themeColor="background1"/>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5D2A11" w:rsidRDefault="00C60D6C" w:rsidP="00C60D6C">
            <w:pPr>
              <w:tabs>
                <w:tab w:val="clear" w:pos="851"/>
              </w:tabs>
              <w:spacing w:after="0"/>
              <w:ind w:left="0"/>
              <w:jc w:val="left"/>
              <w:rPr>
                <w:rFonts w:cs="Arial"/>
                <w:b/>
                <w:color w:val="FFFFFF" w:themeColor="background1"/>
                <w:sz w:val="16"/>
                <w:szCs w:val="16"/>
              </w:rPr>
            </w:pPr>
            <w:r w:rsidRPr="005D2A11">
              <w:rPr>
                <w:rFonts w:cs="Arial"/>
                <w:b/>
                <w:color w:val="FFFFFF" w:themeColor="background1"/>
                <w:sz w:val="16"/>
                <w:szCs w:val="16"/>
              </w:rPr>
              <w:t>Combined scenarios</w:t>
            </w:r>
          </w:p>
        </w:tc>
        <w:tc>
          <w:tcPr>
            <w:tcW w:w="4677" w:type="dxa"/>
            <w:tcBorders>
              <w:top w:val="single" w:sz="4" w:space="0" w:color="auto"/>
              <w:left w:val="single" w:sz="4" w:space="0" w:color="auto"/>
              <w:bottom w:val="single" w:sz="4" w:space="0" w:color="auto"/>
              <w:right w:val="single" w:sz="4" w:space="0" w:color="auto"/>
            </w:tcBorders>
            <w:shd w:val="clear" w:color="auto" w:fill="0070C0"/>
          </w:tcPr>
          <w:p w:rsidR="00C60D6C" w:rsidRPr="005D2A11" w:rsidRDefault="00C60D6C" w:rsidP="00C60D6C">
            <w:pPr>
              <w:tabs>
                <w:tab w:val="clear" w:pos="851"/>
              </w:tabs>
              <w:spacing w:after="0"/>
              <w:ind w:left="0"/>
              <w:jc w:val="left"/>
              <w:rPr>
                <w:rFonts w:cs="Arial"/>
                <w:color w:val="FFFFFF" w:themeColor="background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C60D6C" w:rsidRPr="005D2A11" w:rsidRDefault="00C60D6C" w:rsidP="00C60D6C">
            <w:pPr>
              <w:tabs>
                <w:tab w:val="clear" w:pos="851"/>
              </w:tabs>
              <w:spacing w:after="0"/>
              <w:ind w:left="0"/>
              <w:jc w:val="left"/>
              <w:rPr>
                <w:rFonts w:cs="Arial"/>
                <w:color w:val="FFFFFF" w:themeColor="background1"/>
                <w:sz w:val="16"/>
                <w:szCs w:val="16"/>
              </w:rPr>
            </w:pPr>
          </w:p>
        </w:tc>
      </w:tr>
      <w:tr w:rsidR="00C60D6C" w:rsidRPr="005D2A11" w:rsidTr="00212F4A">
        <w:tc>
          <w:tcPr>
            <w:tcW w:w="567"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15</w:t>
            </w:r>
          </w:p>
        </w:tc>
        <w:tc>
          <w:tcPr>
            <w:tcW w:w="2410"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Cost underperformance (</w:t>
            </w:r>
            <w:r w:rsidR="00FE42E8">
              <w:rPr>
                <w:rFonts w:cs="Arial"/>
                <w:color w:val="000000"/>
                <w:sz w:val="16"/>
                <w:szCs w:val="16"/>
              </w:rPr>
              <w:t>Totex</w:t>
            </w:r>
            <w:r w:rsidRPr="005D2A11">
              <w:rPr>
                <w:rFonts w:cs="Arial"/>
                <w:color w:val="000000"/>
                <w:sz w:val="16"/>
                <w:szCs w:val="16"/>
              </w:rPr>
              <w:t xml:space="preserve"> and retail 10% in each year of the price control) </w:t>
            </w:r>
          </w:p>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ODI penalty of 1.5% R</w:t>
            </w:r>
            <w:r w:rsidR="000844DD">
              <w:rPr>
                <w:rFonts w:cs="Arial"/>
                <w:color w:val="000000"/>
                <w:sz w:val="16"/>
                <w:szCs w:val="16"/>
              </w:rPr>
              <w:t>o</w:t>
            </w:r>
            <w:r w:rsidRPr="005D2A11">
              <w:rPr>
                <w:rFonts w:cs="Arial"/>
                <w:color w:val="000000"/>
                <w:sz w:val="16"/>
                <w:szCs w:val="16"/>
              </w:rPr>
              <w:t>RE in each year</w:t>
            </w:r>
          </w:p>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Financial penalty equivalent to 1% of Appointee revenue in one year</w:t>
            </w:r>
          </w:p>
        </w:tc>
        <w:tc>
          <w:tcPr>
            <w:tcW w:w="4677"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 xml:space="preserve">This appears to be an extremely unrealistic scenario with respect to </w:t>
            </w:r>
            <w:r w:rsidR="00FE42E8">
              <w:rPr>
                <w:rFonts w:cs="Arial"/>
                <w:color w:val="000000"/>
                <w:sz w:val="16"/>
                <w:szCs w:val="16"/>
              </w:rPr>
              <w:t>Totex</w:t>
            </w:r>
            <w:r w:rsidRPr="005D2A11">
              <w:rPr>
                <w:rFonts w:cs="Arial"/>
                <w:color w:val="000000"/>
                <w:sz w:val="16"/>
                <w:szCs w:val="16"/>
              </w:rPr>
              <w:t xml:space="preserve"> as it is difficult to imagine a scenario where management would not respond to, and mitigate, any event which had such significant impact on </w:t>
            </w:r>
            <w:r w:rsidR="00FE42E8">
              <w:rPr>
                <w:rFonts w:cs="Arial"/>
                <w:color w:val="000000"/>
                <w:sz w:val="16"/>
                <w:szCs w:val="16"/>
              </w:rPr>
              <w:t>Totex</w:t>
            </w:r>
            <w:r w:rsidRPr="005D2A11">
              <w:rPr>
                <w:rFonts w:cs="Arial"/>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C60D6C" w:rsidRPr="005D2A11" w:rsidRDefault="00C60D6C" w:rsidP="00C60D6C">
            <w:pPr>
              <w:tabs>
                <w:tab w:val="clear" w:pos="851"/>
              </w:tabs>
              <w:autoSpaceDE w:val="0"/>
              <w:autoSpaceDN w:val="0"/>
              <w:adjustRightInd w:val="0"/>
              <w:spacing w:after="0"/>
              <w:ind w:left="0"/>
              <w:jc w:val="left"/>
              <w:rPr>
                <w:rFonts w:cs="Arial"/>
                <w:color w:val="000000"/>
                <w:sz w:val="16"/>
                <w:szCs w:val="16"/>
              </w:rPr>
            </w:pPr>
            <w:r w:rsidRPr="005D2A11">
              <w:rPr>
                <w:rFonts w:cs="Arial"/>
                <w:color w:val="000000"/>
                <w:sz w:val="16"/>
                <w:szCs w:val="16"/>
              </w:rPr>
              <w:t>Ofwat</w:t>
            </w:r>
          </w:p>
        </w:tc>
      </w:tr>
      <w:tr w:rsidR="005D2A11" w:rsidRPr="005D2A11" w:rsidTr="00212F4A">
        <w:tc>
          <w:tcPr>
            <w:tcW w:w="567" w:type="dxa"/>
            <w:tcBorders>
              <w:top w:val="single" w:sz="4" w:space="0" w:color="auto"/>
              <w:left w:val="single" w:sz="4" w:space="0" w:color="auto"/>
              <w:bottom w:val="single" w:sz="4" w:space="0" w:color="auto"/>
              <w:right w:val="single" w:sz="4" w:space="0" w:color="auto"/>
            </w:tcBorders>
          </w:tcPr>
          <w:p w:rsidR="005D2A11" w:rsidRPr="005D2A11" w:rsidRDefault="005D2A11" w:rsidP="00C60D6C">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16</w:t>
            </w:r>
          </w:p>
        </w:tc>
        <w:tc>
          <w:tcPr>
            <w:tcW w:w="2410" w:type="dxa"/>
            <w:tcBorders>
              <w:top w:val="single" w:sz="4" w:space="0" w:color="auto"/>
              <w:left w:val="single" w:sz="4" w:space="0" w:color="auto"/>
              <w:bottom w:val="single" w:sz="4" w:space="0" w:color="auto"/>
              <w:right w:val="single" w:sz="4" w:space="0" w:color="auto"/>
            </w:tcBorders>
          </w:tcPr>
          <w:p w:rsidR="005D2A11" w:rsidRPr="005D2A11" w:rsidRDefault="005D2A11" w:rsidP="00C60D6C">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Loss of a critical IT system for one month in combination with two different scenarios</w:t>
            </w:r>
          </w:p>
        </w:tc>
        <w:tc>
          <w:tcPr>
            <w:tcW w:w="4677" w:type="dxa"/>
            <w:tcBorders>
              <w:top w:val="single" w:sz="4" w:space="0" w:color="auto"/>
              <w:left w:val="single" w:sz="4" w:space="0" w:color="auto"/>
              <w:bottom w:val="single" w:sz="4" w:space="0" w:color="auto"/>
              <w:right w:val="single" w:sz="4" w:space="0" w:color="auto"/>
            </w:tcBorders>
          </w:tcPr>
          <w:p w:rsidR="005D2A11" w:rsidRPr="005D2A11" w:rsidRDefault="005D2A11" w:rsidP="00C60D6C">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Impact of cash flow reduction due to loss of IT system coupled with loss of significant treatment works or pension scheme deficit both as set out above.</w:t>
            </w:r>
          </w:p>
        </w:tc>
        <w:tc>
          <w:tcPr>
            <w:tcW w:w="1134" w:type="dxa"/>
            <w:tcBorders>
              <w:top w:val="single" w:sz="4" w:space="0" w:color="auto"/>
              <w:left w:val="single" w:sz="4" w:space="0" w:color="auto"/>
              <w:bottom w:val="single" w:sz="4" w:space="0" w:color="auto"/>
              <w:right w:val="single" w:sz="4" w:space="0" w:color="auto"/>
            </w:tcBorders>
          </w:tcPr>
          <w:p w:rsidR="005D2A11" w:rsidRPr="005D2A11" w:rsidRDefault="005D2A11" w:rsidP="00C60D6C">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Company</w:t>
            </w:r>
          </w:p>
        </w:tc>
      </w:tr>
    </w:tbl>
    <w:p w:rsidR="00C60D6C" w:rsidRDefault="00C60D6C" w:rsidP="0035083C">
      <w:pPr>
        <w:spacing w:after="0"/>
        <w:rPr>
          <w:rFonts w:eastAsiaTheme="minorHAnsi" w:cs="Arial"/>
          <w:sz w:val="22"/>
          <w:szCs w:val="22"/>
          <w:lang w:eastAsia="en-US"/>
        </w:rPr>
      </w:pPr>
    </w:p>
    <w:p w:rsidR="002746D3" w:rsidRDefault="002746D3" w:rsidP="002746D3">
      <w:pPr>
        <w:rPr>
          <w:rFonts w:cs="Arial"/>
        </w:rPr>
      </w:pPr>
      <w:r>
        <w:rPr>
          <w:rFonts w:cs="Arial"/>
        </w:rPr>
        <w:t xml:space="preserve">We have modelled the outcome of these scenarios in the actual capital structure. </w:t>
      </w:r>
      <w:r w:rsidR="004977F6">
        <w:rPr>
          <w:rFonts w:cs="Arial"/>
        </w:rPr>
        <w:t>T</w:t>
      </w:r>
      <w:r>
        <w:rPr>
          <w:rFonts w:cs="Arial"/>
        </w:rPr>
        <w:t>he actual structure has less headroom than the notional structure and therefore this is more prudent and the actual company is rated in reality and therefore more relevant to viability assessment.</w:t>
      </w:r>
    </w:p>
    <w:p w:rsidR="002746D3" w:rsidRDefault="002746D3" w:rsidP="002746D3">
      <w:pPr>
        <w:rPr>
          <w:rFonts w:cs="Arial"/>
        </w:rPr>
      </w:pPr>
      <w:r>
        <w:rPr>
          <w:rFonts w:cs="Arial"/>
        </w:rPr>
        <w:t xml:space="preserve">We have assessed, in our modelling, the impact on a range of metrics including the impact upon cash flow, financial ratios and key covenants.  We have also considered and included within our modelling the ability of the business to mitigate such events including factors such as operational response </w:t>
      </w:r>
      <w:r w:rsidR="004977F6">
        <w:rPr>
          <w:rFonts w:cs="Arial"/>
        </w:rPr>
        <w:t xml:space="preserve">and </w:t>
      </w:r>
      <w:r>
        <w:rPr>
          <w:rFonts w:cs="Arial"/>
        </w:rPr>
        <w:t>recovery,</w:t>
      </w:r>
      <w:r w:rsidR="004977F6">
        <w:rPr>
          <w:rFonts w:cs="Arial"/>
        </w:rPr>
        <w:t xml:space="preserve"> flexibility of</w:t>
      </w:r>
      <w:r w:rsidR="00AB6F74">
        <w:rPr>
          <w:rFonts w:cs="Arial"/>
        </w:rPr>
        <w:t xml:space="preserve"> new</w:t>
      </w:r>
      <w:r>
        <w:rPr>
          <w:rFonts w:cs="Arial"/>
        </w:rPr>
        <w:t xml:space="preserve"> </w:t>
      </w:r>
      <w:r w:rsidR="005115F9">
        <w:rPr>
          <w:rFonts w:cs="Arial"/>
        </w:rPr>
        <w:t>capital</w:t>
      </w:r>
      <w:r>
        <w:rPr>
          <w:rFonts w:cs="Arial"/>
        </w:rPr>
        <w:t xml:space="preserve"> injections, borrowing facilities, insurance recovery, flexibility of operational spend and timing of dividend payments.  </w:t>
      </w:r>
    </w:p>
    <w:p w:rsidR="002746D3" w:rsidRDefault="002746D3" w:rsidP="002746D3">
      <w:pPr>
        <w:rPr>
          <w:rFonts w:cs="Arial"/>
        </w:rPr>
      </w:pPr>
      <w:r>
        <w:rPr>
          <w:rFonts w:cs="Arial"/>
        </w:rPr>
        <w:t>In assessing our overall financeability, in Section 11.3, we have targeted retaining one notch above the lowest investment grade credit rating.  In assessing financial resilience, although the Board would be reluctant to fall a notch on credit rating, this could occur and the Company still retain investment grade albeit it the lowest level.  We note also that in cases of severe financial shock the terms of the Artesian covenants also provide some degree of overall protection as, if breached, they result in dividend lock up.</w:t>
      </w:r>
    </w:p>
    <w:p w:rsidR="0081610E" w:rsidRDefault="002746D3" w:rsidP="002746D3">
      <w:r>
        <w:rPr>
          <w:rFonts w:cs="Arial"/>
        </w:rPr>
        <w:t xml:space="preserve">For simplicity, we have focussed below upon those metrics, which we consider are subject to the most scrutiny or least headroom – gearing, our key Artesian covenant ratio (ICR) and Moody’s ICR. We reference the Business Plan levels and targets below.  </w:t>
      </w:r>
      <w:r>
        <w:t xml:space="preserve">The table in </w:t>
      </w:r>
      <w:r w:rsidR="00194209">
        <w:t>S</w:t>
      </w:r>
      <w:r>
        <w:t>ection 11.3.1 sets out the overall suite of ratios that we have targeted for assessing financeability.  We note that in all scenarios, we have adequate cash flow and cash reserves to manage business operations and we can operate within existing/planned facility levels.</w:t>
      </w:r>
    </w:p>
    <w:p w:rsidR="0081610E" w:rsidRDefault="0081610E">
      <w:pPr>
        <w:tabs>
          <w:tab w:val="clear" w:pos="851"/>
        </w:tabs>
        <w:spacing w:after="0"/>
        <w:ind w:left="0"/>
        <w:jc w:val="left"/>
      </w:pPr>
      <w:r>
        <w:br w:type="page"/>
      </w:r>
    </w:p>
    <w:tbl>
      <w:tblPr>
        <w:tblStyle w:val="TableGrid52"/>
        <w:tblW w:w="0" w:type="auto"/>
        <w:tblInd w:w="1123" w:type="dxa"/>
        <w:tblLook w:val="04A0" w:firstRow="1" w:lastRow="0" w:firstColumn="1" w:lastColumn="0" w:noHBand="0" w:noVBand="1"/>
      </w:tblPr>
      <w:tblGrid>
        <w:gridCol w:w="2211"/>
        <w:gridCol w:w="1764"/>
        <w:gridCol w:w="1560"/>
      </w:tblGrid>
      <w:tr w:rsidR="002746D3" w:rsidRPr="00B857A5" w:rsidTr="005D72EF">
        <w:tc>
          <w:tcPr>
            <w:tcW w:w="2211" w:type="dxa"/>
            <w:tcBorders>
              <w:top w:val="single" w:sz="4" w:space="0" w:color="auto"/>
              <w:left w:val="single" w:sz="4" w:space="0" w:color="auto"/>
              <w:bottom w:val="single" w:sz="4" w:space="0" w:color="auto"/>
              <w:right w:val="single" w:sz="4" w:space="0" w:color="auto"/>
            </w:tcBorders>
            <w:shd w:val="clear" w:color="auto" w:fill="0070C0"/>
            <w:hideMark/>
          </w:tcPr>
          <w:p w:rsidR="002746D3" w:rsidRPr="00B857A5" w:rsidRDefault="002746D3" w:rsidP="005D72EF">
            <w:pPr>
              <w:tabs>
                <w:tab w:val="clear" w:pos="851"/>
              </w:tabs>
              <w:spacing w:after="0"/>
              <w:ind w:left="0"/>
              <w:jc w:val="left"/>
              <w:rPr>
                <w:rFonts w:cs="Arial"/>
                <w:b/>
                <w:color w:val="FFFFFF" w:themeColor="background1"/>
                <w:sz w:val="16"/>
                <w:szCs w:val="16"/>
              </w:rPr>
            </w:pPr>
            <w:r w:rsidRPr="00B857A5">
              <w:rPr>
                <w:rFonts w:cs="Arial"/>
                <w:b/>
                <w:color w:val="FFFFFF" w:themeColor="background1"/>
                <w:sz w:val="16"/>
                <w:szCs w:val="16"/>
              </w:rPr>
              <w:t>Ratio</w:t>
            </w:r>
          </w:p>
        </w:tc>
        <w:tc>
          <w:tcPr>
            <w:tcW w:w="1764" w:type="dxa"/>
            <w:tcBorders>
              <w:top w:val="single" w:sz="4" w:space="0" w:color="auto"/>
              <w:left w:val="single" w:sz="4" w:space="0" w:color="auto"/>
              <w:bottom w:val="single" w:sz="4" w:space="0" w:color="auto"/>
              <w:right w:val="single" w:sz="4" w:space="0" w:color="auto"/>
            </w:tcBorders>
            <w:shd w:val="clear" w:color="auto" w:fill="0070C0"/>
            <w:hideMark/>
          </w:tcPr>
          <w:p w:rsidR="002746D3" w:rsidRPr="00B857A5" w:rsidRDefault="002746D3" w:rsidP="005D72EF">
            <w:pPr>
              <w:tabs>
                <w:tab w:val="clear" w:pos="851"/>
              </w:tabs>
              <w:spacing w:after="0"/>
              <w:ind w:left="0"/>
              <w:jc w:val="center"/>
              <w:rPr>
                <w:rFonts w:cs="Arial"/>
                <w:b/>
                <w:color w:val="FFFFFF" w:themeColor="background1"/>
                <w:sz w:val="16"/>
                <w:szCs w:val="16"/>
              </w:rPr>
            </w:pPr>
            <w:r w:rsidRPr="00B857A5">
              <w:rPr>
                <w:rFonts w:cs="Arial"/>
                <w:b/>
                <w:color w:val="FFFFFF" w:themeColor="background1"/>
                <w:sz w:val="16"/>
                <w:szCs w:val="16"/>
              </w:rPr>
              <w:t>Business Plan Average</w:t>
            </w:r>
          </w:p>
        </w:tc>
        <w:tc>
          <w:tcPr>
            <w:tcW w:w="1560" w:type="dxa"/>
            <w:tcBorders>
              <w:top w:val="single" w:sz="4" w:space="0" w:color="auto"/>
              <w:left w:val="single" w:sz="4" w:space="0" w:color="auto"/>
              <w:bottom w:val="single" w:sz="4" w:space="0" w:color="auto"/>
              <w:right w:val="single" w:sz="4" w:space="0" w:color="auto"/>
            </w:tcBorders>
            <w:shd w:val="clear" w:color="auto" w:fill="0070C0"/>
            <w:hideMark/>
          </w:tcPr>
          <w:p w:rsidR="002746D3" w:rsidRPr="00B857A5" w:rsidRDefault="002746D3" w:rsidP="005D72EF">
            <w:pPr>
              <w:tabs>
                <w:tab w:val="clear" w:pos="851"/>
              </w:tabs>
              <w:spacing w:after="0"/>
              <w:ind w:left="0"/>
              <w:jc w:val="center"/>
              <w:rPr>
                <w:rFonts w:cs="Arial"/>
                <w:b/>
                <w:color w:val="FFFFFF" w:themeColor="background1"/>
                <w:sz w:val="16"/>
                <w:szCs w:val="16"/>
              </w:rPr>
            </w:pPr>
            <w:r w:rsidRPr="00B857A5">
              <w:rPr>
                <w:rFonts w:cs="Arial"/>
                <w:b/>
                <w:color w:val="FFFFFF" w:themeColor="background1"/>
                <w:sz w:val="16"/>
                <w:szCs w:val="16"/>
              </w:rPr>
              <w:t>Target</w:t>
            </w:r>
          </w:p>
        </w:tc>
      </w:tr>
      <w:tr w:rsidR="002746D3" w:rsidRPr="0035083C" w:rsidTr="005D72EF">
        <w:tc>
          <w:tcPr>
            <w:tcW w:w="2211"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Gearing</w:t>
            </w:r>
          </w:p>
        </w:tc>
        <w:tc>
          <w:tcPr>
            <w:tcW w:w="176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right"/>
              <w:rPr>
                <w:rFonts w:cs="Arial"/>
                <w:sz w:val="16"/>
                <w:szCs w:val="16"/>
              </w:rPr>
            </w:pPr>
            <w:r>
              <w:rPr>
                <w:rFonts w:cs="Arial"/>
                <w:sz w:val="16"/>
                <w:szCs w:val="16"/>
              </w:rPr>
              <w:t>56.5%</w:t>
            </w:r>
          </w:p>
        </w:tc>
        <w:tc>
          <w:tcPr>
            <w:tcW w:w="1560"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right"/>
              <w:rPr>
                <w:rFonts w:cs="Arial"/>
                <w:sz w:val="16"/>
                <w:szCs w:val="16"/>
              </w:rPr>
            </w:pPr>
            <w:r>
              <w:rPr>
                <w:rFonts w:cs="Arial"/>
                <w:sz w:val="16"/>
                <w:szCs w:val="16"/>
              </w:rPr>
              <w:t>≤80%</w:t>
            </w:r>
          </w:p>
        </w:tc>
      </w:tr>
      <w:tr w:rsidR="002746D3" w:rsidRPr="0035083C" w:rsidTr="005D72EF">
        <w:tc>
          <w:tcPr>
            <w:tcW w:w="2211"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Artesian interest cover</w:t>
            </w:r>
          </w:p>
        </w:tc>
        <w:tc>
          <w:tcPr>
            <w:tcW w:w="176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right="33"/>
              <w:jc w:val="right"/>
              <w:rPr>
                <w:rFonts w:cs="Arial"/>
                <w:sz w:val="16"/>
                <w:szCs w:val="16"/>
              </w:rPr>
            </w:pPr>
            <w:r>
              <w:rPr>
                <w:rFonts w:cs="Arial"/>
                <w:sz w:val="16"/>
                <w:szCs w:val="16"/>
              </w:rPr>
              <w:t>1.80</w:t>
            </w:r>
          </w:p>
        </w:tc>
        <w:tc>
          <w:tcPr>
            <w:tcW w:w="1560"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right"/>
              <w:rPr>
                <w:rFonts w:cs="Arial"/>
                <w:sz w:val="16"/>
                <w:szCs w:val="16"/>
              </w:rPr>
            </w:pPr>
            <w:r>
              <w:rPr>
                <w:rFonts w:cs="Arial"/>
                <w:sz w:val="16"/>
                <w:szCs w:val="16"/>
              </w:rPr>
              <w:t>≥1.40</w:t>
            </w:r>
          </w:p>
        </w:tc>
      </w:tr>
      <w:tr w:rsidR="002746D3" w:rsidRPr="0035083C" w:rsidTr="005D72EF">
        <w:tc>
          <w:tcPr>
            <w:tcW w:w="2211"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Moody’s interest cover</w:t>
            </w:r>
          </w:p>
        </w:tc>
        <w:tc>
          <w:tcPr>
            <w:tcW w:w="176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right="33"/>
              <w:jc w:val="right"/>
              <w:rPr>
                <w:rFonts w:cs="Arial"/>
                <w:sz w:val="16"/>
                <w:szCs w:val="16"/>
              </w:rPr>
            </w:pPr>
            <w:r>
              <w:rPr>
                <w:rFonts w:cs="Arial"/>
                <w:sz w:val="16"/>
                <w:szCs w:val="16"/>
              </w:rPr>
              <w:t>1.33</w:t>
            </w:r>
          </w:p>
        </w:tc>
        <w:tc>
          <w:tcPr>
            <w:tcW w:w="1560"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right"/>
              <w:rPr>
                <w:rFonts w:cs="Arial"/>
                <w:sz w:val="16"/>
                <w:szCs w:val="16"/>
              </w:rPr>
            </w:pPr>
            <w:r>
              <w:rPr>
                <w:rFonts w:cs="Arial"/>
                <w:sz w:val="16"/>
                <w:szCs w:val="16"/>
              </w:rPr>
              <w:t>≥1.30</w:t>
            </w:r>
          </w:p>
        </w:tc>
      </w:tr>
    </w:tbl>
    <w:p w:rsidR="002746D3" w:rsidRDefault="002746D3" w:rsidP="00A4394A">
      <w:pPr>
        <w:spacing w:after="0"/>
      </w:pPr>
    </w:p>
    <w:tbl>
      <w:tblPr>
        <w:tblStyle w:val="TableGrid52"/>
        <w:tblW w:w="9781" w:type="dxa"/>
        <w:tblInd w:w="279" w:type="dxa"/>
        <w:tblLayout w:type="fixed"/>
        <w:tblCellMar>
          <w:left w:w="57" w:type="dxa"/>
          <w:right w:w="57" w:type="dxa"/>
        </w:tblCellMar>
        <w:tblLook w:val="04A0" w:firstRow="1" w:lastRow="0" w:firstColumn="1" w:lastColumn="0" w:noHBand="0" w:noVBand="1"/>
      </w:tblPr>
      <w:tblGrid>
        <w:gridCol w:w="421"/>
        <w:gridCol w:w="1583"/>
        <w:gridCol w:w="2532"/>
        <w:gridCol w:w="3544"/>
        <w:gridCol w:w="283"/>
        <w:gridCol w:w="284"/>
        <w:gridCol w:w="283"/>
        <w:gridCol w:w="284"/>
        <w:gridCol w:w="283"/>
        <w:gridCol w:w="284"/>
      </w:tblGrid>
      <w:tr w:rsidR="002746D3" w:rsidRPr="00B857A5" w:rsidTr="00A4394A">
        <w:trPr>
          <w:cantSplit/>
          <w:trHeight w:val="958"/>
        </w:trPr>
        <w:tc>
          <w:tcPr>
            <w:tcW w:w="421"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2746D3" w:rsidRPr="00B857A5" w:rsidRDefault="002746D3" w:rsidP="005D72EF">
            <w:pPr>
              <w:tabs>
                <w:tab w:val="clear" w:pos="851"/>
              </w:tabs>
              <w:spacing w:after="0"/>
              <w:ind w:left="0"/>
              <w:jc w:val="left"/>
              <w:rPr>
                <w:rFonts w:cs="Arial"/>
                <w:b/>
                <w:color w:val="FFFFFF" w:themeColor="background1"/>
                <w:sz w:val="16"/>
                <w:szCs w:val="16"/>
              </w:rPr>
            </w:pPr>
          </w:p>
        </w:tc>
        <w:tc>
          <w:tcPr>
            <w:tcW w:w="1583"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746D3" w:rsidRPr="00B857A5" w:rsidRDefault="002746D3" w:rsidP="005D72EF">
            <w:pPr>
              <w:tabs>
                <w:tab w:val="clear" w:pos="851"/>
              </w:tabs>
              <w:spacing w:after="0"/>
              <w:ind w:left="0"/>
              <w:jc w:val="left"/>
              <w:rPr>
                <w:rFonts w:cs="Arial"/>
                <w:b/>
                <w:color w:val="FFFFFF" w:themeColor="background1"/>
                <w:sz w:val="16"/>
                <w:szCs w:val="16"/>
              </w:rPr>
            </w:pPr>
            <w:r w:rsidRPr="00B857A5">
              <w:rPr>
                <w:rFonts w:cs="Arial"/>
                <w:b/>
                <w:color w:val="FFFFFF" w:themeColor="background1"/>
                <w:sz w:val="16"/>
                <w:szCs w:val="16"/>
              </w:rPr>
              <w:t>Individual scenario</w:t>
            </w:r>
          </w:p>
        </w:tc>
        <w:tc>
          <w:tcPr>
            <w:tcW w:w="2532"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rsidR="002746D3" w:rsidRPr="00B857A5" w:rsidRDefault="002746D3" w:rsidP="005D72EF">
            <w:pPr>
              <w:tabs>
                <w:tab w:val="clear" w:pos="851"/>
              </w:tabs>
              <w:spacing w:after="0"/>
              <w:ind w:left="0"/>
              <w:jc w:val="left"/>
              <w:rPr>
                <w:rFonts w:cs="Arial"/>
                <w:b/>
                <w:color w:val="FFFFFF" w:themeColor="background1"/>
                <w:sz w:val="16"/>
                <w:szCs w:val="16"/>
              </w:rPr>
            </w:pPr>
            <w:r w:rsidRPr="00B857A5">
              <w:rPr>
                <w:rFonts w:cs="Arial"/>
                <w:b/>
                <w:color w:val="FFFFFF" w:themeColor="background1"/>
                <w:sz w:val="16"/>
                <w:szCs w:val="16"/>
              </w:rPr>
              <w:t>Impact</w:t>
            </w:r>
          </w:p>
        </w:tc>
        <w:tc>
          <w:tcPr>
            <w:tcW w:w="3544"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2746D3" w:rsidRPr="00B857A5" w:rsidRDefault="002746D3" w:rsidP="005D72EF">
            <w:pPr>
              <w:tabs>
                <w:tab w:val="clear" w:pos="851"/>
              </w:tabs>
              <w:spacing w:after="0"/>
              <w:ind w:left="0"/>
              <w:jc w:val="left"/>
              <w:rPr>
                <w:rFonts w:cs="Arial"/>
                <w:b/>
                <w:color w:val="FFFFFF" w:themeColor="background1"/>
                <w:sz w:val="16"/>
                <w:szCs w:val="16"/>
              </w:rPr>
            </w:pPr>
            <w:r w:rsidRPr="00B857A5">
              <w:rPr>
                <w:rFonts w:cs="Arial"/>
                <w:b/>
                <w:color w:val="FFFFFF" w:themeColor="background1"/>
                <w:sz w:val="16"/>
                <w:szCs w:val="16"/>
              </w:rPr>
              <w:t>Mitigation</w:t>
            </w:r>
          </w:p>
        </w:tc>
        <w:tc>
          <w:tcPr>
            <w:tcW w:w="283" w:type="dxa"/>
            <w:tcBorders>
              <w:top w:val="single" w:sz="4" w:space="0" w:color="auto"/>
              <w:left w:val="single" w:sz="4" w:space="0" w:color="auto"/>
              <w:bottom w:val="single" w:sz="4" w:space="0" w:color="auto"/>
              <w:right w:val="single" w:sz="4" w:space="0" w:color="auto"/>
            </w:tcBorders>
            <w:shd w:val="clear" w:color="auto" w:fill="2E74B5" w:themeFill="accent1" w:themeFillShade="BF"/>
            <w:textDirection w:val="btLr"/>
          </w:tcPr>
          <w:p w:rsidR="002746D3" w:rsidRPr="00B857A5" w:rsidRDefault="002746D3" w:rsidP="005D72EF">
            <w:pPr>
              <w:tabs>
                <w:tab w:val="clear" w:pos="851"/>
              </w:tabs>
              <w:spacing w:after="0"/>
              <w:ind w:left="113" w:right="113"/>
              <w:jc w:val="left"/>
              <w:rPr>
                <w:rFonts w:cs="Arial"/>
                <w:b/>
                <w:color w:val="FFFFFF" w:themeColor="background1"/>
                <w:sz w:val="16"/>
                <w:szCs w:val="16"/>
              </w:rPr>
            </w:pPr>
            <w:r w:rsidRPr="00B857A5">
              <w:rPr>
                <w:rFonts w:cs="Arial"/>
                <w:b/>
                <w:color w:val="FFFFFF" w:themeColor="background1"/>
                <w:sz w:val="16"/>
                <w:szCs w:val="16"/>
              </w:rPr>
              <w:t xml:space="preserve">↓ </w:t>
            </w:r>
            <w:r w:rsidR="00964B14">
              <w:rPr>
                <w:rFonts w:cs="Arial"/>
                <w:b/>
                <w:color w:val="FFFFFF" w:themeColor="background1"/>
                <w:sz w:val="12"/>
                <w:szCs w:val="12"/>
              </w:rPr>
              <w:t>Opex</w:t>
            </w:r>
          </w:p>
        </w:tc>
        <w:tc>
          <w:tcPr>
            <w:tcW w:w="284" w:type="dxa"/>
            <w:tcBorders>
              <w:top w:val="single" w:sz="4" w:space="0" w:color="auto"/>
              <w:left w:val="single" w:sz="4" w:space="0" w:color="auto"/>
              <w:bottom w:val="single" w:sz="4" w:space="0" w:color="auto"/>
              <w:right w:val="single" w:sz="4" w:space="0" w:color="auto"/>
            </w:tcBorders>
            <w:shd w:val="clear" w:color="auto" w:fill="2E74B5" w:themeFill="accent1" w:themeFillShade="BF"/>
            <w:textDirection w:val="btLr"/>
          </w:tcPr>
          <w:p w:rsidR="002746D3" w:rsidRPr="00B857A5" w:rsidRDefault="002746D3" w:rsidP="005D72EF">
            <w:pPr>
              <w:tabs>
                <w:tab w:val="clear" w:pos="851"/>
              </w:tabs>
              <w:spacing w:after="0"/>
              <w:ind w:left="113" w:right="113"/>
              <w:jc w:val="left"/>
              <w:rPr>
                <w:rFonts w:cs="Arial"/>
                <w:b/>
                <w:color w:val="FFFFFF" w:themeColor="background1"/>
                <w:sz w:val="16"/>
                <w:szCs w:val="16"/>
              </w:rPr>
            </w:pPr>
            <w:r w:rsidRPr="00B857A5">
              <w:rPr>
                <w:rFonts w:cs="Arial"/>
                <w:b/>
                <w:color w:val="FFFFFF" w:themeColor="background1"/>
                <w:sz w:val="16"/>
                <w:szCs w:val="16"/>
              </w:rPr>
              <w:t xml:space="preserve">↓ </w:t>
            </w:r>
            <w:r w:rsidR="00964B14">
              <w:rPr>
                <w:rFonts w:cs="Arial"/>
                <w:b/>
                <w:color w:val="FFFFFF" w:themeColor="background1"/>
                <w:sz w:val="12"/>
                <w:szCs w:val="12"/>
              </w:rPr>
              <w:t>Capex</w:t>
            </w:r>
          </w:p>
        </w:tc>
        <w:tc>
          <w:tcPr>
            <w:tcW w:w="283" w:type="dxa"/>
            <w:tcBorders>
              <w:top w:val="single" w:sz="4" w:space="0" w:color="auto"/>
              <w:left w:val="single" w:sz="4" w:space="0" w:color="auto"/>
              <w:bottom w:val="single" w:sz="4" w:space="0" w:color="auto"/>
              <w:right w:val="single" w:sz="4" w:space="0" w:color="auto"/>
            </w:tcBorders>
            <w:shd w:val="clear" w:color="auto" w:fill="2E74B5" w:themeFill="accent1" w:themeFillShade="BF"/>
            <w:textDirection w:val="btLr"/>
          </w:tcPr>
          <w:p w:rsidR="002746D3" w:rsidRPr="00B857A5" w:rsidRDefault="002746D3" w:rsidP="005D72EF">
            <w:pPr>
              <w:tabs>
                <w:tab w:val="clear" w:pos="851"/>
              </w:tabs>
              <w:spacing w:after="0"/>
              <w:ind w:left="113" w:right="113"/>
              <w:jc w:val="left"/>
              <w:rPr>
                <w:rFonts w:cs="Arial"/>
                <w:b/>
                <w:color w:val="FFFFFF" w:themeColor="background1"/>
                <w:sz w:val="16"/>
                <w:szCs w:val="16"/>
              </w:rPr>
            </w:pPr>
            <w:r w:rsidRPr="00B857A5">
              <w:rPr>
                <w:rFonts w:cs="Arial"/>
                <w:b/>
                <w:color w:val="FFFFFF" w:themeColor="background1"/>
                <w:sz w:val="16"/>
                <w:szCs w:val="16"/>
              </w:rPr>
              <w:t xml:space="preserve">↑ </w:t>
            </w:r>
            <w:r w:rsidRPr="00B857A5">
              <w:rPr>
                <w:rFonts w:cs="Arial"/>
                <w:b/>
                <w:color w:val="FFFFFF" w:themeColor="background1"/>
                <w:sz w:val="12"/>
                <w:szCs w:val="12"/>
              </w:rPr>
              <w:t>Borrowing</w:t>
            </w:r>
          </w:p>
        </w:tc>
        <w:tc>
          <w:tcPr>
            <w:tcW w:w="284" w:type="dxa"/>
            <w:tcBorders>
              <w:top w:val="single" w:sz="4" w:space="0" w:color="auto"/>
              <w:left w:val="single" w:sz="4" w:space="0" w:color="auto"/>
              <w:bottom w:val="single" w:sz="4" w:space="0" w:color="auto"/>
              <w:right w:val="single" w:sz="4" w:space="0" w:color="auto"/>
            </w:tcBorders>
            <w:shd w:val="clear" w:color="auto" w:fill="2E74B5" w:themeFill="accent1" w:themeFillShade="BF"/>
            <w:textDirection w:val="btLr"/>
          </w:tcPr>
          <w:p w:rsidR="002746D3" w:rsidRPr="00B857A5" w:rsidRDefault="002746D3" w:rsidP="005D72EF">
            <w:pPr>
              <w:tabs>
                <w:tab w:val="clear" w:pos="851"/>
              </w:tabs>
              <w:spacing w:after="0"/>
              <w:ind w:left="113" w:right="113"/>
              <w:jc w:val="left"/>
              <w:rPr>
                <w:rFonts w:cs="Arial"/>
                <w:b/>
                <w:color w:val="FFFFFF" w:themeColor="background1"/>
                <w:sz w:val="16"/>
                <w:szCs w:val="16"/>
              </w:rPr>
            </w:pPr>
            <w:r w:rsidRPr="00B857A5">
              <w:rPr>
                <w:rFonts w:cs="Arial"/>
                <w:b/>
                <w:color w:val="FFFFFF" w:themeColor="background1"/>
                <w:sz w:val="16"/>
                <w:szCs w:val="16"/>
              </w:rPr>
              <w:t xml:space="preserve">↑ </w:t>
            </w:r>
            <w:r w:rsidR="005115F9">
              <w:rPr>
                <w:rFonts w:cs="Arial"/>
                <w:b/>
                <w:color w:val="FFFFFF" w:themeColor="background1"/>
                <w:sz w:val="12"/>
                <w:szCs w:val="12"/>
              </w:rPr>
              <w:t>Capital</w:t>
            </w:r>
          </w:p>
        </w:tc>
        <w:tc>
          <w:tcPr>
            <w:tcW w:w="283" w:type="dxa"/>
            <w:tcBorders>
              <w:top w:val="single" w:sz="4" w:space="0" w:color="auto"/>
              <w:left w:val="single" w:sz="4" w:space="0" w:color="auto"/>
              <w:bottom w:val="single" w:sz="4" w:space="0" w:color="auto"/>
              <w:right w:val="single" w:sz="4" w:space="0" w:color="auto"/>
            </w:tcBorders>
            <w:shd w:val="clear" w:color="auto" w:fill="2E74B5" w:themeFill="accent1" w:themeFillShade="BF"/>
            <w:textDirection w:val="btLr"/>
          </w:tcPr>
          <w:p w:rsidR="002746D3" w:rsidRPr="00B857A5" w:rsidRDefault="002746D3" w:rsidP="005D72EF">
            <w:pPr>
              <w:tabs>
                <w:tab w:val="clear" w:pos="851"/>
              </w:tabs>
              <w:spacing w:after="0"/>
              <w:ind w:left="113" w:right="113"/>
              <w:jc w:val="left"/>
              <w:rPr>
                <w:rFonts w:cs="Arial"/>
                <w:b/>
                <w:color w:val="FFFFFF" w:themeColor="background1"/>
                <w:sz w:val="16"/>
                <w:szCs w:val="16"/>
              </w:rPr>
            </w:pPr>
            <w:r w:rsidRPr="00B857A5">
              <w:rPr>
                <w:rFonts w:ascii="Arial Black" w:hAnsi="Arial Black" w:cs="Arial"/>
                <w:b/>
                <w:color w:val="FFFFFF" w:themeColor="background1"/>
                <w:sz w:val="16"/>
                <w:szCs w:val="16"/>
              </w:rPr>
              <w:t>↓</w:t>
            </w:r>
            <w:r w:rsidRPr="00B857A5">
              <w:rPr>
                <w:rFonts w:cs="Arial"/>
                <w:b/>
                <w:color w:val="FFFFFF" w:themeColor="background1"/>
                <w:sz w:val="16"/>
                <w:szCs w:val="16"/>
              </w:rPr>
              <w:t xml:space="preserve"> </w:t>
            </w:r>
            <w:r w:rsidRPr="00B857A5">
              <w:rPr>
                <w:rFonts w:cs="Arial"/>
                <w:b/>
                <w:color w:val="FFFFFF" w:themeColor="background1"/>
                <w:sz w:val="12"/>
                <w:szCs w:val="12"/>
              </w:rPr>
              <w:t>Dividends</w:t>
            </w:r>
          </w:p>
        </w:tc>
        <w:tc>
          <w:tcPr>
            <w:tcW w:w="284" w:type="dxa"/>
            <w:tcBorders>
              <w:top w:val="single" w:sz="4" w:space="0" w:color="auto"/>
              <w:left w:val="single" w:sz="4" w:space="0" w:color="auto"/>
              <w:bottom w:val="single" w:sz="4" w:space="0" w:color="auto"/>
              <w:right w:val="single" w:sz="4" w:space="0" w:color="auto"/>
            </w:tcBorders>
            <w:shd w:val="clear" w:color="auto" w:fill="2E74B5" w:themeFill="accent1" w:themeFillShade="BF"/>
            <w:textDirection w:val="btLr"/>
          </w:tcPr>
          <w:p w:rsidR="002746D3" w:rsidRPr="00B857A5" w:rsidRDefault="002746D3" w:rsidP="005D72EF">
            <w:pPr>
              <w:tabs>
                <w:tab w:val="clear" w:pos="851"/>
              </w:tabs>
              <w:spacing w:after="0"/>
              <w:ind w:left="113" w:right="113"/>
              <w:jc w:val="left"/>
              <w:rPr>
                <w:rFonts w:cs="Arial"/>
                <w:b/>
                <w:color w:val="FFFFFF" w:themeColor="background1"/>
                <w:sz w:val="12"/>
                <w:szCs w:val="12"/>
              </w:rPr>
            </w:pPr>
            <w:r w:rsidRPr="00B857A5">
              <w:rPr>
                <w:rFonts w:cs="Arial"/>
                <w:b/>
                <w:color w:val="FFFFFF" w:themeColor="background1"/>
                <w:sz w:val="12"/>
                <w:szCs w:val="12"/>
              </w:rPr>
              <w:t>Other</w:t>
            </w: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spacing w:after="0"/>
              <w:ind w:left="0"/>
              <w:jc w:val="left"/>
              <w:rPr>
                <w:rFonts w:cs="Arial"/>
                <w:sz w:val="16"/>
                <w:szCs w:val="16"/>
              </w:rPr>
            </w:pPr>
            <w:r w:rsidRPr="0035083C">
              <w:rPr>
                <w:rFonts w:cs="Arial"/>
                <w:sz w:val="16"/>
                <w:szCs w:val="16"/>
              </w:rPr>
              <w:t>1</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FE42E8" w:rsidP="005D72EF">
            <w:pPr>
              <w:tabs>
                <w:tab w:val="clear" w:pos="851"/>
              </w:tabs>
              <w:spacing w:after="0"/>
              <w:ind w:left="0"/>
              <w:jc w:val="left"/>
              <w:rPr>
                <w:rFonts w:cs="Arial"/>
                <w:sz w:val="16"/>
                <w:szCs w:val="16"/>
              </w:rPr>
            </w:pPr>
            <w:r>
              <w:rPr>
                <w:rFonts w:cs="Arial"/>
                <w:sz w:val="16"/>
                <w:szCs w:val="16"/>
              </w:rPr>
              <w:t>Totex</w:t>
            </w:r>
            <w:r w:rsidR="002746D3" w:rsidRPr="0035083C">
              <w:rPr>
                <w:rFonts w:cs="Arial"/>
                <w:sz w:val="16"/>
                <w:szCs w:val="16"/>
              </w:rPr>
              <w:t xml:space="preserve"> underperformance (10% of </w:t>
            </w:r>
            <w:r>
              <w:rPr>
                <w:rFonts w:cs="Arial"/>
                <w:sz w:val="16"/>
                <w:szCs w:val="16"/>
              </w:rPr>
              <w:t>Totex</w:t>
            </w:r>
            <w:r w:rsidR="002746D3" w:rsidRPr="0035083C">
              <w:rPr>
                <w:rFonts w:cs="Arial"/>
                <w:sz w:val="16"/>
                <w:szCs w:val="16"/>
              </w:rPr>
              <w:t xml:space="preserve">) </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Artesian Interest cover falls to ≤1.4 in two of the 5 years.  Moody’s falls to an average of 1.15 – below investment grade.</w:t>
            </w:r>
          </w:p>
        </w:tc>
        <w:tc>
          <w:tcPr>
            <w:tcW w:w="3544" w:type="dxa"/>
            <w:tcBorders>
              <w:top w:val="single" w:sz="4" w:space="0" w:color="auto"/>
              <w:left w:val="single" w:sz="4" w:space="0" w:color="auto"/>
              <w:bottom w:val="single" w:sz="4" w:space="0" w:color="auto"/>
              <w:right w:val="single" w:sz="4" w:space="0" w:color="auto"/>
            </w:tcBorders>
          </w:tcPr>
          <w:p w:rsidR="002746D3" w:rsidRDefault="002746D3" w:rsidP="005D72EF">
            <w:pPr>
              <w:tabs>
                <w:tab w:val="clear" w:pos="851"/>
              </w:tabs>
              <w:spacing w:after="0"/>
              <w:ind w:left="0"/>
              <w:jc w:val="left"/>
              <w:rPr>
                <w:rFonts w:cs="Arial"/>
                <w:sz w:val="16"/>
                <w:szCs w:val="16"/>
              </w:rPr>
            </w:pPr>
            <w:r>
              <w:rPr>
                <w:rFonts w:cs="Arial"/>
                <w:sz w:val="16"/>
                <w:szCs w:val="16"/>
              </w:rPr>
              <w:t>The Board saw this scenario as extreme and unrealistic.  However, it could be mitigated through a combination of actions as noted aside.</w:t>
            </w:r>
          </w:p>
        </w:tc>
        <w:tc>
          <w:tcPr>
            <w:tcW w:w="283" w:type="dxa"/>
            <w:tcBorders>
              <w:top w:val="single" w:sz="4" w:space="0" w:color="auto"/>
              <w:left w:val="single" w:sz="4" w:space="0" w:color="auto"/>
              <w:bottom w:val="single" w:sz="4" w:space="0" w:color="auto"/>
              <w:right w:val="single" w:sz="4" w:space="0" w:color="auto"/>
            </w:tcBorders>
          </w:tcPr>
          <w:p w:rsidR="002746D3"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3" w:type="dxa"/>
            <w:tcBorders>
              <w:top w:val="single" w:sz="4" w:space="0" w:color="auto"/>
              <w:left w:val="single" w:sz="4" w:space="0" w:color="auto"/>
              <w:bottom w:val="single" w:sz="4" w:space="0" w:color="auto"/>
              <w:right w:val="single" w:sz="4" w:space="0" w:color="auto"/>
            </w:tcBorders>
          </w:tcPr>
          <w:p w:rsidR="002746D3"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3" w:type="dxa"/>
            <w:tcBorders>
              <w:top w:val="single" w:sz="4" w:space="0" w:color="auto"/>
              <w:left w:val="single" w:sz="4" w:space="0" w:color="auto"/>
              <w:bottom w:val="single" w:sz="4" w:space="0" w:color="auto"/>
              <w:right w:val="single" w:sz="4" w:space="0" w:color="auto"/>
            </w:tcBorders>
          </w:tcPr>
          <w:p w:rsidR="002746D3"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Default="002746D3" w:rsidP="005D72EF">
            <w:pPr>
              <w:tabs>
                <w:tab w:val="clear" w:pos="851"/>
              </w:tabs>
              <w:spacing w:after="0"/>
              <w:ind w:left="0"/>
              <w:jc w:val="center"/>
              <w:rPr>
                <w:rFonts w:cs="Arial"/>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spacing w:after="0"/>
              <w:ind w:left="0"/>
              <w:jc w:val="left"/>
              <w:rPr>
                <w:rFonts w:cs="Arial"/>
                <w:sz w:val="16"/>
                <w:szCs w:val="16"/>
              </w:rPr>
            </w:pPr>
            <w:r w:rsidRPr="0035083C">
              <w:rPr>
                <w:rFonts w:cs="Arial"/>
                <w:sz w:val="16"/>
                <w:szCs w:val="16"/>
              </w:rPr>
              <w:t>2</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FE42E8" w:rsidP="005D72EF">
            <w:pPr>
              <w:tabs>
                <w:tab w:val="clear" w:pos="851"/>
              </w:tabs>
              <w:spacing w:after="0"/>
              <w:ind w:left="0"/>
              <w:jc w:val="left"/>
              <w:rPr>
                <w:rFonts w:cs="Arial"/>
                <w:sz w:val="16"/>
                <w:szCs w:val="16"/>
              </w:rPr>
            </w:pPr>
            <w:r>
              <w:rPr>
                <w:rFonts w:cs="Arial"/>
                <w:sz w:val="16"/>
                <w:szCs w:val="16"/>
              </w:rPr>
              <w:t>Totex</w:t>
            </w:r>
            <w:r w:rsidR="002746D3" w:rsidRPr="0035083C">
              <w:rPr>
                <w:rFonts w:cs="Arial"/>
                <w:sz w:val="16"/>
                <w:szCs w:val="16"/>
              </w:rPr>
              <w:t xml:space="preserve"> – loss of a significant water treatment works</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Artesian Interest cover falls to ≤1.4 in year of impact.  Moody’s falls to an average of 1.26 – risk of 1 notch downgrade.</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 xml:space="preserve">Mitigated by borrowing in year of impact and temporary restriction on </w:t>
            </w:r>
            <w:r w:rsidR="00964B14">
              <w:rPr>
                <w:rFonts w:cs="Arial"/>
                <w:sz w:val="16"/>
                <w:szCs w:val="16"/>
              </w:rPr>
              <w:t>Opex</w:t>
            </w:r>
            <w:r>
              <w:rPr>
                <w:rFonts w:cs="Arial"/>
                <w:sz w:val="16"/>
                <w:szCs w:val="16"/>
              </w:rPr>
              <w:t xml:space="preserve"> to manage ICR.</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spacing w:after="0"/>
              <w:ind w:left="0"/>
              <w:jc w:val="left"/>
              <w:rPr>
                <w:rFonts w:eastAsia="Arial Narrow" w:cs="Arial"/>
                <w:w w:val="115"/>
                <w:sz w:val="16"/>
                <w:szCs w:val="16"/>
                <w:lang w:val="en-US"/>
              </w:rPr>
            </w:pPr>
            <w:r w:rsidRPr="0035083C">
              <w:rPr>
                <w:rFonts w:cs="Arial"/>
                <w:w w:val="115"/>
                <w:sz w:val="16"/>
                <w:szCs w:val="16"/>
                <w:lang w:val="en-US"/>
              </w:rPr>
              <w:t>3</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FE42E8" w:rsidP="005D72EF">
            <w:pPr>
              <w:tabs>
                <w:tab w:val="clear" w:pos="851"/>
              </w:tabs>
              <w:spacing w:after="0"/>
              <w:ind w:left="0"/>
              <w:jc w:val="left"/>
              <w:rPr>
                <w:rFonts w:cs="Arial"/>
                <w:sz w:val="16"/>
                <w:szCs w:val="16"/>
              </w:rPr>
            </w:pPr>
            <w:r>
              <w:rPr>
                <w:rFonts w:cs="Arial"/>
                <w:w w:val="115"/>
                <w:sz w:val="16"/>
                <w:szCs w:val="16"/>
                <w:lang w:val="en-US"/>
              </w:rPr>
              <w:t>Totex</w:t>
            </w:r>
            <w:r w:rsidR="002746D3" w:rsidRPr="0035083C">
              <w:rPr>
                <w:rFonts w:cs="Arial"/>
                <w:w w:val="115"/>
                <w:sz w:val="16"/>
                <w:szCs w:val="16"/>
                <w:lang w:val="en-US"/>
              </w:rPr>
              <w:t xml:space="preserve"> - A combination of 2 risk events arise</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Artesian Interest cover falls to ≤1.4 in year of impact.  Moody’s falls to an average of 1.27 – risk of 1 notch downgrade.</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 xml:space="preserve">Mitigated by borrowing in year of impact and temporary restriction on </w:t>
            </w:r>
            <w:r w:rsidR="00964B14">
              <w:rPr>
                <w:rFonts w:cs="Arial"/>
                <w:sz w:val="16"/>
                <w:szCs w:val="16"/>
              </w:rPr>
              <w:t>Opex</w:t>
            </w:r>
            <w:r>
              <w:rPr>
                <w:rFonts w:cs="Arial"/>
                <w:sz w:val="16"/>
                <w:szCs w:val="16"/>
              </w:rPr>
              <w:t xml:space="preserve"> to manage ICR.</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spacing w:after="0"/>
              <w:ind w:left="0"/>
              <w:jc w:val="left"/>
              <w:rPr>
                <w:rFonts w:eastAsia="Arial Narrow" w:cs="Arial"/>
                <w:w w:val="115"/>
                <w:sz w:val="16"/>
                <w:szCs w:val="16"/>
                <w:lang w:val="en-US"/>
              </w:rPr>
            </w:pPr>
            <w:r w:rsidRPr="0035083C">
              <w:rPr>
                <w:rFonts w:cs="Arial"/>
                <w:w w:val="115"/>
                <w:sz w:val="16"/>
                <w:szCs w:val="16"/>
                <w:lang w:val="en-US"/>
              </w:rPr>
              <w:t>4</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FE42E8" w:rsidP="005D72EF">
            <w:pPr>
              <w:tabs>
                <w:tab w:val="clear" w:pos="851"/>
              </w:tabs>
              <w:spacing w:after="0"/>
              <w:ind w:left="0"/>
              <w:jc w:val="left"/>
              <w:rPr>
                <w:rFonts w:cs="Arial"/>
                <w:w w:val="115"/>
                <w:sz w:val="16"/>
                <w:szCs w:val="16"/>
                <w:lang w:val="en-US"/>
              </w:rPr>
            </w:pPr>
            <w:r>
              <w:rPr>
                <w:rFonts w:cs="Arial"/>
                <w:w w:val="115"/>
                <w:sz w:val="16"/>
                <w:szCs w:val="16"/>
                <w:lang w:val="en-US"/>
              </w:rPr>
              <w:t>Totex</w:t>
            </w:r>
            <w:r w:rsidR="002746D3" w:rsidRPr="0035083C">
              <w:rPr>
                <w:rFonts w:cs="Arial"/>
                <w:w w:val="115"/>
                <w:sz w:val="16"/>
                <w:szCs w:val="16"/>
                <w:lang w:val="en-US"/>
              </w:rPr>
              <w:t xml:space="preserve"> – Pension scheme deficit</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w w:val="115"/>
                <w:sz w:val="16"/>
                <w:szCs w:val="16"/>
                <w:lang w:val="en-US"/>
              </w:rPr>
            </w:pPr>
            <w:r>
              <w:rPr>
                <w:rFonts w:cs="Arial"/>
                <w:sz w:val="16"/>
                <w:szCs w:val="16"/>
              </w:rPr>
              <w:t>Moody’s ICR falls to an average of 1.25 – risk of 1 notch downgrade.</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 xml:space="preserve">Mitigating long term cost savings </w:t>
            </w:r>
            <w:r w:rsidRPr="00B227E9">
              <w:rPr>
                <w:rFonts w:cs="Arial"/>
                <w:sz w:val="16"/>
                <w:szCs w:val="16"/>
                <w:u w:val="single"/>
              </w:rPr>
              <w:t>or</w:t>
            </w:r>
            <w:r>
              <w:rPr>
                <w:rFonts w:cs="Arial"/>
                <w:sz w:val="16"/>
                <w:szCs w:val="16"/>
              </w:rPr>
              <w:t xml:space="preserve"> increased </w:t>
            </w:r>
            <w:r w:rsidR="005115F9">
              <w:rPr>
                <w:rFonts w:cs="Arial"/>
                <w:sz w:val="16"/>
                <w:szCs w:val="16"/>
              </w:rPr>
              <w:t>capital</w:t>
            </w:r>
            <w:r>
              <w:rPr>
                <w:rFonts w:cs="Arial"/>
                <w:sz w:val="16"/>
                <w:szCs w:val="16"/>
              </w:rPr>
              <w:t>.</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widowControl w:val="0"/>
              <w:tabs>
                <w:tab w:val="clear" w:pos="851"/>
                <w:tab w:val="left" w:pos="494"/>
              </w:tabs>
              <w:spacing w:before="9" w:after="0"/>
              <w:ind w:left="0"/>
              <w:jc w:val="left"/>
              <w:rPr>
                <w:rFonts w:eastAsia="Arial Narrow" w:cs="Arial"/>
                <w:w w:val="115"/>
                <w:sz w:val="16"/>
                <w:szCs w:val="16"/>
                <w:lang w:val="en-US"/>
              </w:rPr>
            </w:pPr>
            <w:r w:rsidRPr="0035083C">
              <w:rPr>
                <w:rFonts w:cs="Arial"/>
                <w:w w:val="115"/>
                <w:sz w:val="16"/>
                <w:szCs w:val="16"/>
                <w:lang w:val="en-US"/>
              </w:rPr>
              <w:t>5</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widowControl w:val="0"/>
              <w:tabs>
                <w:tab w:val="clear" w:pos="851"/>
                <w:tab w:val="left" w:pos="494"/>
              </w:tabs>
              <w:spacing w:before="9" w:after="0"/>
              <w:ind w:left="0"/>
              <w:jc w:val="left"/>
              <w:rPr>
                <w:rFonts w:cs="Arial"/>
                <w:w w:val="115"/>
                <w:sz w:val="16"/>
                <w:szCs w:val="16"/>
                <w:lang w:val="en-US"/>
              </w:rPr>
            </w:pPr>
            <w:r w:rsidRPr="0035083C">
              <w:rPr>
                <w:rFonts w:cs="Arial"/>
                <w:w w:val="115"/>
                <w:sz w:val="16"/>
                <w:szCs w:val="16"/>
                <w:lang w:val="en-US"/>
              </w:rPr>
              <w:t xml:space="preserve">An upper limit capital expenditure test of £20m </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Artesian Interest cover falls to ≤1.4 in year of impact.  Moody’s falls to an average of 1.23 – risk of 1 notch downgrade.</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 xml:space="preserve">A combination of borrowing, temporary restriction in </w:t>
            </w:r>
            <w:r w:rsidR="00964B14">
              <w:rPr>
                <w:rFonts w:cs="Arial"/>
                <w:sz w:val="16"/>
                <w:szCs w:val="16"/>
              </w:rPr>
              <w:t>Opex</w:t>
            </w:r>
            <w:r>
              <w:rPr>
                <w:rFonts w:cs="Arial"/>
                <w:sz w:val="16"/>
                <w:szCs w:val="16"/>
              </w:rPr>
              <w:t xml:space="preserve"> &amp; </w:t>
            </w:r>
            <w:r w:rsidR="00964B14">
              <w:rPr>
                <w:rFonts w:cs="Arial"/>
                <w:sz w:val="16"/>
                <w:szCs w:val="16"/>
              </w:rPr>
              <w:t>Capex</w:t>
            </w:r>
            <w:r>
              <w:rPr>
                <w:rFonts w:cs="Arial"/>
                <w:sz w:val="16"/>
                <w:szCs w:val="16"/>
              </w:rPr>
              <w:t>, and reduced dividends.</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widowControl w:val="0"/>
              <w:tabs>
                <w:tab w:val="clear" w:pos="851"/>
                <w:tab w:val="left" w:pos="494"/>
              </w:tabs>
              <w:spacing w:before="9" w:after="0"/>
              <w:ind w:left="0"/>
              <w:jc w:val="left"/>
              <w:rPr>
                <w:rFonts w:eastAsia="Arial Narrow" w:cs="Arial"/>
                <w:w w:val="115"/>
                <w:sz w:val="16"/>
                <w:szCs w:val="16"/>
                <w:lang w:val="en-US"/>
              </w:rPr>
            </w:pPr>
            <w:r w:rsidRPr="0035083C">
              <w:rPr>
                <w:rFonts w:cs="Arial"/>
                <w:w w:val="115"/>
                <w:sz w:val="16"/>
                <w:szCs w:val="16"/>
                <w:lang w:val="en-US"/>
              </w:rPr>
              <w:t>6</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widowControl w:val="0"/>
              <w:tabs>
                <w:tab w:val="clear" w:pos="851"/>
                <w:tab w:val="left" w:pos="494"/>
              </w:tabs>
              <w:spacing w:before="9" w:after="0"/>
              <w:ind w:left="0"/>
              <w:jc w:val="left"/>
              <w:rPr>
                <w:rFonts w:cs="Arial"/>
                <w:w w:val="115"/>
                <w:sz w:val="16"/>
                <w:szCs w:val="16"/>
                <w:lang w:val="en-US"/>
              </w:rPr>
            </w:pPr>
            <w:r w:rsidRPr="0035083C">
              <w:rPr>
                <w:rFonts w:cs="Arial"/>
                <w:w w:val="115"/>
                <w:sz w:val="16"/>
                <w:szCs w:val="16"/>
                <w:lang w:val="en-US"/>
              </w:rPr>
              <w:t xml:space="preserve">Cost variance on HTWSR </w:t>
            </w:r>
            <w:r>
              <w:rPr>
                <w:rFonts w:cs="Arial"/>
                <w:w w:val="115"/>
                <w:sz w:val="16"/>
                <w:szCs w:val="16"/>
                <w:lang w:val="en-US"/>
              </w:rPr>
              <w:t>P10</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w w:val="115"/>
                <w:sz w:val="16"/>
                <w:szCs w:val="16"/>
                <w:lang w:val="en-US"/>
              </w:rPr>
            </w:pPr>
            <w:r>
              <w:rPr>
                <w:rFonts w:cs="Arial"/>
                <w:sz w:val="16"/>
                <w:szCs w:val="16"/>
              </w:rPr>
              <w:t>Moody’s falls to an average of 1.298. Otherwise can be managed without mitigation.</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This could likely be managed by careful discussion with the rating agencies.  However, in reality other management mitigation would take place to manage cost overruns.</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spacing w:after="0"/>
              <w:ind w:left="0"/>
              <w:jc w:val="left"/>
              <w:rPr>
                <w:rFonts w:cs="Arial"/>
                <w:sz w:val="16"/>
                <w:szCs w:val="16"/>
              </w:rPr>
            </w:pPr>
            <w:r w:rsidRPr="0035083C">
              <w:rPr>
                <w:rFonts w:cs="Arial"/>
                <w:sz w:val="16"/>
                <w:szCs w:val="16"/>
              </w:rPr>
              <w:t>7</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spacing w:after="0"/>
              <w:ind w:left="0"/>
              <w:jc w:val="left"/>
              <w:rPr>
                <w:rFonts w:cs="Arial"/>
                <w:sz w:val="16"/>
                <w:szCs w:val="16"/>
              </w:rPr>
            </w:pPr>
            <w:r w:rsidRPr="0035083C">
              <w:rPr>
                <w:rFonts w:cs="Arial"/>
                <w:sz w:val="16"/>
                <w:szCs w:val="16"/>
              </w:rPr>
              <w:t>ODI penalty (3% of RoRE) in one year (</w:t>
            </w:r>
            <w:r w:rsidR="00964B14">
              <w:rPr>
                <w:rFonts w:cs="Arial"/>
                <w:sz w:val="16"/>
                <w:szCs w:val="16"/>
              </w:rPr>
              <w:t>Opex</w:t>
            </w:r>
            <w:r w:rsidRPr="0035083C">
              <w:rPr>
                <w:rFonts w:cs="Arial"/>
                <w:sz w:val="16"/>
                <w:szCs w:val="16"/>
              </w:rPr>
              <w:t>)</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Artesian Interest cover falls to ≤1.4 in year of impact.  Moody’s falls to an average of 1.19 – risk of 1 notch downgrade.</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 xml:space="preserve">Mitigated by borrowing in year of impact and temporary restriction on </w:t>
            </w:r>
            <w:r w:rsidR="00964B14">
              <w:rPr>
                <w:rFonts w:cs="Arial"/>
                <w:sz w:val="16"/>
                <w:szCs w:val="16"/>
              </w:rPr>
              <w:t>Opex</w:t>
            </w:r>
            <w:r>
              <w:rPr>
                <w:rFonts w:cs="Arial"/>
                <w:sz w:val="16"/>
                <w:szCs w:val="16"/>
              </w:rPr>
              <w:t xml:space="preserve"> to manage ICR.</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r>
              <w:rPr>
                <w:rFonts w:cs="Arial"/>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center"/>
              <w:rPr>
                <w:rFonts w:cs="Arial"/>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spacing w:after="0"/>
              <w:ind w:left="0"/>
              <w:jc w:val="left"/>
              <w:rPr>
                <w:rFonts w:cs="Arial"/>
                <w:sz w:val="16"/>
                <w:szCs w:val="16"/>
              </w:rPr>
            </w:pPr>
            <w:r w:rsidRPr="0035083C">
              <w:rPr>
                <w:rFonts w:cs="Arial"/>
                <w:sz w:val="16"/>
                <w:szCs w:val="16"/>
              </w:rPr>
              <w:t>8</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spacing w:after="0"/>
              <w:ind w:left="0"/>
              <w:jc w:val="left"/>
              <w:rPr>
                <w:rFonts w:cs="Arial"/>
                <w:sz w:val="16"/>
                <w:szCs w:val="16"/>
              </w:rPr>
            </w:pPr>
            <w:r w:rsidRPr="0035083C">
              <w:rPr>
                <w:rFonts w:cs="Arial"/>
                <w:sz w:val="16"/>
                <w:szCs w:val="16"/>
              </w:rPr>
              <w:t>ODI - Maximum ODI penalty (</w:t>
            </w:r>
            <w:r w:rsidR="00964B14">
              <w:rPr>
                <w:rFonts w:cs="Arial"/>
                <w:sz w:val="16"/>
                <w:szCs w:val="16"/>
              </w:rPr>
              <w:t>Opex</w:t>
            </w:r>
            <w:r w:rsidRPr="0035083C">
              <w:rPr>
                <w:rFonts w:cs="Arial"/>
                <w:sz w:val="16"/>
                <w:szCs w:val="16"/>
              </w:rPr>
              <w:t>)</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Can be managed within existing headroom.</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None required</w:t>
            </w: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spacing w:after="0"/>
              <w:ind w:left="0"/>
              <w:jc w:val="center"/>
              <w:rPr>
                <w:rFonts w:cs="Arial"/>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spacing w:after="0"/>
              <w:ind w:left="0"/>
              <w:jc w:val="center"/>
              <w:rPr>
                <w:rFonts w:cs="Arial"/>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spacing w:after="0"/>
              <w:ind w:left="0"/>
              <w:jc w:val="center"/>
              <w:rPr>
                <w:rFonts w:cs="Arial"/>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sidRPr="0035083C">
              <w:rPr>
                <w:rFonts w:cs="Arial"/>
                <w:color w:val="000000"/>
                <w:sz w:val="16"/>
                <w:szCs w:val="16"/>
              </w:rPr>
              <w:t>9</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High i</w:t>
            </w:r>
            <w:r w:rsidRPr="0035083C">
              <w:rPr>
                <w:rFonts w:cs="Arial"/>
                <w:color w:val="000000"/>
                <w:sz w:val="16"/>
                <w:szCs w:val="16"/>
              </w:rPr>
              <w:t xml:space="preserve">nflation scenario </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sz w:val="16"/>
                <w:szCs w:val="16"/>
              </w:rPr>
              <w:t>Artesian Interest cover falls to ≤1.4 in last 3 years.  Moody’s falls to an average of 1.14 – risk of 1 notch downgrade.</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 xml:space="preserve">Although this can be managed in the short term by temporary reduction in </w:t>
            </w:r>
            <w:r w:rsidR="00964B14">
              <w:rPr>
                <w:rFonts w:cs="Arial"/>
                <w:color w:val="000000"/>
                <w:sz w:val="16"/>
                <w:szCs w:val="16"/>
              </w:rPr>
              <w:t>Opex</w:t>
            </w:r>
            <w:r>
              <w:rPr>
                <w:rFonts w:cs="Arial"/>
                <w:color w:val="000000"/>
                <w:sz w:val="16"/>
                <w:szCs w:val="16"/>
              </w:rPr>
              <w:t xml:space="preserve"> costs in reality a long-term cost reduction programme would likely be required.</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widowControl w:val="0"/>
              <w:tabs>
                <w:tab w:val="clear" w:pos="851"/>
                <w:tab w:val="left" w:pos="494"/>
              </w:tabs>
              <w:spacing w:before="9" w:after="0"/>
              <w:ind w:left="0"/>
              <w:jc w:val="left"/>
              <w:rPr>
                <w:rFonts w:eastAsia="Arial Narrow" w:cs="Arial"/>
                <w:w w:val="115"/>
                <w:sz w:val="16"/>
                <w:szCs w:val="16"/>
                <w:lang w:val="en-US"/>
              </w:rPr>
            </w:pPr>
            <w:r w:rsidRPr="0035083C">
              <w:rPr>
                <w:rFonts w:cs="Arial"/>
                <w:w w:val="115"/>
                <w:sz w:val="16"/>
                <w:szCs w:val="16"/>
                <w:lang w:val="en-US"/>
              </w:rPr>
              <w:t>10</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widowControl w:val="0"/>
              <w:tabs>
                <w:tab w:val="clear" w:pos="851"/>
                <w:tab w:val="left" w:pos="494"/>
              </w:tabs>
              <w:spacing w:before="9" w:after="0"/>
              <w:ind w:left="0"/>
              <w:jc w:val="left"/>
              <w:rPr>
                <w:rFonts w:cs="Arial"/>
                <w:w w:val="115"/>
                <w:sz w:val="16"/>
                <w:szCs w:val="16"/>
                <w:lang w:val="en-US"/>
              </w:rPr>
            </w:pPr>
            <w:r w:rsidRPr="0035083C">
              <w:rPr>
                <w:rFonts w:cs="Arial"/>
                <w:w w:val="115"/>
                <w:sz w:val="16"/>
                <w:szCs w:val="16"/>
                <w:lang w:val="en-US"/>
              </w:rPr>
              <w:t>Sensitivity testing of key assumptions</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A range of sever but plausible scenarios were run – including increasing of the RPI/CPI wedge by 1% point.  These all had adverse impact on key ratios.</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These scenarios required a combination of mitigating actions within the acceptable range.</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sidRPr="0035083C">
              <w:rPr>
                <w:rFonts w:cs="Arial"/>
                <w:color w:val="000000"/>
                <w:sz w:val="16"/>
                <w:szCs w:val="16"/>
              </w:rPr>
              <w:t>11</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sidRPr="0035083C">
              <w:rPr>
                <w:rFonts w:cs="Arial"/>
                <w:color w:val="000000"/>
                <w:sz w:val="16"/>
                <w:szCs w:val="16"/>
              </w:rPr>
              <w:t xml:space="preserve">Increase in the level of bad debt (5%) </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Can be managed within existing headroom.</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None required</w:t>
            </w: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sidRPr="0035083C">
              <w:rPr>
                <w:rFonts w:cs="Arial"/>
                <w:color w:val="000000"/>
                <w:sz w:val="16"/>
                <w:szCs w:val="16"/>
              </w:rPr>
              <w:t>12</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sidRPr="0035083C">
              <w:rPr>
                <w:rFonts w:cs="Arial"/>
                <w:color w:val="000000"/>
                <w:sz w:val="16"/>
                <w:szCs w:val="16"/>
              </w:rPr>
              <w:t xml:space="preserve">Debt at 2% above the forward projections </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Higher cost of debt impacts Moody’s ICR which falls to an average of 1.25</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 xml:space="preserve">Additional </w:t>
            </w:r>
            <w:r w:rsidR="005115F9">
              <w:rPr>
                <w:rFonts w:cs="Arial"/>
                <w:color w:val="000000"/>
                <w:sz w:val="16"/>
                <w:szCs w:val="16"/>
              </w:rPr>
              <w:t>capital</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sidRPr="0035083C">
              <w:rPr>
                <w:rFonts w:cs="Arial"/>
                <w:color w:val="000000"/>
                <w:sz w:val="16"/>
                <w:szCs w:val="16"/>
              </w:rPr>
              <w:t>13</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sidRPr="0035083C">
              <w:rPr>
                <w:rFonts w:cs="Arial"/>
                <w:color w:val="000000"/>
                <w:sz w:val="16"/>
                <w:szCs w:val="16"/>
              </w:rPr>
              <w:t xml:space="preserve">Financial penalty 3% on one year turnover </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Can be managed within existing headroom.</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spacing w:after="0"/>
              <w:ind w:left="0"/>
              <w:jc w:val="left"/>
              <w:rPr>
                <w:rFonts w:cs="Arial"/>
                <w:sz w:val="16"/>
                <w:szCs w:val="16"/>
              </w:rPr>
            </w:pPr>
            <w:r>
              <w:rPr>
                <w:rFonts w:cs="Arial"/>
                <w:sz w:val="16"/>
                <w:szCs w:val="16"/>
              </w:rPr>
              <w:t>None required</w:t>
            </w: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sidRPr="0035083C">
              <w:rPr>
                <w:rFonts w:cs="Arial"/>
                <w:color w:val="000000"/>
                <w:sz w:val="16"/>
                <w:szCs w:val="16"/>
              </w:rPr>
              <w:t>14</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Intercompany</w:t>
            </w: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n/a</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r>
      <w:tr w:rsidR="002746D3" w:rsidRPr="00B857A5" w:rsidTr="00A4394A">
        <w:tc>
          <w:tcPr>
            <w:tcW w:w="421" w:type="dxa"/>
            <w:tcBorders>
              <w:top w:val="single" w:sz="4" w:space="0" w:color="auto"/>
              <w:left w:val="single" w:sz="4" w:space="0" w:color="auto"/>
              <w:bottom w:val="single" w:sz="4" w:space="0" w:color="auto"/>
              <w:right w:val="single" w:sz="4" w:space="0" w:color="auto"/>
            </w:tcBorders>
            <w:shd w:val="clear" w:color="auto" w:fill="0070C0"/>
          </w:tcPr>
          <w:p w:rsidR="002746D3" w:rsidRPr="00B857A5" w:rsidRDefault="002746D3" w:rsidP="005D72EF">
            <w:pPr>
              <w:tabs>
                <w:tab w:val="clear" w:pos="851"/>
              </w:tabs>
              <w:spacing w:after="0"/>
              <w:ind w:left="0"/>
              <w:jc w:val="left"/>
              <w:rPr>
                <w:rFonts w:cs="Arial"/>
                <w:b/>
                <w:color w:val="FFFFFF" w:themeColor="background1"/>
                <w:sz w:val="16"/>
                <w:szCs w:val="16"/>
              </w:rPr>
            </w:pPr>
          </w:p>
        </w:tc>
        <w:tc>
          <w:tcPr>
            <w:tcW w:w="1583" w:type="dxa"/>
            <w:tcBorders>
              <w:top w:val="single" w:sz="4" w:space="0" w:color="auto"/>
              <w:left w:val="single" w:sz="4" w:space="0" w:color="auto"/>
              <w:bottom w:val="single" w:sz="4" w:space="0" w:color="auto"/>
              <w:right w:val="single" w:sz="4" w:space="0" w:color="auto"/>
            </w:tcBorders>
            <w:shd w:val="clear" w:color="auto" w:fill="0070C0"/>
            <w:hideMark/>
          </w:tcPr>
          <w:p w:rsidR="002746D3" w:rsidRPr="00B857A5" w:rsidRDefault="002746D3" w:rsidP="005D72EF">
            <w:pPr>
              <w:tabs>
                <w:tab w:val="clear" w:pos="851"/>
              </w:tabs>
              <w:spacing w:after="0"/>
              <w:ind w:left="0"/>
              <w:jc w:val="left"/>
              <w:rPr>
                <w:rFonts w:cs="Arial"/>
                <w:b/>
                <w:color w:val="FFFFFF" w:themeColor="background1"/>
                <w:sz w:val="16"/>
                <w:szCs w:val="16"/>
              </w:rPr>
            </w:pPr>
            <w:r w:rsidRPr="00B857A5">
              <w:rPr>
                <w:rFonts w:cs="Arial"/>
                <w:b/>
                <w:color w:val="FFFFFF" w:themeColor="background1"/>
                <w:sz w:val="16"/>
                <w:szCs w:val="16"/>
              </w:rPr>
              <w:t xml:space="preserve">Combined </w:t>
            </w:r>
          </w:p>
        </w:tc>
        <w:tc>
          <w:tcPr>
            <w:tcW w:w="2532" w:type="dxa"/>
            <w:tcBorders>
              <w:top w:val="single" w:sz="4" w:space="0" w:color="auto"/>
              <w:left w:val="single" w:sz="4" w:space="0" w:color="auto"/>
              <w:bottom w:val="single" w:sz="4" w:space="0" w:color="auto"/>
              <w:right w:val="single" w:sz="4" w:space="0" w:color="auto"/>
            </w:tcBorders>
            <w:shd w:val="clear" w:color="auto" w:fill="0070C0"/>
          </w:tcPr>
          <w:p w:rsidR="002746D3" w:rsidRPr="00B857A5" w:rsidRDefault="002746D3" w:rsidP="005D72EF">
            <w:pPr>
              <w:tabs>
                <w:tab w:val="clear" w:pos="851"/>
              </w:tabs>
              <w:spacing w:after="0"/>
              <w:ind w:left="0"/>
              <w:jc w:val="left"/>
              <w:rPr>
                <w:rFonts w:cs="Arial"/>
                <w:b/>
                <w:color w:val="FFFFFF" w:themeColor="background1"/>
                <w:sz w:val="16"/>
                <w:szCs w:val="16"/>
              </w:rPr>
            </w:pPr>
          </w:p>
        </w:tc>
        <w:tc>
          <w:tcPr>
            <w:tcW w:w="3544" w:type="dxa"/>
            <w:tcBorders>
              <w:top w:val="single" w:sz="4" w:space="0" w:color="auto"/>
              <w:left w:val="single" w:sz="4" w:space="0" w:color="auto"/>
              <w:bottom w:val="single" w:sz="4" w:space="0" w:color="auto"/>
              <w:right w:val="single" w:sz="4" w:space="0" w:color="auto"/>
            </w:tcBorders>
            <w:shd w:val="clear" w:color="auto" w:fill="0070C0"/>
          </w:tcPr>
          <w:p w:rsidR="002746D3" w:rsidRPr="00B857A5" w:rsidRDefault="002746D3" w:rsidP="005D72EF">
            <w:pPr>
              <w:tabs>
                <w:tab w:val="clear" w:pos="851"/>
              </w:tabs>
              <w:spacing w:after="0"/>
              <w:ind w:left="0"/>
              <w:jc w:val="left"/>
              <w:rPr>
                <w:rFonts w:cs="Arial"/>
                <w:b/>
                <w:color w:val="FFFFFF" w:themeColor="background1"/>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0070C0"/>
          </w:tcPr>
          <w:p w:rsidR="002746D3" w:rsidRPr="00B857A5" w:rsidRDefault="002746D3" w:rsidP="005D72EF">
            <w:pPr>
              <w:tabs>
                <w:tab w:val="clear" w:pos="851"/>
              </w:tabs>
              <w:spacing w:after="0"/>
              <w:ind w:left="0"/>
              <w:jc w:val="center"/>
              <w:rPr>
                <w:rFonts w:cs="Arial"/>
                <w:b/>
                <w:color w:val="FFFFFF" w:themeColor="background1"/>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0070C0"/>
          </w:tcPr>
          <w:p w:rsidR="002746D3" w:rsidRPr="00B857A5" w:rsidRDefault="002746D3" w:rsidP="005D72EF">
            <w:pPr>
              <w:tabs>
                <w:tab w:val="clear" w:pos="851"/>
              </w:tabs>
              <w:spacing w:after="0"/>
              <w:ind w:left="0"/>
              <w:jc w:val="center"/>
              <w:rPr>
                <w:rFonts w:cs="Arial"/>
                <w:b/>
                <w:color w:val="FFFFFF" w:themeColor="background1"/>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0070C0"/>
          </w:tcPr>
          <w:p w:rsidR="002746D3" w:rsidRPr="00B857A5" w:rsidRDefault="002746D3" w:rsidP="005D72EF">
            <w:pPr>
              <w:tabs>
                <w:tab w:val="clear" w:pos="851"/>
              </w:tabs>
              <w:spacing w:after="0"/>
              <w:ind w:left="0"/>
              <w:jc w:val="center"/>
              <w:rPr>
                <w:rFonts w:cs="Arial"/>
                <w:b/>
                <w:color w:val="FFFFFF" w:themeColor="background1"/>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0070C0"/>
          </w:tcPr>
          <w:p w:rsidR="002746D3" w:rsidRPr="00B857A5" w:rsidRDefault="002746D3" w:rsidP="005D72EF">
            <w:pPr>
              <w:tabs>
                <w:tab w:val="clear" w:pos="851"/>
              </w:tabs>
              <w:spacing w:after="0"/>
              <w:ind w:left="0"/>
              <w:jc w:val="center"/>
              <w:rPr>
                <w:rFonts w:cs="Arial"/>
                <w:b/>
                <w:color w:val="FFFFFF" w:themeColor="background1"/>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0070C0"/>
          </w:tcPr>
          <w:p w:rsidR="002746D3" w:rsidRPr="00B857A5" w:rsidRDefault="002746D3" w:rsidP="005D72EF">
            <w:pPr>
              <w:tabs>
                <w:tab w:val="clear" w:pos="851"/>
              </w:tabs>
              <w:spacing w:after="0"/>
              <w:ind w:left="0"/>
              <w:jc w:val="center"/>
              <w:rPr>
                <w:rFonts w:cs="Arial"/>
                <w:b/>
                <w:color w:val="FFFFFF" w:themeColor="background1"/>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0070C0"/>
          </w:tcPr>
          <w:p w:rsidR="002746D3" w:rsidRPr="00B857A5" w:rsidRDefault="002746D3" w:rsidP="005D72EF">
            <w:pPr>
              <w:tabs>
                <w:tab w:val="clear" w:pos="851"/>
              </w:tabs>
              <w:spacing w:after="0"/>
              <w:ind w:left="0"/>
              <w:jc w:val="center"/>
              <w:rPr>
                <w:rFonts w:cs="Arial"/>
                <w:b/>
                <w:color w:val="FFFFFF" w:themeColor="background1"/>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sidRPr="0035083C">
              <w:rPr>
                <w:rFonts w:cs="Arial"/>
                <w:color w:val="000000"/>
                <w:sz w:val="16"/>
                <w:szCs w:val="16"/>
              </w:rPr>
              <w:t>15</w:t>
            </w:r>
          </w:p>
        </w:tc>
        <w:tc>
          <w:tcPr>
            <w:tcW w:w="1583"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Cost underperformance</w:t>
            </w:r>
          </w:p>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p>
        </w:tc>
        <w:tc>
          <w:tcPr>
            <w:tcW w:w="2532" w:type="dxa"/>
            <w:tcBorders>
              <w:top w:val="single" w:sz="4" w:space="0" w:color="auto"/>
              <w:left w:val="single" w:sz="4" w:space="0" w:color="auto"/>
              <w:bottom w:val="single" w:sz="4" w:space="0" w:color="auto"/>
              <w:right w:val="single" w:sz="4" w:space="0" w:color="auto"/>
            </w:tcBorders>
          </w:tcPr>
          <w:p w:rsidR="002746D3" w:rsidRPr="0035083C" w:rsidRDefault="00B857A5" w:rsidP="005D72EF">
            <w:pPr>
              <w:tabs>
                <w:tab w:val="clear" w:pos="851"/>
              </w:tabs>
              <w:autoSpaceDE w:val="0"/>
              <w:autoSpaceDN w:val="0"/>
              <w:adjustRightInd w:val="0"/>
              <w:spacing w:after="0"/>
              <w:ind w:left="0"/>
              <w:jc w:val="left"/>
              <w:rPr>
                <w:rFonts w:cs="Arial"/>
                <w:color w:val="000000"/>
                <w:sz w:val="16"/>
                <w:szCs w:val="16"/>
              </w:rPr>
            </w:pPr>
            <w:r>
              <w:rPr>
                <w:rFonts w:cs="Arial"/>
                <w:color w:val="000000"/>
                <w:sz w:val="16"/>
                <w:szCs w:val="16"/>
              </w:rPr>
              <w:t>Artesian Interest cover falls to an average of 1.23 Moody’s falls to an average of 0.95 – significantly below investment grade. Total reduction in cash balances of &gt;£8m.</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left"/>
              <w:rPr>
                <w:rFonts w:cs="Arial"/>
                <w:color w:val="000000"/>
                <w:sz w:val="16"/>
                <w:szCs w:val="16"/>
              </w:rPr>
            </w:pPr>
            <w:r>
              <w:rPr>
                <w:rFonts w:cs="Arial"/>
                <w:sz w:val="16"/>
                <w:szCs w:val="16"/>
              </w:rPr>
              <w:t>The Board saw this scenario as extreme and unrealistic.  However, it could be mitigated through a combination of actions as noted aside.</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r>
              <w:rPr>
                <w:rFonts w:cs="Arial"/>
                <w:color w:val="000000"/>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tabs>
                <w:tab w:val="clear" w:pos="851"/>
              </w:tabs>
              <w:autoSpaceDE w:val="0"/>
              <w:autoSpaceDN w:val="0"/>
              <w:adjustRightInd w:val="0"/>
              <w:spacing w:after="0"/>
              <w:ind w:left="0"/>
              <w:jc w:val="center"/>
              <w:rPr>
                <w:rFonts w:cs="Arial"/>
                <w:color w:val="000000"/>
                <w:sz w:val="16"/>
                <w:szCs w:val="16"/>
              </w:rPr>
            </w:pPr>
          </w:p>
        </w:tc>
      </w:tr>
      <w:tr w:rsidR="002746D3" w:rsidRPr="0035083C" w:rsidTr="00A4394A">
        <w:tc>
          <w:tcPr>
            <w:tcW w:w="421" w:type="dxa"/>
            <w:tcBorders>
              <w:top w:val="single" w:sz="4" w:space="0" w:color="auto"/>
              <w:left w:val="single" w:sz="4" w:space="0" w:color="auto"/>
              <w:bottom w:val="single" w:sz="4" w:space="0" w:color="auto"/>
              <w:right w:val="single" w:sz="4" w:space="0" w:color="auto"/>
            </w:tcBorders>
            <w:hideMark/>
          </w:tcPr>
          <w:p w:rsidR="002746D3" w:rsidRPr="0035083C" w:rsidRDefault="002746D3" w:rsidP="005D72EF">
            <w:pPr>
              <w:widowControl w:val="0"/>
              <w:tabs>
                <w:tab w:val="clear" w:pos="851"/>
                <w:tab w:val="left" w:pos="341"/>
              </w:tabs>
              <w:spacing w:before="9" w:after="0" w:line="249" w:lineRule="auto"/>
              <w:ind w:left="0"/>
              <w:jc w:val="left"/>
              <w:rPr>
                <w:rFonts w:eastAsia="Arial Narrow" w:cs="Arial"/>
                <w:w w:val="115"/>
                <w:sz w:val="16"/>
                <w:szCs w:val="16"/>
                <w:lang w:val="en-US"/>
              </w:rPr>
            </w:pPr>
            <w:r w:rsidRPr="0035083C">
              <w:rPr>
                <w:rFonts w:cs="Arial"/>
                <w:w w:val="115"/>
                <w:sz w:val="16"/>
                <w:szCs w:val="16"/>
                <w:lang w:val="en-US"/>
              </w:rPr>
              <w:t>16</w:t>
            </w:r>
          </w:p>
        </w:tc>
        <w:tc>
          <w:tcPr>
            <w:tcW w:w="1583" w:type="dxa"/>
            <w:tcBorders>
              <w:top w:val="single" w:sz="4" w:space="0" w:color="auto"/>
              <w:left w:val="single" w:sz="4" w:space="0" w:color="auto"/>
              <w:bottom w:val="single" w:sz="4" w:space="0" w:color="auto"/>
              <w:right w:val="single" w:sz="4" w:space="0" w:color="auto"/>
            </w:tcBorders>
            <w:hideMark/>
          </w:tcPr>
          <w:p w:rsidR="002746D3" w:rsidRPr="00B227E9" w:rsidRDefault="002746D3" w:rsidP="005D72EF">
            <w:pPr>
              <w:widowControl w:val="0"/>
              <w:tabs>
                <w:tab w:val="clear" w:pos="851"/>
                <w:tab w:val="left" w:pos="341"/>
              </w:tabs>
              <w:spacing w:before="9" w:after="0" w:line="249" w:lineRule="auto"/>
              <w:ind w:left="0"/>
              <w:jc w:val="left"/>
              <w:rPr>
                <w:rFonts w:eastAsia="Dotum" w:cs="Arial"/>
                <w:sz w:val="16"/>
                <w:szCs w:val="16"/>
                <w:lang w:val="en-US"/>
              </w:rPr>
            </w:pPr>
            <w:r w:rsidRPr="00B227E9">
              <w:rPr>
                <w:rFonts w:eastAsia="Dotum" w:cs="Arial"/>
                <w:w w:val="115"/>
                <w:sz w:val="16"/>
                <w:szCs w:val="16"/>
                <w:lang w:val="en-US"/>
              </w:rPr>
              <w:t>Loss</w:t>
            </w:r>
            <w:r w:rsidRPr="00B227E9">
              <w:rPr>
                <w:rFonts w:eastAsia="Dotum" w:cs="Arial"/>
                <w:spacing w:val="-6"/>
                <w:w w:val="115"/>
                <w:sz w:val="16"/>
                <w:szCs w:val="16"/>
                <w:lang w:val="en-US"/>
              </w:rPr>
              <w:t xml:space="preserve"> </w:t>
            </w:r>
            <w:r w:rsidRPr="00B227E9">
              <w:rPr>
                <w:rFonts w:eastAsia="Dotum" w:cs="Arial"/>
                <w:spacing w:val="-1"/>
                <w:w w:val="115"/>
                <w:sz w:val="16"/>
                <w:szCs w:val="16"/>
                <w:lang w:val="en-US"/>
              </w:rPr>
              <w:t>o</w:t>
            </w:r>
            <w:r w:rsidRPr="00B227E9">
              <w:rPr>
                <w:rFonts w:eastAsia="Dotum" w:cs="Arial"/>
                <w:spacing w:val="-2"/>
                <w:w w:val="115"/>
                <w:sz w:val="16"/>
                <w:szCs w:val="16"/>
                <w:lang w:val="en-US"/>
              </w:rPr>
              <w:t>f</w:t>
            </w:r>
            <w:r w:rsidRPr="00B227E9">
              <w:rPr>
                <w:rFonts w:eastAsia="Dotum" w:cs="Arial"/>
                <w:spacing w:val="-5"/>
                <w:w w:val="115"/>
                <w:sz w:val="16"/>
                <w:szCs w:val="16"/>
                <w:lang w:val="en-US"/>
              </w:rPr>
              <w:t xml:space="preserve"> </w:t>
            </w:r>
            <w:r w:rsidRPr="00B227E9">
              <w:rPr>
                <w:rFonts w:eastAsia="Dotum" w:cs="Arial"/>
                <w:w w:val="115"/>
                <w:sz w:val="16"/>
                <w:szCs w:val="16"/>
                <w:lang w:val="en-US"/>
              </w:rPr>
              <w:t>IT</w:t>
            </w:r>
            <w:r w:rsidRPr="00B227E9">
              <w:rPr>
                <w:rFonts w:eastAsia="Dotum" w:cs="Arial"/>
                <w:spacing w:val="-5"/>
                <w:w w:val="115"/>
                <w:sz w:val="16"/>
                <w:szCs w:val="16"/>
                <w:lang w:val="en-US"/>
              </w:rPr>
              <w:t xml:space="preserve"> </w:t>
            </w:r>
            <w:r w:rsidRPr="00B227E9">
              <w:rPr>
                <w:rFonts w:eastAsia="Dotum" w:cs="Arial"/>
                <w:w w:val="115"/>
                <w:sz w:val="16"/>
                <w:szCs w:val="16"/>
                <w:lang w:val="en-US"/>
              </w:rPr>
              <w:t>system</w:t>
            </w:r>
            <w:r w:rsidRPr="00B227E9">
              <w:rPr>
                <w:rFonts w:eastAsia="Dotum" w:cs="Arial"/>
                <w:spacing w:val="-5"/>
                <w:w w:val="115"/>
                <w:sz w:val="16"/>
                <w:szCs w:val="16"/>
                <w:lang w:val="en-US"/>
              </w:rPr>
              <w:t xml:space="preserve"> </w:t>
            </w:r>
            <w:r w:rsidRPr="00B227E9">
              <w:rPr>
                <w:rFonts w:eastAsia="Dotum" w:cs="Arial"/>
                <w:spacing w:val="-2"/>
                <w:w w:val="115"/>
                <w:sz w:val="16"/>
                <w:szCs w:val="16"/>
                <w:lang w:val="en-US"/>
              </w:rPr>
              <w:t>for</w:t>
            </w:r>
            <w:r w:rsidRPr="00B227E9">
              <w:rPr>
                <w:rFonts w:eastAsia="Dotum" w:cs="Arial"/>
                <w:spacing w:val="-5"/>
                <w:w w:val="115"/>
                <w:sz w:val="16"/>
                <w:szCs w:val="16"/>
                <w:lang w:val="en-US"/>
              </w:rPr>
              <w:t xml:space="preserve"> </w:t>
            </w:r>
            <w:r w:rsidRPr="00B227E9">
              <w:rPr>
                <w:rFonts w:eastAsia="Dotum" w:cs="Arial"/>
                <w:w w:val="115"/>
                <w:sz w:val="16"/>
                <w:szCs w:val="16"/>
                <w:lang w:val="en-US"/>
              </w:rPr>
              <w:t>one</w:t>
            </w:r>
            <w:r w:rsidRPr="00B227E9">
              <w:rPr>
                <w:rFonts w:eastAsia="Dotum" w:cs="Arial"/>
                <w:spacing w:val="-5"/>
                <w:w w:val="115"/>
                <w:sz w:val="16"/>
                <w:szCs w:val="16"/>
                <w:lang w:val="en-US"/>
              </w:rPr>
              <w:t xml:space="preserve"> </w:t>
            </w:r>
            <w:r w:rsidRPr="00B227E9">
              <w:rPr>
                <w:rFonts w:eastAsia="Dotum" w:cs="Arial"/>
                <w:w w:val="115"/>
                <w:sz w:val="16"/>
                <w:szCs w:val="16"/>
                <w:lang w:val="en-US"/>
              </w:rPr>
              <w:t>month</w:t>
            </w:r>
            <w:r w:rsidRPr="00B227E9">
              <w:rPr>
                <w:rFonts w:eastAsia="Dotum" w:cs="Arial"/>
                <w:spacing w:val="29"/>
                <w:w w:val="116"/>
                <w:sz w:val="16"/>
                <w:szCs w:val="16"/>
                <w:lang w:val="en-US"/>
              </w:rPr>
              <w:t xml:space="preserve"> </w:t>
            </w:r>
            <w:r w:rsidRPr="00B227E9">
              <w:rPr>
                <w:rFonts w:eastAsia="Dotum" w:cs="Arial"/>
                <w:w w:val="115"/>
                <w:sz w:val="16"/>
                <w:szCs w:val="16"/>
                <w:lang w:val="en-US"/>
              </w:rPr>
              <w:t>in</w:t>
            </w:r>
            <w:r w:rsidRPr="00B227E9">
              <w:rPr>
                <w:rFonts w:eastAsia="Dotum" w:cs="Arial"/>
                <w:spacing w:val="-8"/>
                <w:w w:val="115"/>
                <w:sz w:val="16"/>
                <w:szCs w:val="16"/>
                <w:lang w:val="en-US"/>
              </w:rPr>
              <w:t xml:space="preserve"> </w:t>
            </w:r>
            <w:r w:rsidRPr="00B227E9">
              <w:rPr>
                <w:rFonts w:eastAsia="Dotum" w:cs="Arial"/>
                <w:w w:val="115"/>
                <w:sz w:val="16"/>
                <w:szCs w:val="16"/>
                <w:lang w:val="en-US"/>
              </w:rPr>
              <w:t>combination</w:t>
            </w:r>
            <w:r w:rsidRPr="00B227E9">
              <w:rPr>
                <w:rFonts w:eastAsia="Dotum" w:cs="Arial"/>
                <w:spacing w:val="-8"/>
                <w:w w:val="115"/>
                <w:sz w:val="16"/>
                <w:szCs w:val="16"/>
                <w:lang w:val="en-US"/>
              </w:rPr>
              <w:t xml:space="preserve"> </w:t>
            </w:r>
            <w:r w:rsidRPr="00B227E9">
              <w:rPr>
                <w:rFonts w:eastAsia="Dotum" w:cs="Arial"/>
                <w:w w:val="115"/>
                <w:sz w:val="16"/>
                <w:szCs w:val="16"/>
                <w:lang w:val="en-US"/>
              </w:rPr>
              <w:t>with</w:t>
            </w:r>
            <w:r w:rsidRPr="00B227E9">
              <w:rPr>
                <w:rFonts w:eastAsia="Dotum" w:cs="Arial"/>
                <w:spacing w:val="-7"/>
                <w:w w:val="115"/>
                <w:sz w:val="16"/>
                <w:szCs w:val="16"/>
                <w:lang w:val="en-US"/>
              </w:rPr>
              <w:t xml:space="preserve"> </w:t>
            </w:r>
            <w:r w:rsidRPr="00B227E9">
              <w:rPr>
                <w:rFonts w:eastAsia="Dotum" w:cs="Arial"/>
                <w:spacing w:val="-1"/>
                <w:w w:val="115"/>
                <w:sz w:val="16"/>
                <w:szCs w:val="16"/>
                <w:lang w:val="en-US"/>
              </w:rPr>
              <w:t>two</w:t>
            </w:r>
            <w:r w:rsidRPr="00B227E9">
              <w:rPr>
                <w:rFonts w:eastAsia="Dotum" w:cs="Arial"/>
                <w:spacing w:val="-8"/>
                <w:w w:val="115"/>
                <w:sz w:val="16"/>
                <w:szCs w:val="16"/>
                <w:lang w:val="en-US"/>
              </w:rPr>
              <w:t xml:space="preserve"> </w:t>
            </w:r>
            <w:r w:rsidRPr="00B227E9">
              <w:rPr>
                <w:rFonts w:eastAsia="Dotum" w:cs="Arial"/>
                <w:w w:val="115"/>
                <w:sz w:val="16"/>
                <w:szCs w:val="16"/>
                <w:lang w:val="en-US"/>
              </w:rPr>
              <w:t>different</w:t>
            </w:r>
            <w:r w:rsidRPr="00B227E9">
              <w:rPr>
                <w:rFonts w:eastAsia="Dotum" w:cs="Arial"/>
                <w:spacing w:val="-8"/>
                <w:w w:val="115"/>
                <w:sz w:val="16"/>
                <w:szCs w:val="16"/>
                <w:lang w:val="en-US"/>
              </w:rPr>
              <w:t xml:space="preserve"> </w:t>
            </w:r>
            <w:r w:rsidRPr="00B227E9">
              <w:rPr>
                <w:rFonts w:eastAsia="Dotum" w:cs="Arial"/>
                <w:w w:val="115"/>
                <w:sz w:val="16"/>
                <w:szCs w:val="16"/>
                <w:lang w:val="en-US"/>
              </w:rPr>
              <w:t>scenarios;</w:t>
            </w:r>
          </w:p>
        </w:tc>
        <w:tc>
          <w:tcPr>
            <w:tcW w:w="2532" w:type="dxa"/>
            <w:tcBorders>
              <w:top w:val="single" w:sz="4" w:space="0" w:color="auto"/>
              <w:left w:val="single" w:sz="4" w:space="0" w:color="auto"/>
              <w:bottom w:val="single" w:sz="4" w:space="0" w:color="auto"/>
              <w:right w:val="single" w:sz="4" w:space="0" w:color="auto"/>
            </w:tcBorders>
          </w:tcPr>
          <w:p w:rsidR="002746D3" w:rsidRPr="003B39AF" w:rsidRDefault="00B857A5" w:rsidP="005D72EF">
            <w:pPr>
              <w:widowControl w:val="0"/>
              <w:tabs>
                <w:tab w:val="clear" w:pos="851"/>
                <w:tab w:val="left" w:pos="341"/>
              </w:tabs>
              <w:spacing w:after="0" w:line="249" w:lineRule="auto"/>
              <w:ind w:left="0"/>
              <w:jc w:val="left"/>
              <w:rPr>
                <w:rFonts w:cs="Arial"/>
                <w:w w:val="115"/>
                <w:sz w:val="16"/>
                <w:szCs w:val="16"/>
                <w:highlight w:val="yellow"/>
                <w:lang w:val="en-US"/>
              </w:rPr>
            </w:pPr>
            <w:r w:rsidRPr="00B857A5">
              <w:rPr>
                <w:rFonts w:cs="Arial"/>
                <w:w w:val="115"/>
                <w:sz w:val="16"/>
                <w:szCs w:val="16"/>
                <w:lang w:val="en-US"/>
              </w:rPr>
              <w:t xml:space="preserve">Artesian Interest cover falls to </w:t>
            </w:r>
            <w:r>
              <w:rPr>
                <w:rFonts w:cs="Arial"/>
                <w:w w:val="115"/>
                <w:sz w:val="16"/>
                <w:szCs w:val="16"/>
                <w:lang w:val="en-US"/>
              </w:rPr>
              <w:t>≤1.4 in year of impact.  Moody’s falls to an average of 1.26 – risk of 1 notch downgrade.</w:t>
            </w:r>
          </w:p>
        </w:tc>
        <w:tc>
          <w:tcPr>
            <w:tcW w:w="3544" w:type="dxa"/>
            <w:tcBorders>
              <w:top w:val="single" w:sz="4" w:space="0" w:color="auto"/>
              <w:left w:val="single" w:sz="4" w:space="0" w:color="auto"/>
              <w:bottom w:val="single" w:sz="4" w:space="0" w:color="auto"/>
              <w:right w:val="single" w:sz="4" w:space="0" w:color="auto"/>
            </w:tcBorders>
          </w:tcPr>
          <w:p w:rsidR="002746D3" w:rsidRPr="0035083C" w:rsidRDefault="00B857A5" w:rsidP="005D72EF">
            <w:pPr>
              <w:widowControl w:val="0"/>
              <w:tabs>
                <w:tab w:val="clear" w:pos="851"/>
                <w:tab w:val="left" w:pos="341"/>
              </w:tabs>
              <w:spacing w:after="0" w:line="249" w:lineRule="auto"/>
              <w:ind w:left="0"/>
              <w:jc w:val="left"/>
              <w:rPr>
                <w:rFonts w:cs="Arial"/>
                <w:w w:val="115"/>
                <w:sz w:val="16"/>
                <w:szCs w:val="16"/>
                <w:lang w:val="en-US"/>
              </w:rPr>
            </w:pPr>
            <w:r>
              <w:rPr>
                <w:rFonts w:cs="Arial"/>
                <w:w w:val="115"/>
                <w:sz w:val="16"/>
                <w:szCs w:val="16"/>
                <w:lang w:val="en-US"/>
              </w:rPr>
              <w:t xml:space="preserve">Mitigated by borrowing in year of impact and temporary restriction on </w:t>
            </w:r>
            <w:r w:rsidR="00964B14">
              <w:rPr>
                <w:rFonts w:cs="Arial"/>
                <w:w w:val="115"/>
                <w:sz w:val="16"/>
                <w:szCs w:val="16"/>
                <w:lang w:val="en-US"/>
              </w:rPr>
              <w:t>Opex</w:t>
            </w:r>
            <w:r>
              <w:rPr>
                <w:rFonts w:cs="Arial"/>
                <w:w w:val="115"/>
                <w:sz w:val="16"/>
                <w:szCs w:val="16"/>
                <w:lang w:val="en-US"/>
              </w:rPr>
              <w:t xml:space="preserve"> to manage ICR.</w:t>
            </w: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B857A5" w:rsidP="005D72EF">
            <w:pPr>
              <w:widowControl w:val="0"/>
              <w:tabs>
                <w:tab w:val="clear" w:pos="851"/>
                <w:tab w:val="left" w:pos="341"/>
              </w:tabs>
              <w:spacing w:after="0" w:line="249" w:lineRule="auto"/>
              <w:ind w:left="0"/>
              <w:jc w:val="center"/>
              <w:rPr>
                <w:rFonts w:cs="Arial"/>
                <w:w w:val="115"/>
                <w:sz w:val="16"/>
                <w:szCs w:val="16"/>
                <w:lang w:val="en-US"/>
              </w:rPr>
            </w:pPr>
            <w:r>
              <w:rPr>
                <w:rFonts w:cs="Arial"/>
                <w:color w:val="000000"/>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widowControl w:val="0"/>
              <w:tabs>
                <w:tab w:val="clear" w:pos="851"/>
                <w:tab w:val="left" w:pos="341"/>
              </w:tabs>
              <w:spacing w:after="0" w:line="249" w:lineRule="auto"/>
              <w:ind w:left="0"/>
              <w:jc w:val="center"/>
              <w:rPr>
                <w:rFonts w:cs="Arial"/>
                <w:w w:val="115"/>
                <w:sz w:val="16"/>
                <w:szCs w:val="16"/>
                <w:lang w:val="en-US"/>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B857A5" w:rsidP="005D72EF">
            <w:pPr>
              <w:widowControl w:val="0"/>
              <w:tabs>
                <w:tab w:val="clear" w:pos="851"/>
                <w:tab w:val="left" w:pos="341"/>
              </w:tabs>
              <w:spacing w:after="0" w:line="249" w:lineRule="auto"/>
              <w:ind w:left="0"/>
              <w:jc w:val="center"/>
              <w:rPr>
                <w:rFonts w:cs="Arial"/>
                <w:w w:val="115"/>
                <w:sz w:val="16"/>
                <w:szCs w:val="16"/>
                <w:lang w:val="en-US"/>
              </w:rPr>
            </w:pPr>
            <w:r>
              <w:rPr>
                <w:rFonts w:cs="Arial"/>
                <w:color w:val="000000"/>
                <w:sz w:val="16"/>
                <w:szCs w:val="16"/>
              </w:rPr>
              <w:sym w:font="Webdings" w:char="F061"/>
            </w: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widowControl w:val="0"/>
              <w:tabs>
                <w:tab w:val="clear" w:pos="851"/>
                <w:tab w:val="left" w:pos="341"/>
              </w:tabs>
              <w:spacing w:after="0" w:line="249" w:lineRule="auto"/>
              <w:ind w:left="0"/>
              <w:jc w:val="center"/>
              <w:rPr>
                <w:rFonts w:cs="Arial"/>
                <w:w w:val="115"/>
                <w:sz w:val="16"/>
                <w:szCs w:val="16"/>
                <w:lang w:val="en-US"/>
              </w:rPr>
            </w:pPr>
          </w:p>
        </w:tc>
        <w:tc>
          <w:tcPr>
            <w:tcW w:w="283"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widowControl w:val="0"/>
              <w:tabs>
                <w:tab w:val="clear" w:pos="851"/>
                <w:tab w:val="left" w:pos="341"/>
              </w:tabs>
              <w:spacing w:after="0" w:line="249" w:lineRule="auto"/>
              <w:ind w:left="0"/>
              <w:jc w:val="center"/>
              <w:rPr>
                <w:rFonts w:cs="Arial"/>
                <w:w w:val="115"/>
                <w:sz w:val="16"/>
                <w:szCs w:val="16"/>
                <w:lang w:val="en-US"/>
              </w:rPr>
            </w:pPr>
          </w:p>
        </w:tc>
        <w:tc>
          <w:tcPr>
            <w:tcW w:w="284" w:type="dxa"/>
            <w:tcBorders>
              <w:top w:val="single" w:sz="4" w:space="0" w:color="auto"/>
              <w:left w:val="single" w:sz="4" w:space="0" w:color="auto"/>
              <w:bottom w:val="single" w:sz="4" w:space="0" w:color="auto"/>
              <w:right w:val="single" w:sz="4" w:space="0" w:color="auto"/>
            </w:tcBorders>
          </w:tcPr>
          <w:p w:rsidR="002746D3" w:rsidRPr="0035083C" w:rsidRDefault="002746D3" w:rsidP="005D72EF">
            <w:pPr>
              <w:widowControl w:val="0"/>
              <w:tabs>
                <w:tab w:val="clear" w:pos="851"/>
                <w:tab w:val="left" w:pos="341"/>
              </w:tabs>
              <w:spacing w:after="0" w:line="249" w:lineRule="auto"/>
              <w:ind w:left="0"/>
              <w:jc w:val="center"/>
              <w:rPr>
                <w:rFonts w:cs="Arial"/>
                <w:w w:val="115"/>
                <w:sz w:val="16"/>
                <w:szCs w:val="16"/>
                <w:lang w:val="en-US"/>
              </w:rPr>
            </w:pPr>
          </w:p>
        </w:tc>
      </w:tr>
    </w:tbl>
    <w:p w:rsidR="00A4394A" w:rsidRDefault="00A4394A">
      <w:pPr>
        <w:tabs>
          <w:tab w:val="clear" w:pos="851"/>
        </w:tabs>
        <w:spacing w:after="0"/>
        <w:ind w:left="0"/>
        <w:jc w:val="left"/>
        <w:rPr>
          <w:rFonts w:cs="Arial"/>
        </w:rPr>
      </w:pPr>
      <w:r>
        <w:rPr>
          <w:rFonts w:cs="Arial"/>
        </w:rPr>
        <w:br w:type="page"/>
      </w:r>
    </w:p>
    <w:p w:rsidR="00C60D6C" w:rsidRDefault="00C60D6C" w:rsidP="00C60D6C">
      <w:pPr>
        <w:rPr>
          <w:rFonts w:cs="Arial"/>
        </w:rPr>
      </w:pPr>
      <w:r>
        <w:rPr>
          <w:rFonts w:cs="Arial"/>
        </w:rPr>
        <w:t xml:space="preserve">Having completed and reviewed our assessment of financial resilience, including the relevance of Ofwat scenarios to the business and the reasonableness of mitigations included, the Board has concluded that the </w:t>
      </w:r>
      <w:r w:rsidR="00850C3A">
        <w:rPr>
          <w:rFonts w:cs="Arial"/>
        </w:rPr>
        <w:t>C</w:t>
      </w:r>
      <w:r>
        <w:rPr>
          <w:rFonts w:cs="Arial"/>
        </w:rPr>
        <w:t>ompany remains financially resilient.</w:t>
      </w:r>
    </w:p>
    <w:p w:rsidR="00C60D6C" w:rsidRDefault="00C60D6C" w:rsidP="00C60D6C">
      <w:pPr>
        <w:pStyle w:val="Heading2"/>
      </w:pPr>
      <w:bookmarkStart w:id="257" w:name="_Toc523651334"/>
      <w:r>
        <w:t>Assessment of financeability</w:t>
      </w:r>
      <w:bookmarkEnd w:id="257"/>
    </w:p>
    <w:p w:rsidR="00C60D6C" w:rsidRDefault="00C60D6C" w:rsidP="00C60D6C">
      <w:r>
        <w:t>In accordance with the Business plan guidance we have assessed financeability on both a notional and an actual capital structure.  Firstly we have set out below the financial metrics which we used as part of this assessment together with the targeted credit rating and related targets.  Secondly we have considered the financeability of the Company under both the notional and the actual capital structures.  In each case we have explained the steps taken and the remedies used to address financeability issues.  Finally we have provided further evidence in relation to PAYG/run off rates, bill levels and profiles.</w:t>
      </w:r>
    </w:p>
    <w:p w:rsidR="003477F1" w:rsidRDefault="003477F1" w:rsidP="00C60D6C">
      <w:r>
        <w:rPr>
          <w:noProof/>
        </w:rPr>
        <w:drawing>
          <wp:inline distT="0" distB="0" distL="0" distR="0" wp14:anchorId="0EADFF04">
            <wp:extent cx="5627370" cy="1359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7370" cy="1359535"/>
                    </a:xfrm>
                    <a:prstGeom prst="rect">
                      <a:avLst/>
                    </a:prstGeom>
                    <a:noFill/>
                  </pic:spPr>
                </pic:pic>
              </a:graphicData>
            </a:graphic>
          </wp:inline>
        </w:drawing>
      </w:r>
    </w:p>
    <w:p w:rsidR="00C60D6C" w:rsidRDefault="00C60D6C" w:rsidP="00C60D6C">
      <w:pPr>
        <w:pStyle w:val="Heading3"/>
      </w:pPr>
      <w:bookmarkStart w:id="258" w:name="_Toc523651335"/>
      <w:r>
        <w:t>Financial metrics</w:t>
      </w:r>
      <w:bookmarkEnd w:id="258"/>
    </w:p>
    <w:p w:rsidR="004621D9" w:rsidRDefault="004621D9" w:rsidP="004621D9">
      <w:r w:rsidRPr="00EB7097">
        <w:t xml:space="preserve">In assessing financeability, we have used a suite of financial metrics together with key measures such as cash flow and profit. We have indicated below the targeted credit ratings for the notional and actual capital structure together with the related financial metrics we have focussed on </w:t>
      </w:r>
      <w:r>
        <w:t>(</w:t>
      </w:r>
      <w:r w:rsidRPr="00EB7097">
        <w:t>and their target levels</w:t>
      </w:r>
      <w:r>
        <w:t>)</w:t>
      </w:r>
      <w:r w:rsidRPr="00EB7097">
        <w:t xml:space="preserve">.  </w:t>
      </w:r>
      <w:r>
        <w:t>We have explained in Sections 11.3.2 and 11.3.3, covering financeability in the notional and actual structures respectively, our rational for the targeted credit ratings.</w:t>
      </w:r>
    </w:p>
    <w:p w:rsidR="004621D9" w:rsidRPr="00EB7097" w:rsidRDefault="004621D9" w:rsidP="004621D9">
      <w:r w:rsidRPr="00EB7097">
        <w:t>Our approach is based primarily upon Moody’s ratings approach and we note that the Moody’s adjusted Interest Cover Ratio (ICR) is typically the ratio with the least headroom for our business.  We have also included the FFO/Net Debt ratio under the S&amp;P approach as this can have lower headroom for the business.</w:t>
      </w:r>
      <w:r>
        <w:t xml:space="preserve">  To assist us in objectively assessing the financial position we have set a range of targets for the financial metrics.  These levels have largely been set with reference to our existing financial covenants and to ratings guidance.</w:t>
      </w:r>
    </w:p>
    <w:p w:rsidR="001231C6" w:rsidRDefault="004621D9" w:rsidP="004621D9">
      <w:r>
        <w:t xml:space="preserve">The table below summarises the final results of the key financial metrics we have focused upon, both in the notional and actual structures (after financeability adjustments).  It also sets out the targeted levels.  </w:t>
      </w:r>
    </w:p>
    <w:p w:rsidR="001231C6" w:rsidRDefault="001231C6">
      <w:pPr>
        <w:tabs>
          <w:tab w:val="clear" w:pos="851"/>
        </w:tabs>
        <w:spacing w:after="0"/>
        <w:ind w:left="0"/>
        <w:jc w:val="left"/>
      </w:pPr>
      <w:r>
        <w:br w:type="page"/>
      </w:r>
    </w:p>
    <w:tbl>
      <w:tblPr>
        <w:tblStyle w:val="TableGrid53"/>
        <w:tblW w:w="7366" w:type="dxa"/>
        <w:tblInd w:w="1130" w:type="dxa"/>
        <w:tblLook w:val="04A0" w:firstRow="1" w:lastRow="0" w:firstColumn="1" w:lastColumn="0" w:noHBand="0" w:noVBand="1"/>
      </w:tblPr>
      <w:tblGrid>
        <w:gridCol w:w="2830"/>
        <w:gridCol w:w="1134"/>
        <w:gridCol w:w="1134"/>
        <w:gridCol w:w="1134"/>
        <w:gridCol w:w="1134"/>
      </w:tblGrid>
      <w:tr w:rsidR="00C60D6C" w:rsidRPr="0035083C" w:rsidTr="00C60D6C">
        <w:tc>
          <w:tcPr>
            <w:tcW w:w="2830"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35083C" w:rsidRDefault="00C60D6C" w:rsidP="00C60D6C">
            <w:pPr>
              <w:tabs>
                <w:tab w:val="clear" w:pos="851"/>
              </w:tabs>
              <w:spacing w:after="0"/>
              <w:ind w:left="0"/>
              <w:jc w:val="left"/>
              <w:rPr>
                <w:rFonts w:cs="Arial"/>
                <w:color w:val="FFFFFF" w:themeColor="background1"/>
                <w:sz w:val="16"/>
                <w:szCs w:val="16"/>
              </w:rPr>
            </w:pPr>
            <w:r w:rsidRPr="0035083C">
              <w:rPr>
                <w:rFonts w:cs="Arial"/>
                <w:color w:val="FFFFFF" w:themeColor="background1"/>
                <w:sz w:val="16"/>
                <w:szCs w:val="16"/>
              </w:rPr>
              <w:t>Average metric</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35083C" w:rsidRDefault="00C60D6C" w:rsidP="00C60D6C">
            <w:pPr>
              <w:tabs>
                <w:tab w:val="clear" w:pos="851"/>
              </w:tabs>
              <w:spacing w:after="0"/>
              <w:ind w:left="0"/>
              <w:jc w:val="center"/>
              <w:rPr>
                <w:rFonts w:cs="Arial"/>
                <w:color w:val="FFFFFF" w:themeColor="background1"/>
                <w:sz w:val="16"/>
                <w:szCs w:val="16"/>
              </w:rPr>
            </w:pPr>
            <w:r w:rsidRPr="0035083C">
              <w:rPr>
                <w:rFonts w:cs="Arial"/>
                <w:color w:val="FFFFFF" w:themeColor="background1"/>
                <w:sz w:val="16"/>
                <w:szCs w:val="16"/>
              </w:rPr>
              <w:t>Notional</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35083C" w:rsidRDefault="00C60D6C" w:rsidP="00C60D6C">
            <w:pPr>
              <w:tabs>
                <w:tab w:val="clear" w:pos="851"/>
              </w:tabs>
              <w:spacing w:after="0"/>
              <w:ind w:left="0"/>
              <w:jc w:val="center"/>
              <w:rPr>
                <w:rFonts w:cs="Arial"/>
                <w:color w:val="FFFFFF" w:themeColor="background1"/>
                <w:sz w:val="16"/>
                <w:szCs w:val="16"/>
              </w:rPr>
            </w:pPr>
            <w:r w:rsidRPr="0035083C">
              <w:rPr>
                <w:rFonts w:cs="Arial"/>
                <w:color w:val="FFFFFF" w:themeColor="background1"/>
                <w:sz w:val="16"/>
                <w:szCs w:val="16"/>
              </w:rPr>
              <w:t>Target</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35083C" w:rsidRDefault="00C60D6C" w:rsidP="00C60D6C">
            <w:pPr>
              <w:tabs>
                <w:tab w:val="clear" w:pos="851"/>
              </w:tabs>
              <w:spacing w:after="0"/>
              <w:ind w:left="0"/>
              <w:jc w:val="center"/>
              <w:rPr>
                <w:rFonts w:cs="Arial"/>
                <w:color w:val="FFFFFF" w:themeColor="background1"/>
                <w:sz w:val="16"/>
                <w:szCs w:val="16"/>
              </w:rPr>
            </w:pPr>
            <w:r w:rsidRPr="0035083C">
              <w:rPr>
                <w:rFonts w:cs="Arial"/>
                <w:color w:val="FFFFFF" w:themeColor="background1"/>
                <w:sz w:val="16"/>
                <w:szCs w:val="16"/>
              </w:rPr>
              <w:t>Actual</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35083C" w:rsidRDefault="00C60D6C" w:rsidP="00C60D6C">
            <w:pPr>
              <w:tabs>
                <w:tab w:val="clear" w:pos="851"/>
              </w:tabs>
              <w:spacing w:after="0"/>
              <w:ind w:left="0"/>
              <w:jc w:val="center"/>
              <w:rPr>
                <w:rFonts w:cs="Arial"/>
                <w:color w:val="FFFFFF" w:themeColor="background1"/>
                <w:sz w:val="16"/>
                <w:szCs w:val="16"/>
              </w:rPr>
            </w:pPr>
            <w:r w:rsidRPr="0035083C">
              <w:rPr>
                <w:rFonts w:cs="Arial"/>
                <w:color w:val="FFFFFF" w:themeColor="background1"/>
                <w:sz w:val="16"/>
                <w:szCs w:val="16"/>
              </w:rPr>
              <w:t>Target</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Targeted credit rating</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A3</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A3</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Baa2</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Baa2</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35083C" w:rsidRDefault="00C60D6C" w:rsidP="00C60D6C">
            <w:pPr>
              <w:tabs>
                <w:tab w:val="clear" w:pos="851"/>
              </w:tabs>
              <w:spacing w:after="0"/>
              <w:ind w:left="0"/>
              <w:jc w:val="left"/>
              <w:rPr>
                <w:rFonts w:cs="Arial"/>
                <w:color w:val="FFFFFF" w:themeColor="background1"/>
                <w:sz w:val="16"/>
                <w:szCs w:val="16"/>
              </w:rPr>
            </w:pPr>
            <w:r w:rsidRPr="0035083C">
              <w:rPr>
                <w:rFonts w:cs="Arial"/>
                <w:color w:val="FFFFFF" w:themeColor="background1"/>
                <w:sz w:val="16"/>
                <w:szCs w:val="16"/>
              </w:rPr>
              <w:t>Ofwat Metrics</w:t>
            </w: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C60D6C" w:rsidRPr="0035083C" w:rsidRDefault="00C60D6C" w:rsidP="00C60D6C">
            <w:pPr>
              <w:tabs>
                <w:tab w:val="clear" w:pos="851"/>
              </w:tabs>
              <w:spacing w:after="0"/>
              <w:ind w:left="0"/>
              <w:jc w:val="right"/>
              <w:rPr>
                <w:rFonts w:cs="Arial"/>
                <w:color w:val="FFFFFF" w:themeColor="background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C60D6C" w:rsidRPr="0035083C" w:rsidRDefault="00C60D6C" w:rsidP="00C60D6C">
            <w:pPr>
              <w:tabs>
                <w:tab w:val="clear" w:pos="851"/>
              </w:tabs>
              <w:spacing w:after="0"/>
              <w:ind w:left="0"/>
              <w:jc w:val="right"/>
              <w:rPr>
                <w:rFonts w:cs="Arial"/>
                <w:color w:val="FFFFFF" w:themeColor="background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C60D6C" w:rsidRPr="0035083C" w:rsidRDefault="00C60D6C" w:rsidP="00C60D6C">
            <w:pPr>
              <w:tabs>
                <w:tab w:val="clear" w:pos="851"/>
              </w:tabs>
              <w:spacing w:after="0"/>
              <w:ind w:left="0"/>
              <w:jc w:val="right"/>
              <w:rPr>
                <w:rFonts w:cs="Arial"/>
                <w:color w:val="FFFFFF" w:themeColor="background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C60D6C" w:rsidRPr="0035083C" w:rsidRDefault="00C60D6C" w:rsidP="00C60D6C">
            <w:pPr>
              <w:tabs>
                <w:tab w:val="clear" w:pos="851"/>
              </w:tabs>
              <w:spacing w:after="0"/>
              <w:ind w:left="0"/>
              <w:jc w:val="right"/>
              <w:rPr>
                <w:rFonts w:cs="Arial"/>
                <w:color w:val="FFFFFF" w:themeColor="background1"/>
                <w:sz w:val="16"/>
                <w:szCs w:val="16"/>
              </w:rPr>
            </w:pP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Gearing</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4621D9">
            <w:pPr>
              <w:tabs>
                <w:tab w:val="clear" w:pos="851"/>
              </w:tabs>
              <w:spacing w:after="0"/>
              <w:ind w:left="0"/>
              <w:jc w:val="right"/>
              <w:rPr>
                <w:rFonts w:cs="Arial"/>
                <w:sz w:val="16"/>
                <w:szCs w:val="16"/>
              </w:rPr>
            </w:pPr>
            <w:r w:rsidRPr="0035083C">
              <w:rPr>
                <w:rFonts w:cs="Arial"/>
                <w:sz w:val="16"/>
                <w:szCs w:val="16"/>
              </w:rPr>
              <w:t>60.</w:t>
            </w:r>
            <w:r w:rsidR="004621D9">
              <w:rPr>
                <w:rFonts w:cs="Arial"/>
                <w:sz w:val="16"/>
                <w:szCs w:val="16"/>
              </w:rPr>
              <w:t>41%</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A5052C" w:rsidP="00C60D6C">
            <w:pPr>
              <w:tabs>
                <w:tab w:val="clear" w:pos="851"/>
              </w:tabs>
              <w:spacing w:after="0"/>
              <w:ind w:left="0"/>
              <w:jc w:val="right"/>
              <w:rPr>
                <w:rFonts w:cs="Arial"/>
                <w:sz w:val="16"/>
                <w:szCs w:val="16"/>
              </w:rPr>
            </w:pPr>
            <w:r w:rsidRPr="0035083C">
              <w:rPr>
                <w:rFonts w:cs="Arial"/>
                <w:sz w:val="16"/>
                <w:szCs w:val="16"/>
              </w:rPr>
              <w:t>≤65%</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4621D9">
            <w:pPr>
              <w:tabs>
                <w:tab w:val="clear" w:pos="851"/>
              </w:tabs>
              <w:spacing w:after="0"/>
              <w:ind w:left="0"/>
              <w:jc w:val="right"/>
              <w:rPr>
                <w:rFonts w:cs="Arial"/>
                <w:sz w:val="16"/>
                <w:szCs w:val="16"/>
              </w:rPr>
            </w:pPr>
            <w:r w:rsidRPr="0035083C">
              <w:rPr>
                <w:rFonts w:cs="Arial"/>
                <w:sz w:val="16"/>
                <w:szCs w:val="16"/>
              </w:rPr>
              <w:t>56.</w:t>
            </w:r>
            <w:r w:rsidR="004621D9">
              <w:rPr>
                <w:rFonts w:cs="Arial"/>
                <w:sz w:val="16"/>
                <w:szCs w:val="16"/>
              </w:rPr>
              <w:t>6</w:t>
            </w:r>
            <w:r w:rsidR="00A5052C" w:rsidRPr="0035083C">
              <w:rPr>
                <w:rFonts w:cs="Arial"/>
                <w:sz w:val="16"/>
                <w:szCs w:val="16"/>
              </w:rPr>
              <w:t>5</w:t>
            </w:r>
            <w:r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A5052C" w:rsidP="00C60D6C">
            <w:pPr>
              <w:tabs>
                <w:tab w:val="clear" w:pos="851"/>
              </w:tabs>
              <w:spacing w:after="0"/>
              <w:ind w:left="0"/>
              <w:jc w:val="right"/>
              <w:rPr>
                <w:rFonts w:cs="Arial"/>
                <w:sz w:val="16"/>
                <w:szCs w:val="16"/>
              </w:rPr>
            </w:pPr>
            <w:r w:rsidRPr="0035083C">
              <w:rPr>
                <w:rFonts w:cs="Arial"/>
                <w:sz w:val="16"/>
                <w:szCs w:val="16"/>
              </w:rPr>
              <w:t>≤80%</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A5052C" w:rsidP="00C60D6C">
            <w:pPr>
              <w:tabs>
                <w:tab w:val="clear" w:pos="851"/>
              </w:tabs>
              <w:spacing w:after="0"/>
              <w:ind w:left="0"/>
              <w:jc w:val="left"/>
              <w:rPr>
                <w:rFonts w:cs="Arial"/>
                <w:sz w:val="16"/>
                <w:szCs w:val="16"/>
              </w:rPr>
            </w:pPr>
            <w:r w:rsidRPr="0035083C">
              <w:rPr>
                <w:rFonts w:cs="Arial"/>
                <w:sz w:val="16"/>
                <w:szCs w:val="16"/>
              </w:rPr>
              <w:t xml:space="preserve">Cash </w:t>
            </w:r>
            <w:r w:rsidR="00C60D6C" w:rsidRPr="0035083C">
              <w:rPr>
                <w:rFonts w:cs="Arial"/>
                <w:sz w:val="16"/>
                <w:szCs w:val="16"/>
              </w:rPr>
              <w:t>Interest Cover</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3477F1" w:rsidP="004621D9">
            <w:pPr>
              <w:tabs>
                <w:tab w:val="clear" w:pos="851"/>
              </w:tabs>
              <w:spacing w:after="0"/>
              <w:ind w:left="0"/>
              <w:jc w:val="right"/>
              <w:rPr>
                <w:rFonts w:cs="Arial"/>
                <w:sz w:val="16"/>
                <w:szCs w:val="16"/>
              </w:rPr>
            </w:pPr>
            <w:r w:rsidRPr="0035083C">
              <w:rPr>
                <w:rFonts w:cs="Arial"/>
                <w:sz w:val="16"/>
                <w:szCs w:val="16"/>
              </w:rPr>
              <w:t>3.4</w:t>
            </w:r>
            <w:r w:rsidR="004621D9">
              <w:rPr>
                <w:rFonts w:cs="Arial"/>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B857A5" w:rsidP="00C60D6C">
            <w:pPr>
              <w:tabs>
                <w:tab w:val="clear" w:pos="851"/>
              </w:tabs>
              <w:spacing w:after="0"/>
              <w:ind w:left="0"/>
              <w:jc w:val="right"/>
              <w:rPr>
                <w:rFonts w:cs="Arial"/>
                <w:sz w:val="16"/>
                <w:szCs w:val="16"/>
              </w:rPr>
            </w:pPr>
            <w:r>
              <w:rPr>
                <w:rFonts w:cs="Arial"/>
                <w:sz w:val="16"/>
                <w:szCs w:val="16"/>
              </w:rPr>
              <w:t>2.5-4.5</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4621D9">
            <w:pPr>
              <w:tabs>
                <w:tab w:val="clear" w:pos="851"/>
              </w:tabs>
              <w:spacing w:after="0"/>
              <w:ind w:left="0"/>
              <w:jc w:val="right"/>
              <w:rPr>
                <w:rFonts w:cs="Arial"/>
                <w:sz w:val="16"/>
                <w:szCs w:val="16"/>
              </w:rPr>
            </w:pPr>
            <w:r w:rsidRPr="0035083C">
              <w:rPr>
                <w:rFonts w:cs="Arial"/>
                <w:sz w:val="16"/>
                <w:szCs w:val="16"/>
              </w:rPr>
              <w:t>3.</w:t>
            </w:r>
            <w:r w:rsidR="00A5052C" w:rsidRPr="0035083C">
              <w:rPr>
                <w:rFonts w:cs="Arial"/>
                <w:sz w:val="16"/>
                <w:szCs w:val="16"/>
              </w:rPr>
              <w:t>3</w:t>
            </w:r>
            <w:r w:rsidR="004621D9">
              <w:rPr>
                <w:rFonts w:cs="Arial"/>
                <w:sz w:val="16"/>
                <w:szCs w:val="16"/>
              </w:rPr>
              <w:t>2</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B857A5" w:rsidP="00C60D6C">
            <w:pPr>
              <w:tabs>
                <w:tab w:val="clear" w:pos="851"/>
              </w:tabs>
              <w:spacing w:after="0"/>
              <w:ind w:left="0"/>
              <w:jc w:val="right"/>
              <w:rPr>
                <w:rFonts w:cs="Arial"/>
                <w:sz w:val="16"/>
                <w:szCs w:val="16"/>
              </w:rPr>
            </w:pPr>
            <w:r>
              <w:rPr>
                <w:rFonts w:cs="Arial"/>
                <w:sz w:val="16"/>
                <w:szCs w:val="16"/>
              </w:rPr>
              <w:t>2.5-4.5</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Adjusted cash interest cover</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3477F1" w:rsidP="00C60D6C">
            <w:pPr>
              <w:tabs>
                <w:tab w:val="clear" w:pos="851"/>
              </w:tabs>
              <w:spacing w:after="0"/>
              <w:ind w:left="0"/>
              <w:jc w:val="right"/>
              <w:rPr>
                <w:rFonts w:cs="Arial"/>
                <w:sz w:val="16"/>
                <w:szCs w:val="16"/>
              </w:rPr>
            </w:pPr>
            <w:r w:rsidRPr="0035083C">
              <w:rPr>
                <w:rFonts w:cs="Arial"/>
                <w:sz w:val="16"/>
                <w:szCs w:val="16"/>
              </w:rPr>
              <w:t>1.58</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A5052C" w:rsidP="00C60D6C">
            <w:pPr>
              <w:tabs>
                <w:tab w:val="clear" w:pos="851"/>
              </w:tabs>
              <w:spacing w:after="0"/>
              <w:ind w:left="0"/>
              <w:jc w:val="right"/>
              <w:rPr>
                <w:rFonts w:cs="Arial"/>
                <w:sz w:val="16"/>
                <w:szCs w:val="16"/>
              </w:rPr>
            </w:pPr>
            <w:r w:rsidRPr="0035083C">
              <w:rPr>
                <w:rFonts w:cs="Arial"/>
                <w:sz w:val="16"/>
                <w:szCs w:val="16"/>
              </w:rPr>
              <w:t>≥1.4</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A5052C">
            <w:pPr>
              <w:tabs>
                <w:tab w:val="clear" w:pos="851"/>
              </w:tabs>
              <w:spacing w:after="0"/>
              <w:ind w:left="0"/>
              <w:jc w:val="right"/>
              <w:rPr>
                <w:rFonts w:cs="Arial"/>
                <w:sz w:val="16"/>
                <w:szCs w:val="16"/>
              </w:rPr>
            </w:pPr>
            <w:r w:rsidRPr="0035083C">
              <w:rPr>
                <w:rFonts w:cs="Arial"/>
                <w:sz w:val="16"/>
                <w:szCs w:val="16"/>
              </w:rPr>
              <w:t>1.</w:t>
            </w:r>
            <w:r w:rsidR="00A5052C" w:rsidRPr="0035083C">
              <w:rPr>
                <w:rFonts w:cs="Arial"/>
                <w:sz w:val="16"/>
                <w:szCs w:val="16"/>
              </w:rPr>
              <w:t>48</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A5052C" w:rsidP="00C60D6C">
            <w:pPr>
              <w:tabs>
                <w:tab w:val="clear" w:pos="851"/>
              </w:tabs>
              <w:spacing w:after="0"/>
              <w:ind w:left="0"/>
              <w:jc w:val="right"/>
              <w:rPr>
                <w:rFonts w:cs="Arial"/>
                <w:sz w:val="16"/>
                <w:szCs w:val="16"/>
              </w:rPr>
            </w:pPr>
            <w:r w:rsidRPr="0035083C">
              <w:rPr>
                <w:rFonts w:cs="Arial"/>
                <w:sz w:val="16"/>
                <w:szCs w:val="16"/>
              </w:rPr>
              <w:t>≥1.3</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FFO/net Debt</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A5052C" w:rsidP="004621D9">
            <w:pPr>
              <w:tabs>
                <w:tab w:val="clear" w:pos="851"/>
              </w:tabs>
              <w:spacing w:after="0"/>
              <w:ind w:left="0"/>
              <w:jc w:val="right"/>
              <w:rPr>
                <w:rFonts w:cs="Arial"/>
                <w:sz w:val="16"/>
                <w:szCs w:val="16"/>
              </w:rPr>
            </w:pPr>
            <w:r w:rsidRPr="0035083C">
              <w:rPr>
                <w:rFonts w:cs="Arial"/>
                <w:sz w:val="16"/>
                <w:szCs w:val="16"/>
              </w:rPr>
              <w:t>8.</w:t>
            </w:r>
            <w:r w:rsidR="004621D9">
              <w:rPr>
                <w:rFonts w:cs="Arial"/>
                <w:sz w:val="16"/>
                <w:szCs w:val="16"/>
              </w:rPr>
              <w:t>68</w:t>
            </w:r>
            <w:r w:rsidR="00C60D6C"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A5052C" w:rsidP="00C60D6C">
            <w:pPr>
              <w:tabs>
                <w:tab w:val="clear" w:pos="851"/>
              </w:tabs>
              <w:spacing w:after="0"/>
              <w:ind w:left="0"/>
              <w:jc w:val="right"/>
              <w:rPr>
                <w:rFonts w:cs="Arial"/>
                <w:sz w:val="16"/>
                <w:szCs w:val="16"/>
              </w:rPr>
            </w:pPr>
            <w:r w:rsidRPr="0035083C">
              <w:rPr>
                <w:rFonts w:cs="Arial"/>
                <w:sz w:val="16"/>
                <w:szCs w:val="16"/>
              </w:rPr>
              <w:t>7-10%</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4621D9">
            <w:pPr>
              <w:tabs>
                <w:tab w:val="clear" w:pos="851"/>
              </w:tabs>
              <w:spacing w:after="0"/>
              <w:ind w:left="0"/>
              <w:jc w:val="right"/>
              <w:rPr>
                <w:rFonts w:cs="Arial"/>
                <w:sz w:val="16"/>
                <w:szCs w:val="16"/>
              </w:rPr>
            </w:pPr>
            <w:r w:rsidRPr="0035083C">
              <w:rPr>
                <w:rFonts w:cs="Arial"/>
                <w:sz w:val="16"/>
                <w:szCs w:val="16"/>
              </w:rPr>
              <w:t>8.</w:t>
            </w:r>
            <w:r w:rsidR="00FE58B3" w:rsidRPr="0035083C">
              <w:rPr>
                <w:rFonts w:cs="Arial"/>
                <w:sz w:val="16"/>
                <w:szCs w:val="16"/>
              </w:rPr>
              <w:t>9</w:t>
            </w:r>
            <w:r w:rsidR="004621D9">
              <w:rPr>
                <w:rFonts w:cs="Arial"/>
                <w:sz w:val="16"/>
                <w:szCs w:val="16"/>
              </w:rPr>
              <w:t>4</w:t>
            </w:r>
            <w:r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A5052C" w:rsidP="00C60D6C">
            <w:pPr>
              <w:tabs>
                <w:tab w:val="clear" w:pos="851"/>
              </w:tabs>
              <w:spacing w:after="0"/>
              <w:ind w:left="0"/>
              <w:jc w:val="right"/>
              <w:rPr>
                <w:rFonts w:cs="Arial"/>
                <w:sz w:val="16"/>
                <w:szCs w:val="16"/>
              </w:rPr>
            </w:pPr>
            <w:r w:rsidRPr="0035083C">
              <w:rPr>
                <w:rFonts w:cs="Arial"/>
                <w:sz w:val="16"/>
                <w:szCs w:val="16"/>
              </w:rPr>
              <w:t>7-10%</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Dividend cover</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3477F1">
            <w:pPr>
              <w:tabs>
                <w:tab w:val="clear" w:pos="851"/>
              </w:tabs>
              <w:spacing w:after="0"/>
              <w:ind w:left="0"/>
              <w:jc w:val="right"/>
              <w:rPr>
                <w:rFonts w:cs="Arial"/>
                <w:sz w:val="16"/>
                <w:szCs w:val="16"/>
              </w:rPr>
            </w:pPr>
            <w:r w:rsidRPr="0035083C">
              <w:rPr>
                <w:rFonts w:cs="Arial"/>
                <w:sz w:val="16"/>
                <w:szCs w:val="16"/>
              </w:rPr>
              <w:t>0.6</w:t>
            </w:r>
            <w:r w:rsidR="003477F1" w:rsidRPr="0035083C">
              <w:rPr>
                <w:rFonts w:cs="Arial"/>
                <w:sz w:val="16"/>
                <w:szCs w:val="16"/>
              </w:rPr>
              <w:t>6</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FE58B3" w:rsidP="00C60D6C">
            <w:pPr>
              <w:tabs>
                <w:tab w:val="clear" w:pos="851"/>
              </w:tabs>
              <w:spacing w:after="0"/>
              <w:ind w:left="0"/>
              <w:jc w:val="right"/>
              <w:rPr>
                <w:rFonts w:cs="Arial"/>
                <w:sz w:val="16"/>
                <w:szCs w:val="16"/>
              </w:rPr>
            </w:pPr>
            <w:r w:rsidRPr="0035083C">
              <w:rPr>
                <w:rFonts w:cs="Arial"/>
                <w:sz w:val="16"/>
                <w:szCs w:val="16"/>
              </w:rPr>
              <w:t>Positive</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FE58B3">
            <w:pPr>
              <w:tabs>
                <w:tab w:val="clear" w:pos="851"/>
              </w:tabs>
              <w:spacing w:after="0"/>
              <w:ind w:left="0"/>
              <w:jc w:val="right"/>
              <w:rPr>
                <w:rFonts w:cs="Arial"/>
                <w:sz w:val="16"/>
                <w:szCs w:val="16"/>
              </w:rPr>
            </w:pPr>
            <w:r w:rsidRPr="0035083C">
              <w:rPr>
                <w:rFonts w:cs="Arial"/>
                <w:sz w:val="16"/>
                <w:szCs w:val="16"/>
              </w:rPr>
              <w:t>(0.1</w:t>
            </w:r>
            <w:r w:rsidR="00FE58B3" w:rsidRPr="0035083C">
              <w:rPr>
                <w:rFonts w:cs="Arial"/>
                <w:sz w:val="16"/>
                <w:szCs w:val="16"/>
              </w:rPr>
              <w:t>6</w:t>
            </w:r>
            <w:r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FE58B3" w:rsidP="00C60D6C">
            <w:pPr>
              <w:tabs>
                <w:tab w:val="clear" w:pos="851"/>
              </w:tabs>
              <w:spacing w:after="0"/>
              <w:ind w:left="0"/>
              <w:jc w:val="right"/>
              <w:rPr>
                <w:rFonts w:cs="Arial"/>
                <w:sz w:val="16"/>
                <w:szCs w:val="16"/>
              </w:rPr>
            </w:pPr>
            <w:r w:rsidRPr="0035083C">
              <w:rPr>
                <w:rFonts w:cs="Arial"/>
                <w:sz w:val="16"/>
                <w:szCs w:val="16"/>
              </w:rPr>
              <w:t>Positive</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Retained cash flow/net debt</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0.06</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FE58B3" w:rsidP="00C60D6C">
            <w:pPr>
              <w:tabs>
                <w:tab w:val="clear" w:pos="851"/>
              </w:tabs>
              <w:spacing w:after="0"/>
              <w:ind w:left="0"/>
              <w:jc w:val="right"/>
              <w:rPr>
                <w:rFonts w:cs="Arial"/>
                <w:sz w:val="16"/>
                <w:szCs w:val="16"/>
              </w:rPr>
            </w:pPr>
            <w:r w:rsidRPr="0035083C">
              <w:rPr>
                <w:rFonts w:cs="Arial"/>
                <w:sz w:val="16"/>
                <w:szCs w:val="16"/>
              </w:rPr>
              <w:t>Positive</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0.06</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FE58B3" w:rsidP="00C60D6C">
            <w:pPr>
              <w:tabs>
                <w:tab w:val="clear" w:pos="851"/>
              </w:tabs>
              <w:spacing w:after="0"/>
              <w:ind w:left="0"/>
              <w:jc w:val="right"/>
              <w:rPr>
                <w:rFonts w:cs="Arial"/>
                <w:sz w:val="16"/>
                <w:szCs w:val="16"/>
              </w:rPr>
            </w:pPr>
            <w:r w:rsidRPr="0035083C">
              <w:rPr>
                <w:rFonts w:cs="Arial"/>
                <w:sz w:val="16"/>
                <w:szCs w:val="16"/>
              </w:rPr>
              <w:t>Positive</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Return on Capital Employed</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3477F1" w:rsidP="00C60D6C">
            <w:pPr>
              <w:tabs>
                <w:tab w:val="clear" w:pos="851"/>
              </w:tabs>
              <w:spacing w:after="0"/>
              <w:ind w:left="0"/>
              <w:jc w:val="right"/>
              <w:rPr>
                <w:rFonts w:cs="Arial"/>
                <w:sz w:val="16"/>
                <w:szCs w:val="16"/>
              </w:rPr>
            </w:pPr>
            <w:r w:rsidRPr="0035083C">
              <w:rPr>
                <w:rFonts w:cs="Arial"/>
                <w:sz w:val="16"/>
                <w:szCs w:val="16"/>
              </w:rPr>
              <w:t>3.79</w:t>
            </w:r>
            <w:r w:rsidR="00C60D6C"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B857A5" w:rsidP="00B857A5">
            <w:pPr>
              <w:tabs>
                <w:tab w:val="clear" w:pos="851"/>
              </w:tabs>
              <w:spacing w:after="0"/>
              <w:ind w:left="0"/>
              <w:jc w:val="right"/>
              <w:rPr>
                <w:rFonts w:cs="Arial"/>
                <w:sz w:val="16"/>
                <w:szCs w:val="16"/>
              </w:rPr>
            </w:pPr>
            <w:r w:rsidRPr="00B857A5">
              <w:rPr>
                <w:rFonts w:cs="Arial"/>
                <w:sz w:val="16"/>
                <w:szCs w:val="16"/>
              </w:rPr>
              <w:t>≥3.5%</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FE58B3">
            <w:pPr>
              <w:tabs>
                <w:tab w:val="clear" w:pos="851"/>
              </w:tabs>
              <w:spacing w:after="0"/>
              <w:ind w:left="0"/>
              <w:jc w:val="right"/>
              <w:rPr>
                <w:rFonts w:cs="Arial"/>
                <w:sz w:val="16"/>
                <w:szCs w:val="16"/>
              </w:rPr>
            </w:pPr>
            <w:r w:rsidRPr="0035083C">
              <w:rPr>
                <w:rFonts w:cs="Arial"/>
                <w:sz w:val="16"/>
                <w:szCs w:val="16"/>
              </w:rPr>
              <w:t>3.6</w:t>
            </w:r>
            <w:r w:rsidR="00FE58B3" w:rsidRPr="0035083C">
              <w:rPr>
                <w:rFonts w:cs="Arial"/>
                <w:sz w:val="16"/>
                <w:szCs w:val="16"/>
              </w:rPr>
              <w:t>2</w:t>
            </w:r>
            <w:r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B857A5" w:rsidP="00C60D6C">
            <w:pPr>
              <w:tabs>
                <w:tab w:val="clear" w:pos="851"/>
              </w:tabs>
              <w:spacing w:after="0"/>
              <w:ind w:left="0"/>
              <w:jc w:val="right"/>
              <w:rPr>
                <w:rFonts w:cs="Arial"/>
                <w:sz w:val="16"/>
                <w:szCs w:val="16"/>
              </w:rPr>
            </w:pPr>
            <w:r w:rsidRPr="00B857A5">
              <w:rPr>
                <w:rFonts w:cs="Arial"/>
                <w:sz w:val="16"/>
                <w:szCs w:val="16"/>
              </w:rPr>
              <w:t>≥</w:t>
            </w:r>
            <w:r>
              <w:rPr>
                <w:rFonts w:cs="Arial"/>
                <w:sz w:val="16"/>
                <w:szCs w:val="16"/>
              </w:rPr>
              <w:t>3.0%</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Return on Regulatory Equity</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3477F1" w:rsidP="00C60D6C">
            <w:pPr>
              <w:tabs>
                <w:tab w:val="clear" w:pos="851"/>
              </w:tabs>
              <w:spacing w:after="0"/>
              <w:ind w:left="0"/>
              <w:jc w:val="right"/>
              <w:rPr>
                <w:rFonts w:cs="Arial"/>
                <w:sz w:val="16"/>
                <w:szCs w:val="16"/>
              </w:rPr>
            </w:pPr>
            <w:r w:rsidRPr="0035083C">
              <w:rPr>
                <w:rFonts w:cs="Arial"/>
                <w:sz w:val="16"/>
                <w:szCs w:val="16"/>
              </w:rPr>
              <w:t>4.88</w:t>
            </w:r>
            <w:r w:rsidR="00C60D6C"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B857A5" w:rsidP="00C60D6C">
            <w:pPr>
              <w:tabs>
                <w:tab w:val="clear" w:pos="851"/>
              </w:tabs>
              <w:spacing w:after="0"/>
              <w:ind w:left="0"/>
              <w:jc w:val="right"/>
              <w:rPr>
                <w:rFonts w:cs="Arial"/>
                <w:sz w:val="16"/>
                <w:szCs w:val="16"/>
              </w:rPr>
            </w:pPr>
            <w:r w:rsidRPr="00B857A5">
              <w:rPr>
                <w:rFonts w:cs="Arial"/>
                <w:sz w:val="16"/>
                <w:szCs w:val="16"/>
              </w:rPr>
              <w:t>≥</w:t>
            </w:r>
            <w:r>
              <w:rPr>
                <w:rFonts w:cs="Arial"/>
                <w:sz w:val="16"/>
                <w:szCs w:val="16"/>
              </w:rPr>
              <w:t>4%</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FE58B3">
            <w:pPr>
              <w:tabs>
                <w:tab w:val="clear" w:pos="851"/>
              </w:tabs>
              <w:spacing w:after="0"/>
              <w:ind w:left="0"/>
              <w:jc w:val="right"/>
              <w:rPr>
                <w:rFonts w:cs="Arial"/>
                <w:sz w:val="16"/>
                <w:szCs w:val="16"/>
              </w:rPr>
            </w:pPr>
            <w:r w:rsidRPr="0035083C">
              <w:rPr>
                <w:rFonts w:cs="Arial"/>
                <w:sz w:val="16"/>
                <w:szCs w:val="16"/>
              </w:rPr>
              <w:t>5.</w:t>
            </w:r>
            <w:r w:rsidR="00FE58B3" w:rsidRPr="0035083C">
              <w:rPr>
                <w:rFonts w:cs="Arial"/>
                <w:sz w:val="16"/>
                <w:szCs w:val="16"/>
              </w:rPr>
              <w:t>22</w:t>
            </w:r>
            <w:r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B857A5" w:rsidP="00C60D6C">
            <w:pPr>
              <w:tabs>
                <w:tab w:val="clear" w:pos="851"/>
              </w:tabs>
              <w:spacing w:after="0"/>
              <w:ind w:left="0"/>
              <w:jc w:val="right"/>
              <w:rPr>
                <w:rFonts w:cs="Arial"/>
                <w:sz w:val="16"/>
                <w:szCs w:val="16"/>
              </w:rPr>
            </w:pPr>
            <w:r w:rsidRPr="00B857A5">
              <w:rPr>
                <w:rFonts w:cs="Arial"/>
                <w:sz w:val="16"/>
                <w:szCs w:val="16"/>
              </w:rPr>
              <w:t>≥</w:t>
            </w:r>
            <w:r>
              <w:rPr>
                <w:rFonts w:cs="Arial"/>
                <w:sz w:val="16"/>
                <w:szCs w:val="16"/>
              </w:rPr>
              <w:t>4%</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shd w:val="clear" w:color="auto" w:fill="0070C0"/>
            <w:hideMark/>
          </w:tcPr>
          <w:p w:rsidR="00C60D6C" w:rsidRPr="0035083C" w:rsidRDefault="00C60D6C" w:rsidP="00C60D6C">
            <w:pPr>
              <w:tabs>
                <w:tab w:val="clear" w:pos="851"/>
              </w:tabs>
              <w:spacing w:after="0"/>
              <w:ind w:left="0"/>
              <w:jc w:val="left"/>
              <w:rPr>
                <w:rFonts w:cs="Arial"/>
                <w:color w:val="FFFFFF" w:themeColor="background1"/>
                <w:sz w:val="16"/>
                <w:szCs w:val="16"/>
              </w:rPr>
            </w:pPr>
            <w:r w:rsidRPr="0035083C">
              <w:rPr>
                <w:rFonts w:cs="Arial"/>
                <w:color w:val="FFFFFF" w:themeColor="background1"/>
                <w:sz w:val="16"/>
                <w:szCs w:val="16"/>
              </w:rPr>
              <w:t>Other Metrics</w:t>
            </w: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C60D6C" w:rsidRPr="0035083C" w:rsidRDefault="00C60D6C" w:rsidP="00C60D6C">
            <w:pPr>
              <w:tabs>
                <w:tab w:val="clear" w:pos="851"/>
              </w:tabs>
              <w:spacing w:after="0"/>
              <w:ind w:left="0"/>
              <w:jc w:val="right"/>
              <w:rPr>
                <w:rFonts w:cs="Arial"/>
                <w:color w:val="FFFFFF" w:themeColor="background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C60D6C" w:rsidRPr="0035083C" w:rsidRDefault="00C60D6C" w:rsidP="00C60D6C">
            <w:pPr>
              <w:tabs>
                <w:tab w:val="clear" w:pos="851"/>
              </w:tabs>
              <w:spacing w:after="0"/>
              <w:ind w:left="0"/>
              <w:jc w:val="right"/>
              <w:rPr>
                <w:rFonts w:cs="Arial"/>
                <w:color w:val="FFFFFF" w:themeColor="background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C60D6C" w:rsidRPr="0035083C" w:rsidRDefault="00C60D6C" w:rsidP="00C60D6C">
            <w:pPr>
              <w:tabs>
                <w:tab w:val="clear" w:pos="851"/>
              </w:tabs>
              <w:spacing w:after="0"/>
              <w:ind w:left="0"/>
              <w:jc w:val="right"/>
              <w:rPr>
                <w:rFonts w:cs="Arial"/>
                <w:color w:val="FFFFFF" w:themeColor="background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C60D6C" w:rsidRPr="0035083C" w:rsidRDefault="00C60D6C" w:rsidP="00C60D6C">
            <w:pPr>
              <w:tabs>
                <w:tab w:val="clear" w:pos="851"/>
              </w:tabs>
              <w:spacing w:after="0"/>
              <w:ind w:left="0"/>
              <w:jc w:val="right"/>
              <w:rPr>
                <w:rFonts w:cs="Arial"/>
                <w:color w:val="FFFFFF" w:themeColor="background1"/>
                <w:sz w:val="16"/>
                <w:szCs w:val="16"/>
              </w:rPr>
            </w:pP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Artesian interest cover</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B857A5" w:rsidP="00C60D6C">
            <w:pPr>
              <w:tabs>
                <w:tab w:val="clear" w:pos="851"/>
              </w:tabs>
              <w:spacing w:after="0"/>
              <w:ind w:left="0"/>
              <w:jc w:val="right"/>
              <w:rPr>
                <w:rFonts w:cs="Arial"/>
                <w:sz w:val="16"/>
                <w:szCs w:val="16"/>
              </w:rPr>
            </w:pPr>
            <w:r>
              <w:rPr>
                <w:rFonts w:cs="Arial"/>
                <w:sz w:val="16"/>
                <w:szCs w:val="16"/>
              </w:rPr>
              <w:t>5.4</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≥1.4</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4621D9">
            <w:pPr>
              <w:tabs>
                <w:tab w:val="clear" w:pos="851"/>
              </w:tabs>
              <w:spacing w:after="0"/>
              <w:ind w:left="0"/>
              <w:jc w:val="right"/>
              <w:rPr>
                <w:rFonts w:cs="Arial"/>
                <w:sz w:val="16"/>
                <w:szCs w:val="16"/>
              </w:rPr>
            </w:pPr>
            <w:r w:rsidRPr="0035083C">
              <w:rPr>
                <w:rFonts w:cs="Arial"/>
                <w:sz w:val="16"/>
                <w:szCs w:val="16"/>
              </w:rPr>
              <w:t>1.</w:t>
            </w:r>
            <w:r w:rsidR="004621D9">
              <w:rPr>
                <w:rFonts w:cs="Arial"/>
                <w:sz w:val="16"/>
                <w:szCs w:val="16"/>
              </w:rPr>
              <w:t>79</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≥1.4</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Moody’s Interest Cover *</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1.70</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≥1.7</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4621D9">
            <w:pPr>
              <w:tabs>
                <w:tab w:val="clear" w:pos="851"/>
              </w:tabs>
              <w:spacing w:after="0"/>
              <w:ind w:left="0"/>
              <w:jc w:val="right"/>
              <w:rPr>
                <w:rFonts w:cs="Arial"/>
                <w:sz w:val="16"/>
                <w:szCs w:val="16"/>
              </w:rPr>
            </w:pPr>
            <w:r w:rsidRPr="0035083C">
              <w:rPr>
                <w:rFonts w:cs="Arial"/>
                <w:sz w:val="16"/>
                <w:szCs w:val="16"/>
              </w:rPr>
              <w:t>1.3</w:t>
            </w:r>
            <w:r w:rsidR="004621D9">
              <w:rPr>
                <w:rFonts w:cs="Arial"/>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right"/>
              <w:rPr>
                <w:rFonts w:cs="Arial"/>
                <w:sz w:val="16"/>
                <w:szCs w:val="16"/>
              </w:rPr>
            </w:pPr>
            <w:r w:rsidRPr="0035083C">
              <w:rPr>
                <w:rFonts w:cs="Arial"/>
                <w:sz w:val="16"/>
                <w:szCs w:val="16"/>
              </w:rPr>
              <w:t>≥1.3</w:t>
            </w:r>
          </w:p>
        </w:tc>
      </w:tr>
      <w:tr w:rsidR="00C60D6C" w:rsidRPr="0035083C" w:rsidTr="00C60D6C">
        <w:tc>
          <w:tcPr>
            <w:tcW w:w="2830" w:type="dxa"/>
            <w:tcBorders>
              <w:top w:val="single" w:sz="4" w:space="0" w:color="auto"/>
              <w:left w:val="single" w:sz="4" w:space="0" w:color="auto"/>
              <w:bottom w:val="single" w:sz="4" w:space="0" w:color="auto"/>
              <w:right w:val="single" w:sz="4" w:space="0" w:color="auto"/>
            </w:tcBorders>
            <w:hideMark/>
          </w:tcPr>
          <w:p w:rsidR="00C60D6C" w:rsidRPr="0035083C" w:rsidRDefault="00C60D6C" w:rsidP="00C60D6C">
            <w:pPr>
              <w:tabs>
                <w:tab w:val="clear" w:pos="851"/>
              </w:tabs>
              <w:spacing w:after="0"/>
              <w:ind w:left="0"/>
              <w:jc w:val="left"/>
              <w:rPr>
                <w:rFonts w:cs="Arial"/>
                <w:sz w:val="16"/>
                <w:szCs w:val="16"/>
              </w:rPr>
            </w:pPr>
            <w:r w:rsidRPr="0035083C">
              <w:rPr>
                <w:rFonts w:cs="Arial"/>
                <w:sz w:val="16"/>
                <w:szCs w:val="16"/>
              </w:rPr>
              <w:t>S&amp;P FFO/Net Debt</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3477F1" w:rsidP="004621D9">
            <w:pPr>
              <w:tabs>
                <w:tab w:val="clear" w:pos="851"/>
              </w:tabs>
              <w:spacing w:after="0"/>
              <w:ind w:left="0"/>
              <w:jc w:val="right"/>
              <w:rPr>
                <w:rFonts w:cs="Arial"/>
                <w:sz w:val="16"/>
                <w:szCs w:val="16"/>
              </w:rPr>
            </w:pPr>
            <w:r w:rsidRPr="0035083C">
              <w:rPr>
                <w:rFonts w:cs="Arial"/>
                <w:sz w:val="16"/>
                <w:szCs w:val="16"/>
              </w:rPr>
              <w:t>7.</w:t>
            </w:r>
            <w:r w:rsidR="004621D9">
              <w:rPr>
                <w:rFonts w:cs="Arial"/>
                <w:sz w:val="16"/>
                <w:szCs w:val="16"/>
              </w:rPr>
              <w:t>89</w:t>
            </w:r>
            <w:r w:rsidR="00C60D6C"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FE58B3" w:rsidP="00C60D6C">
            <w:pPr>
              <w:tabs>
                <w:tab w:val="clear" w:pos="851"/>
              </w:tabs>
              <w:spacing w:after="0"/>
              <w:ind w:left="0"/>
              <w:jc w:val="right"/>
              <w:rPr>
                <w:rFonts w:cs="Arial"/>
                <w:sz w:val="16"/>
                <w:szCs w:val="16"/>
              </w:rPr>
            </w:pPr>
            <w:r w:rsidRPr="0035083C">
              <w:rPr>
                <w:rFonts w:cs="Arial"/>
                <w:sz w:val="16"/>
                <w:szCs w:val="16"/>
              </w:rPr>
              <w:t>7-10%</w:t>
            </w:r>
          </w:p>
        </w:tc>
        <w:tc>
          <w:tcPr>
            <w:tcW w:w="1134" w:type="dxa"/>
            <w:tcBorders>
              <w:top w:val="single" w:sz="4" w:space="0" w:color="auto"/>
              <w:left w:val="single" w:sz="4" w:space="0" w:color="auto"/>
              <w:bottom w:val="single" w:sz="4" w:space="0" w:color="auto"/>
              <w:right w:val="single" w:sz="4" w:space="0" w:color="auto"/>
            </w:tcBorders>
            <w:hideMark/>
          </w:tcPr>
          <w:p w:rsidR="00C60D6C" w:rsidRPr="0035083C" w:rsidRDefault="00C60D6C" w:rsidP="004621D9">
            <w:pPr>
              <w:tabs>
                <w:tab w:val="clear" w:pos="851"/>
              </w:tabs>
              <w:spacing w:after="0"/>
              <w:ind w:left="0"/>
              <w:jc w:val="right"/>
              <w:rPr>
                <w:rFonts w:cs="Arial"/>
                <w:sz w:val="16"/>
                <w:szCs w:val="16"/>
              </w:rPr>
            </w:pPr>
            <w:r w:rsidRPr="0035083C">
              <w:rPr>
                <w:rFonts w:cs="Arial"/>
                <w:sz w:val="16"/>
                <w:szCs w:val="16"/>
              </w:rPr>
              <w:t>5.8</w:t>
            </w:r>
            <w:r w:rsidR="004621D9">
              <w:rPr>
                <w:rFonts w:cs="Arial"/>
                <w:sz w:val="16"/>
                <w:szCs w:val="16"/>
              </w:rPr>
              <w:t>3</w:t>
            </w:r>
            <w:r w:rsidRPr="0035083C">
              <w:rPr>
                <w:rFonts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60D6C" w:rsidRPr="0035083C" w:rsidRDefault="00FE58B3" w:rsidP="00C60D6C">
            <w:pPr>
              <w:tabs>
                <w:tab w:val="clear" w:pos="851"/>
              </w:tabs>
              <w:spacing w:after="0"/>
              <w:ind w:left="0"/>
              <w:jc w:val="right"/>
              <w:rPr>
                <w:rFonts w:cs="Arial"/>
                <w:sz w:val="16"/>
                <w:szCs w:val="16"/>
              </w:rPr>
            </w:pPr>
            <w:r w:rsidRPr="0035083C">
              <w:rPr>
                <w:rFonts w:cs="Arial"/>
                <w:sz w:val="16"/>
                <w:szCs w:val="16"/>
              </w:rPr>
              <w:t>6-10%</w:t>
            </w:r>
          </w:p>
        </w:tc>
      </w:tr>
    </w:tbl>
    <w:p w:rsidR="00C60D6C" w:rsidRDefault="00C60D6C" w:rsidP="00C60D6C">
      <w:pPr>
        <w:spacing w:after="0"/>
        <w:rPr>
          <w:rFonts w:cs="Arial"/>
          <w:sz w:val="16"/>
          <w:szCs w:val="16"/>
          <w:lang w:eastAsia="en-US"/>
        </w:rPr>
      </w:pPr>
      <w:r>
        <w:rPr>
          <w:rFonts w:cs="Arial"/>
          <w:sz w:val="16"/>
          <w:szCs w:val="16"/>
        </w:rPr>
        <w:t>* adjusted to reflect other non-appointed income not included in the Ofwat Model.</w:t>
      </w:r>
    </w:p>
    <w:p w:rsidR="00C60D6C" w:rsidRDefault="00C60D6C" w:rsidP="00C60D6C">
      <w:pPr>
        <w:spacing w:after="0"/>
        <w:rPr>
          <w:rFonts w:cs="Arial"/>
          <w:sz w:val="22"/>
          <w:szCs w:val="22"/>
          <w:highlight w:val="yellow"/>
        </w:rPr>
      </w:pPr>
    </w:p>
    <w:p w:rsidR="004621D9" w:rsidRDefault="004621D9" w:rsidP="004621D9">
      <w:r>
        <w:t xml:space="preserve">Sections 11.3.2 and 11.3.3, the notional and actual structures respectively, cover in more detail how we have reached our conclusions about financeability and the financeability adjustments that we have made as part of this process. </w:t>
      </w:r>
    </w:p>
    <w:p w:rsidR="004621D9" w:rsidRPr="00EB7097" w:rsidRDefault="004621D9" w:rsidP="004621D9">
      <w:pPr>
        <w:rPr>
          <w:rFonts w:cs="Arial"/>
        </w:rPr>
      </w:pPr>
      <w:r>
        <w:t>In concluding on the financial position of the Company, under notional and actual structure, the table above indicates that the majority of metrics sit within the appropriate ranges relative to the target levels we set.  We note, by exception the following points:</w:t>
      </w:r>
    </w:p>
    <w:p w:rsidR="004621D9" w:rsidRPr="00695BAF" w:rsidRDefault="004621D9" w:rsidP="004621D9">
      <w:pPr>
        <w:rPr>
          <w:rFonts w:cs="Arial"/>
        </w:rPr>
      </w:pPr>
      <w:r w:rsidRPr="00695BAF">
        <w:rPr>
          <w:rFonts w:cs="Arial"/>
          <w:b/>
        </w:rPr>
        <w:t>Dividend Cover</w:t>
      </w:r>
      <w:r>
        <w:rPr>
          <w:rFonts w:cs="Arial"/>
        </w:rPr>
        <w:t xml:space="preserve">. </w:t>
      </w:r>
      <w:r w:rsidRPr="00695BAF">
        <w:rPr>
          <w:rFonts w:cs="Arial"/>
        </w:rPr>
        <w:t xml:space="preserve">In the actual structure dividend cover falls below the target of “positive”, this is primarily driven by the levels of “non cash” indexation on the existing debt.  However, as cash balances and overall cash-flow remains positive and the Company also has significant levels of distributable reserves, we have concluded that this is an acceptable position.  Over the longer-term this will be remedied as </w:t>
      </w:r>
      <w:r w:rsidR="00AB6F74">
        <w:rPr>
          <w:rFonts w:cs="Arial"/>
        </w:rPr>
        <w:t xml:space="preserve">new </w:t>
      </w:r>
      <w:r w:rsidR="005115F9">
        <w:rPr>
          <w:rFonts w:cs="Arial"/>
        </w:rPr>
        <w:t>capital</w:t>
      </w:r>
      <w:r w:rsidRPr="00695BAF">
        <w:rPr>
          <w:rFonts w:cs="Arial"/>
        </w:rPr>
        <w:t xml:space="preserve"> is injected and new debt reduces the average cost of debt.  This is discussed further in Section 11.4 Dividend Policy.  We have therefore concluded that this position is acceptable in terms of financeability.</w:t>
      </w:r>
    </w:p>
    <w:p w:rsidR="004621D9" w:rsidRDefault="004621D9" w:rsidP="004621D9">
      <w:pPr>
        <w:rPr>
          <w:rFonts w:cs="Arial"/>
        </w:rPr>
      </w:pPr>
      <w:r w:rsidRPr="00CD46AA">
        <w:rPr>
          <w:rFonts w:cs="Arial"/>
          <w:b/>
        </w:rPr>
        <w:t>S&amp;P FFO/Net Debt</w:t>
      </w:r>
      <w:r>
        <w:rPr>
          <w:rFonts w:cs="Arial"/>
        </w:rPr>
        <w:t>.  In the actual structure, this falls marginally below the targeted metric.  When reviewing the results for the range of financial metrics, we view that this is acceptable in the round.  We note that Rating Agencies do consider the overall “in the round position” on target metrics.</w:t>
      </w:r>
    </w:p>
    <w:p w:rsidR="00C60D6C" w:rsidRDefault="00C60D6C" w:rsidP="00C60D6C">
      <w:pPr>
        <w:pStyle w:val="Heading3"/>
      </w:pPr>
      <w:bookmarkStart w:id="259" w:name="_Toc523651336"/>
      <w:r>
        <w:t>Financeability in the notional capital structure</w:t>
      </w:r>
      <w:bookmarkEnd w:id="259"/>
    </w:p>
    <w:p w:rsidR="00C60D6C" w:rsidRDefault="00C60D6C" w:rsidP="00C60D6C">
      <w:r>
        <w:t xml:space="preserve">We have reviewed financeability in the notional </w:t>
      </w:r>
      <w:r w:rsidR="004977F6">
        <w:t xml:space="preserve">capital </w:t>
      </w:r>
      <w:r>
        <w:t>structure including the extent to which it is appropriate to use any of the permissible options for addressing financeability in the notional structure.  In the first instance we have assessed the overall financeability of the appointed business.  The assessment has been performed in the Ofwat Model.  Key assumptions used;</w:t>
      </w:r>
    </w:p>
    <w:p w:rsidR="00C60D6C" w:rsidRDefault="00C60D6C" w:rsidP="00C60D6C">
      <w:pPr>
        <w:pStyle w:val="Bullets"/>
      </w:pPr>
      <w:r>
        <w:t>Notional opening gearing (60%)</w:t>
      </w:r>
    </w:p>
    <w:p w:rsidR="00C60D6C" w:rsidRDefault="00C60D6C" w:rsidP="00C60D6C">
      <w:pPr>
        <w:pStyle w:val="Bullets"/>
      </w:pPr>
      <w:r>
        <w:t>No legacy adjustments</w:t>
      </w:r>
    </w:p>
    <w:p w:rsidR="00C60D6C" w:rsidRDefault="00C60D6C" w:rsidP="00C60D6C">
      <w:pPr>
        <w:pStyle w:val="Bullets"/>
      </w:pPr>
      <w:r>
        <w:t>Natural PAYG/run off rates (these are dis</w:t>
      </w:r>
      <w:r w:rsidR="003477F1">
        <w:t>cussed further in Section 11.3.4</w:t>
      </w:r>
      <w:r>
        <w:t>)</w:t>
      </w:r>
    </w:p>
    <w:p w:rsidR="00C60D6C" w:rsidRDefault="00C60D6C" w:rsidP="00C60D6C">
      <w:pPr>
        <w:pStyle w:val="Bullets"/>
      </w:pPr>
      <w:r>
        <w:t>WACC set out in Ofwat’s early view on cost of capital</w:t>
      </w:r>
    </w:p>
    <w:p w:rsidR="00C60D6C" w:rsidRDefault="00C60D6C" w:rsidP="00C60D6C">
      <w:pPr>
        <w:pStyle w:val="Bullets"/>
      </w:pPr>
      <w:r>
        <w:t>Revenue smoothing on a NPV neutral basis</w:t>
      </w:r>
    </w:p>
    <w:p w:rsidR="00C60D6C" w:rsidRDefault="00FE58B3" w:rsidP="00C60D6C">
      <w:pPr>
        <w:pStyle w:val="Bullets"/>
      </w:pPr>
      <w:r>
        <w:t>Notional cost of financing</w:t>
      </w:r>
    </w:p>
    <w:p w:rsidR="00C60D6C" w:rsidRDefault="00C60D6C" w:rsidP="00C60D6C">
      <w:pPr>
        <w:spacing w:after="0"/>
        <w:rPr>
          <w:rFonts w:cs="Arial"/>
        </w:rPr>
      </w:pPr>
    </w:p>
    <w:p w:rsidR="00C60D6C" w:rsidRDefault="00C60D6C" w:rsidP="00C60D6C">
      <w:r>
        <w:t xml:space="preserve">Given the efficiency levels of the notional company we have targeted an A3 rating under the Moody’s methodology.  We </w:t>
      </w:r>
      <w:r w:rsidR="00FE58B3">
        <w:t xml:space="preserve">used simplified </w:t>
      </w:r>
      <w:r>
        <w:t xml:space="preserve">Moody’s </w:t>
      </w:r>
      <w:r w:rsidR="00FE58B3">
        <w:t xml:space="preserve">ratio targets </w:t>
      </w:r>
      <w:r>
        <w:t>and populated this with the relevant financial metrics.  In particular this targets an adjusted ICR of ≥1.7 times and gearing of ≤65%</w:t>
      </w:r>
      <w:r w:rsidR="003477F1">
        <w:t>.</w:t>
      </w:r>
    </w:p>
    <w:p w:rsidR="00C60D6C" w:rsidRDefault="00C60D6C" w:rsidP="00C60D6C">
      <w:r>
        <w:t xml:space="preserve">As explained above the Moody’s ICR shows the least headroom and we have therefore included this in our analysis below.  </w:t>
      </w:r>
      <w:r w:rsidRPr="003477F1">
        <w:t>We have also included in the Appendices copies of the Ofwat Model under both the notional and actual capital structures for reference.</w:t>
      </w:r>
    </w:p>
    <w:tbl>
      <w:tblPr>
        <w:tblStyle w:val="TableGrid54"/>
        <w:tblW w:w="9045" w:type="dxa"/>
        <w:tblInd w:w="581" w:type="dxa"/>
        <w:tblLook w:val="04A0" w:firstRow="1" w:lastRow="0" w:firstColumn="1" w:lastColumn="0" w:noHBand="0" w:noVBand="1"/>
      </w:tblPr>
      <w:tblGrid>
        <w:gridCol w:w="3256"/>
        <w:gridCol w:w="967"/>
        <w:gridCol w:w="967"/>
        <w:gridCol w:w="967"/>
        <w:gridCol w:w="967"/>
        <w:gridCol w:w="967"/>
        <w:gridCol w:w="954"/>
      </w:tblGrid>
      <w:tr w:rsidR="00C60D6C" w:rsidRPr="00C60D6C" w:rsidTr="00246AD9">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left"/>
              <w:rPr>
                <w:rFonts w:cs="Arial"/>
                <w:bCs/>
                <w:color w:val="FFFFFF" w:themeColor="background1"/>
                <w:sz w:val="16"/>
                <w:szCs w:val="16"/>
              </w:rPr>
            </w:pPr>
            <w:r w:rsidRPr="00C60D6C">
              <w:rPr>
                <w:rFonts w:cs="Arial"/>
                <w:bCs/>
                <w:color w:val="FFFFFF" w:themeColor="background1"/>
                <w:sz w:val="16"/>
                <w:szCs w:val="16"/>
              </w:rPr>
              <w:t>Notional capital structure – before any adjustments to address financeability</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2020/21</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2021/22</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2022/23</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2023/24</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2024/25</w:t>
            </w:r>
          </w:p>
        </w:tc>
        <w:tc>
          <w:tcPr>
            <w:tcW w:w="954"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Average</w:t>
            </w:r>
          </w:p>
        </w:tc>
      </w:tr>
      <w:tr w:rsidR="00C60D6C" w:rsidRPr="00C60D6C" w:rsidTr="00246AD9">
        <w:trPr>
          <w:trHeight w:val="288"/>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left"/>
              <w:rPr>
                <w:rFonts w:cs="Arial"/>
                <w:sz w:val="16"/>
                <w:szCs w:val="16"/>
              </w:rPr>
            </w:pPr>
            <w:r w:rsidRPr="00C60D6C">
              <w:rPr>
                <w:rFonts w:cs="Arial"/>
                <w:bCs/>
                <w:sz w:val="16"/>
                <w:szCs w:val="16"/>
              </w:rPr>
              <w:t>Average Household Bill – real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98.82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98.46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98.36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98.42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98.42 </w:t>
            </w:r>
          </w:p>
        </w:tc>
        <w:tc>
          <w:tcPr>
            <w:tcW w:w="954"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98.50 </w:t>
            </w:r>
          </w:p>
        </w:tc>
      </w:tr>
      <w:tr w:rsidR="00C60D6C" w:rsidRPr="00C60D6C" w:rsidTr="00246AD9">
        <w:trPr>
          <w:trHeight w:val="288"/>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left"/>
              <w:rPr>
                <w:rFonts w:cs="Arial"/>
                <w:bCs/>
                <w:sz w:val="16"/>
                <w:szCs w:val="16"/>
              </w:rPr>
            </w:pPr>
            <w:r w:rsidRPr="00C60D6C">
              <w:rPr>
                <w:rFonts w:cs="Arial"/>
                <w:bCs/>
                <w:sz w:val="16"/>
                <w:szCs w:val="16"/>
              </w:rPr>
              <w:t>Gearing</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62.2%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64.6%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66.5%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70.4%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73.3%</w:t>
            </w:r>
          </w:p>
        </w:tc>
        <w:tc>
          <w:tcPr>
            <w:tcW w:w="954"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67.4%</w:t>
            </w:r>
          </w:p>
        </w:tc>
      </w:tr>
      <w:tr w:rsidR="00C60D6C" w:rsidRPr="00C60D6C" w:rsidTr="00246AD9">
        <w:trPr>
          <w:trHeight w:val="288"/>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left"/>
              <w:rPr>
                <w:rFonts w:cs="Arial"/>
                <w:bCs/>
                <w:sz w:val="16"/>
                <w:szCs w:val="16"/>
              </w:rPr>
            </w:pPr>
            <w:r w:rsidRPr="00C60D6C">
              <w:rPr>
                <w:rFonts w:cs="Arial"/>
                <w:bCs/>
                <w:sz w:val="16"/>
                <w:szCs w:val="16"/>
              </w:rPr>
              <w:t>Moody’s ICR</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1.54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1.42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1.38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1.18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1.19 </w:t>
            </w:r>
          </w:p>
        </w:tc>
        <w:tc>
          <w:tcPr>
            <w:tcW w:w="954"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1.34 </w:t>
            </w:r>
          </w:p>
        </w:tc>
      </w:tr>
    </w:tbl>
    <w:p w:rsidR="00C60D6C" w:rsidRDefault="00C60D6C" w:rsidP="00C60D6C">
      <w:pPr>
        <w:spacing w:after="0"/>
        <w:rPr>
          <w:rFonts w:cs="Arial"/>
          <w:sz w:val="22"/>
          <w:szCs w:val="22"/>
          <w:lang w:eastAsia="en-US"/>
        </w:rPr>
      </w:pPr>
    </w:p>
    <w:p w:rsidR="00C60D6C" w:rsidRDefault="00C60D6C" w:rsidP="00C60D6C">
      <w:r>
        <w:t xml:space="preserve">The above summarises the outputs showing that the average adjusted ICR of 1.34 falls well below the </w:t>
      </w:r>
      <w:r w:rsidR="004977F6">
        <w:t xml:space="preserve">A3 rating </w:t>
      </w:r>
      <w:r>
        <w:t>target</w:t>
      </w:r>
      <w:r w:rsidR="004977F6">
        <w:t xml:space="preserve"> of</w:t>
      </w:r>
      <w:r>
        <w:t xml:space="preserve"> ≥1.7 times </w:t>
      </w:r>
      <w:r w:rsidR="004977F6">
        <w:t xml:space="preserve">with </w:t>
      </w:r>
      <w:r>
        <w:t xml:space="preserve">gearing at an average of 67.4% </w:t>
      </w:r>
      <w:r w:rsidR="004977F6">
        <w:t xml:space="preserve">being </w:t>
      </w:r>
      <w:r>
        <w:t xml:space="preserve">marginally above the </w:t>
      </w:r>
      <w:r w:rsidR="004977F6">
        <w:t xml:space="preserve">A3 </w:t>
      </w:r>
      <w:r>
        <w:t xml:space="preserve">target.  As the first pass of the notional </w:t>
      </w:r>
      <w:r w:rsidR="004977F6">
        <w:t xml:space="preserve">capital </w:t>
      </w:r>
      <w:r>
        <w:t xml:space="preserve">structure did not show sufficiently strong ratios to achieve the targeted A3 rating we made further adjustments to </w:t>
      </w:r>
      <w:r w:rsidR="00AD3CFA">
        <w:t xml:space="preserve">manage </w:t>
      </w:r>
      <w:r>
        <w:t xml:space="preserve">financeability </w:t>
      </w:r>
      <w:r w:rsidR="00FE58B3">
        <w:t>driven by the significant investment in long term capital schemes</w:t>
      </w:r>
      <w:r>
        <w:t xml:space="preserve">.  </w:t>
      </w:r>
    </w:p>
    <w:p w:rsidR="00C60D6C" w:rsidRDefault="00C60D6C" w:rsidP="00C60D6C">
      <w:r>
        <w:t>We made a small adjustment to increase the overall PAYG rate of 1.8 percentage points from the natural rate.  Support for PAYG levels is set</w:t>
      </w:r>
      <w:r w:rsidR="003477F1">
        <w:t xml:space="preserve"> out further in </w:t>
      </w:r>
      <w:r w:rsidR="00194209">
        <w:t>S</w:t>
      </w:r>
      <w:r w:rsidR="003477F1">
        <w:t>ection 11.3.4</w:t>
      </w:r>
      <w:r>
        <w:t xml:space="preserve"> below.  This adjustment reflects the necessity to balance payment for the capital programme between current and future generations.  Customer support for this is dis</w:t>
      </w:r>
      <w:r w:rsidR="003477F1">
        <w:t>cussed further in Section 11.3.4</w:t>
      </w:r>
      <w:r>
        <w:t xml:space="preserve">.  In order to balance the impact of financing the capital programme between Customers and Investors we then added additional </w:t>
      </w:r>
      <w:r w:rsidR="005115F9">
        <w:t>capital</w:t>
      </w:r>
      <w:r>
        <w:t xml:space="preserve"> (totalling £32.5m over the AMP) to bring the Company back to a targeted gearing of c60%.</w:t>
      </w:r>
    </w:p>
    <w:tbl>
      <w:tblPr>
        <w:tblStyle w:val="TableGrid55"/>
        <w:tblW w:w="8530" w:type="dxa"/>
        <w:tblInd w:w="1104" w:type="dxa"/>
        <w:tblLook w:val="04A0" w:firstRow="1" w:lastRow="0" w:firstColumn="1" w:lastColumn="0" w:noHBand="0" w:noVBand="1"/>
      </w:tblPr>
      <w:tblGrid>
        <w:gridCol w:w="2741"/>
        <w:gridCol w:w="967"/>
        <w:gridCol w:w="967"/>
        <w:gridCol w:w="967"/>
        <w:gridCol w:w="967"/>
        <w:gridCol w:w="967"/>
        <w:gridCol w:w="954"/>
      </w:tblGrid>
      <w:tr w:rsidR="00C60D6C" w:rsidRPr="00C60D6C" w:rsidTr="00C60D6C">
        <w:trPr>
          <w:trHeight w:val="288"/>
        </w:trPr>
        <w:tc>
          <w:tcPr>
            <w:tcW w:w="274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left"/>
              <w:rPr>
                <w:rFonts w:cs="Arial"/>
                <w:bCs/>
                <w:color w:val="FFFFFF" w:themeColor="background1"/>
                <w:sz w:val="16"/>
                <w:szCs w:val="16"/>
              </w:rPr>
            </w:pPr>
            <w:r w:rsidRPr="00C60D6C">
              <w:rPr>
                <w:rFonts w:cs="Arial"/>
                <w:bCs/>
                <w:color w:val="FFFFFF" w:themeColor="background1"/>
                <w:sz w:val="16"/>
                <w:szCs w:val="16"/>
              </w:rPr>
              <w:t>Notional capital structure  - after financeability adjustments</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2020/21</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2021/22</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2022/23</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2023/24</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2024/25</w:t>
            </w:r>
          </w:p>
        </w:tc>
        <w:tc>
          <w:tcPr>
            <w:tcW w:w="954"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60D6C" w:rsidRPr="00C60D6C" w:rsidRDefault="00C60D6C" w:rsidP="00C60D6C">
            <w:pPr>
              <w:tabs>
                <w:tab w:val="clear" w:pos="851"/>
              </w:tabs>
              <w:spacing w:after="0"/>
              <w:ind w:left="0"/>
              <w:jc w:val="center"/>
              <w:rPr>
                <w:rFonts w:cs="Arial"/>
                <w:bCs/>
                <w:color w:val="FFFFFF" w:themeColor="background1"/>
                <w:sz w:val="16"/>
                <w:szCs w:val="16"/>
              </w:rPr>
            </w:pPr>
            <w:r w:rsidRPr="00C60D6C">
              <w:rPr>
                <w:rFonts w:cs="Arial"/>
                <w:bCs/>
                <w:color w:val="FFFFFF" w:themeColor="background1"/>
                <w:sz w:val="16"/>
                <w:szCs w:val="16"/>
              </w:rPr>
              <w:t>Average</w:t>
            </w:r>
          </w:p>
        </w:tc>
      </w:tr>
      <w:tr w:rsidR="00C60D6C" w:rsidRPr="00C60D6C" w:rsidTr="00C60D6C">
        <w:trPr>
          <w:trHeight w:val="288"/>
        </w:trPr>
        <w:tc>
          <w:tcPr>
            <w:tcW w:w="2741"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left"/>
              <w:rPr>
                <w:rFonts w:cs="Arial"/>
                <w:sz w:val="16"/>
                <w:szCs w:val="16"/>
              </w:rPr>
            </w:pPr>
            <w:r w:rsidRPr="00C60D6C">
              <w:rPr>
                <w:rFonts w:cs="Arial"/>
                <w:bCs/>
                <w:sz w:val="16"/>
                <w:szCs w:val="16"/>
              </w:rPr>
              <w:t>Average Household Bill – real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C60D6C">
            <w:pPr>
              <w:tabs>
                <w:tab w:val="clear" w:pos="851"/>
              </w:tabs>
              <w:spacing w:after="0"/>
              <w:ind w:left="0"/>
              <w:jc w:val="right"/>
              <w:rPr>
                <w:rFonts w:cs="Arial"/>
                <w:sz w:val="16"/>
                <w:szCs w:val="16"/>
              </w:rPr>
            </w:pPr>
            <w:r>
              <w:rPr>
                <w:rFonts w:cs="Arial"/>
                <w:sz w:val="16"/>
                <w:szCs w:val="16"/>
              </w:rPr>
              <w:t>98.79</w:t>
            </w:r>
            <w:r w:rsidR="00C60D6C"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C60D6C">
            <w:pPr>
              <w:tabs>
                <w:tab w:val="clear" w:pos="851"/>
              </w:tabs>
              <w:spacing w:after="0"/>
              <w:ind w:left="0"/>
              <w:jc w:val="right"/>
              <w:rPr>
                <w:rFonts w:cs="Arial"/>
                <w:sz w:val="16"/>
                <w:szCs w:val="16"/>
              </w:rPr>
            </w:pPr>
            <w:r>
              <w:rPr>
                <w:rFonts w:cs="Arial"/>
                <w:sz w:val="16"/>
                <w:szCs w:val="16"/>
              </w:rPr>
              <w:t>98.51</w:t>
            </w:r>
            <w:r w:rsidR="00C60D6C"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C60D6C">
            <w:pPr>
              <w:tabs>
                <w:tab w:val="clear" w:pos="851"/>
              </w:tabs>
              <w:spacing w:after="0"/>
              <w:ind w:left="0"/>
              <w:jc w:val="right"/>
              <w:rPr>
                <w:rFonts w:cs="Arial"/>
                <w:sz w:val="16"/>
                <w:szCs w:val="16"/>
              </w:rPr>
            </w:pPr>
            <w:r>
              <w:rPr>
                <w:rFonts w:cs="Arial"/>
                <w:sz w:val="16"/>
                <w:szCs w:val="16"/>
              </w:rPr>
              <w:t>98.49</w:t>
            </w:r>
            <w:r w:rsidR="00C60D6C"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C60D6C">
            <w:pPr>
              <w:tabs>
                <w:tab w:val="clear" w:pos="851"/>
              </w:tabs>
              <w:spacing w:after="0"/>
              <w:ind w:left="0"/>
              <w:jc w:val="right"/>
              <w:rPr>
                <w:rFonts w:cs="Arial"/>
                <w:sz w:val="16"/>
                <w:szCs w:val="16"/>
              </w:rPr>
            </w:pPr>
            <w:r>
              <w:rPr>
                <w:rFonts w:cs="Arial"/>
                <w:sz w:val="16"/>
                <w:szCs w:val="16"/>
              </w:rPr>
              <w:t>98.69</w:t>
            </w:r>
            <w:r w:rsidR="00C60D6C"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C60D6C">
            <w:pPr>
              <w:tabs>
                <w:tab w:val="clear" w:pos="851"/>
              </w:tabs>
              <w:spacing w:after="0"/>
              <w:ind w:left="0"/>
              <w:jc w:val="right"/>
              <w:rPr>
                <w:rFonts w:cs="Arial"/>
                <w:sz w:val="16"/>
                <w:szCs w:val="16"/>
              </w:rPr>
            </w:pPr>
            <w:r>
              <w:rPr>
                <w:rFonts w:cs="Arial"/>
                <w:sz w:val="16"/>
                <w:szCs w:val="16"/>
              </w:rPr>
              <w:t>98.86</w:t>
            </w:r>
            <w:r w:rsidR="00C60D6C" w:rsidRPr="00C60D6C">
              <w:rPr>
                <w:rFonts w:cs="Arial"/>
                <w:sz w:val="16"/>
                <w:szCs w:val="16"/>
              </w:rPr>
              <w:t xml:space="preserve"> </w:t>
            </w:r>
          </w:p>
        </w:tc>
        <w:tc>
          <w:tcPr>
            <w:tcW w:w="954"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C60D6C">
            <w:pPr>
              <w:tabs>
                <w:tab w:val="clear" w:pos="851"/>
              </w:tabs>
              <w:spacing w:after="0"/>
              <w:ind w:left="0"/>
              <w:jc w:val="right"/>
              <w:rPr>
                <w:rFonts w:cs="Arial"/>
                <w:sz w:val="16"/>
                <w:szCs w:val="16"/>
              </w:rPr>
            </w:pPr>
            <w:r>
              <w:rPr>
                <w:rFonts w:cs="Arial"/>
                <w:sz w:val="16"/>
                <w:szCs w:val="16"/>
              </w:rPr>
              <w:t>98.67</w:t>
            </w:r>
            <w:r w:rsidR="00C60D6C" w:rsidRPr="00C60D6C">
              <w:rPr>
                <w:rFonts w:cs="Arial"/>
                <w:sz w:val="16"/>
                <w:szCs w:val="16"/>
              </w:rPr>
              <w:t xml:space="preserve"> </w:t>
            </w:r>
          </w:p>
        </w:tc>
      </w:tr>
      <w:tr w:rsidR="00C60D6C" w:rsidRPr="00C60D6C" w:rsidTr="00C60D6C">
        <w:trPr>
          <w:trHeight w:val="288"/>
        </w:trPr>
        <w:tc>
          <w:tcPr>
            <w:tcW w:w="2741"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left"/>
              <w:rPr>
                <w:rFonts w:cs="Arial"/>
                <w:bCs/>
                <w:sz w:val="16"/>
                <w:szCs w:val="16"/>
              </w:rPr>
            </w:pPr>
            <w:r w:rsidRPr="00C60D6C">
              <w:rPr>
                <w:rFonts w:cs="Arial"/>
                <w:bCs/>
                <w:sz w:val="16"/>
                <w:szCs w:val="16"/>
              </w:rPr>
              <w:t xml:space="preserve">Gearing – additional </w:t>
            </w:r>
            <w:r w:rsidR="005115F9">
              <w:rPr>
                <w:rFonts w:cs="Arial"/>
                <w:bCs/>
                <w:sz w:val="16"/>
                <w:szCs w:val="16"/>
              </w:rPr>
              <w:t>capital</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C60D6C" w:rsidP="0056593C">
            <w:pPr>
              <w:tabs>
                <w:tab w:val="clear" w:pos="851"/>
              </w:tabs>
              <w:spacing w:after="0"/>
              <w:ind w:left="0"/>
              <w:jc w:val="right"/>
              <w:rPr>
                <w:rFonts w:cs="Arial"/>
                <w:sz w:val="16"/>
                <w:szCs w:val="16"/>
              </w:rPr>
            </w:pPr>
            <w:r w:rsidRPr="00C60D6C">
              <w:rPr>
                <w:rFonts w:cs="Arial"/>
                <w:sz w:val="16"/>
                <w:szCs w:val="16"/>
              </w:rPr>
              <w:t>60.</w:t>
            </w:r>
            <w:r w:rsidR="0056593C">
              <w:rPr>
                <w:rFonts w:cs="Arial"/>
                <w:sz w:val="16"/>
                <w:szCs w:val="16"/>
              </w:rPr>
              <w:t>3</w:t>
            </w:r>
            <w:r w:rsidRPr="00C60D6C">
              <w:rPr>
                <w:rFonts w:cs="Arial"/>
                <w:sz w:val="16"/>
                <w:szCs w:val="16"/>
              </w:rPr>
              <w:t>%</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C60D6C" w:rsidP="0056593C">
            <w:pPr>
              <w:tabs>
                <w:tab w:val="clear" w:pos="851"/>
              </w:tabs>
              <w:spacing w:after="0"/>
              <w:ind w:left="0"/>
              <w:jc w:val="right"/>
              <w:rPr>
                <w:rFonts w:cs="Arial"/>
                <w:sz w:val="16"/>
                <w:szCs w:val="16"/>
              </w:rPr>
            </w:pPr>
            <w:r w:rsidRPr="00C60D6C">
              <w:rPr>
                <w:rFonts w:cs="Arial"/>
                <w:sz w:val="16"/>
                <w:szCs w:val="16"/>
              </w:rPr>
              <w:t>60.</w:t>
            </w:r>
            <w:r w:rsidR="0056593C">
              <w:rPr>
                <w:rFonts w:cs="Arial"/>
                <w:sz w:val="16"/>
                <w:szCs w:val="16"/>
              </w:rPr>
              <w:t>3</w:t>
            </w:r>
            <w:r w:rsidRPr="00C60D6C">
              <w:rPr>
                <w:rFonts w:cs="Arial"/>
                <w:sz w:val="16"/>
                <w:szCs w:val="16"/>
              </w:rPr>
              <w:t>%</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56593C">
            <w:pPr>
              <w:tabs>
                <w:tab w:val="clear" w:pos="851"/>
              </w:tabs>
              <w:spacing w:after="0"/>
              <w:ind w:left="0"/>
              <w:jc w:val="right"/>
              <w:rPr>
                <w:rFonts w:cs="Arial"/>
                <w:sz w:val="16"/>
                <w:szCs w:val="16"/>
              </w:rPr>
            </w:pPr>
            <w:r>
              <w:rPr>
                <w:rFonts w:cs="Arial"/>
                <w:sz w:val="16"/>
                <w:szCs w:val="16"/>
              </w:rPr>
              <w:t>60.</w:t>
            </w:r>
            <w:r w:rsidR="0056593C">
              <w:rPr>
                <w:rFonts w:cs="Arial"/>
                <w:sz w:val="16"/>
                <w:szCs w:val="16"/>
              </w:rPr>
              <w:t>2</w:t>
            </w:r>
            <w:r w:rsidR="00C60D6C" w:rsidRPr="00C60D6C">
              <w:rPr>
                <w:rFonts w:cs="Arial"/>
                <w:sz w:val="16"/>
                <w:szCs w:val="16"/>
              </w:rPr>
              <w:t>%</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56593C">
            <w:pPr>
              <w:tabs>
                <w:tab w:val="clear" w:pos="851"/>
              </w:tabs>
              <w:spacing w:after="0"/>
              <w:ind w:left="0"/>
              <w:jc w:val="right"/>
              <w:rPr>
                <w:rFonts w:cs="Arial"/>
                <w:sz w:val="16"/>
                <w:szCs w:val="16"/>
              </w:rPr>
            </w:pPr>
            <w:r>
              <w:rPr>
                <w:rFonts w:cs="Arial"/>
                <w:sz w:val="16"/>
                <w:szCs w:val="16"/>
              </w:rPr>
              <w:t>60.</w:t>
            </w:r>
            <w:r w:rsidR="0056593C">
              <w:rPr>
                <w:rFonts w:cs="Arial"/>
                <w:sz w:val="16"/>
                <w:szCs w:val="16"/>
              </w:rPr>
              <w:t>4</w:t>
            </w:r>
            <w:r w:rsidR="00C60D6C" w:rsidRPr="00C60D6C">
              <w:rPr>
                <w:rFonts w:cs="Arial"/>
                <w:sz w:val="16"/>
                <w:szCs w:val="16"/>
              </w:rPr>
              <w:t>%</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56593C">
            <w:pPr>
              <w:tabs>
                <w:tab w:val="clear" w:pos="851"/>
              </w:tabs>
              <w:spacing w:after="0"/>
              <w:ind w:left="0"/>
              <w:jc w:val="right"/>
              <w:rPr>
                <w:rFonts w:cs="Arial"/>
                <w:sz w:val="16"/>
                <w:szCs w:val="16"/>
              </w:rPr>
            </w:pPr>
            <w:r>
              <w:rPr>
                <w:rFonts w:cs="Arial"/>
                <w:sz w:val="16"/>
                <w:szCs w:val="16"/>
              </w:rPr>
              <w:t>60.</w:t>
            </w:r>
            <w:r w:rsidR="0056593C">
              <w:rPr>
                <w:rFonts w:cs="Arial"/>
                <w:sz w:val="16"/>
                <w:szCs w:val="16"/>
              </w:rPr>
              <w:t>8</w:t>
            </w:r>
            <w:r w:rsidR="00C60D6C" w:rsidRPr="00C60D6C">
              <w:rPr>
                <w:rFonts w:cs="Arial"/>
                <w:sz w:val="16"/>
                <w:szCs w:val="16"/>
              </w:rPr>
              <w:t>%</w:t>
            </w:r>
          </w:p>
        </w:tc>
        <w:tc>
          <w:tcPr>
            <w:tcW w:w="954"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56593C">
            <w:pPr>
              <w:tabs>
                <w:tab w:val="clear" w:pos="851"/>
              </w:tabs>
              <w:spacing w:after="0"/>
              <w:ind w:left="0"/>
              <w:jc w:val="right"/>
              <w:rPr>
                <w:rFonts w:cs="Arial"/>
                <w:sz w:val="16"/>
                <w:szCs w:val="16"/>
              </w:rPr>
            </w:pPr>
            <w:r>
              <w:rPr>
                <w:rFonts w:cs="Arial"/>
                <w:sz w:val="16"/>
                <w:szCs w:val="16"/>
              </w:rPr>
              <w:t>60.</w:t>
            </w:r>
            <w:r w:rsidR="0056593C">
              <w:rPr>
                <w:rFonts w:cs="Arial"/>
                <w:sz w:val="16"/>
                <w:szCs w:val="16"/>
              </w:rPr>
              <w:t>4</w:t>
            </w:r>
            <w:r w:rsidR="00C60D6C" w:rsidRPr="00C60D6C">
              <w:rPr>
                <w:rFonts w:cs="Arial"/>
                <w:sz w:val="16"/>
                <w:szCs w:val="16"/>
              </w:rPr>
              <w:t>%</w:t>
            </w:r>
          </w:p>
        </w:tc>
      </w:tr>
      <w:tr w:rsidR="00C60D6C" w:rsidRPr="00C60D6C" w:rsidTr="00C60D6C">
        <w:trPr>
          <w:trHeight w:val="288"/>
        </w:trPr>
        <w:tc>
          <w:tcPr>
            <w:tcW w:w="2741"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left"/>
              <w:rPr>
                <w:rFonts w:cs="Arial"/>
                <w:bCs/>
                <w:sz w:val="16"/>
                <w:szCs w:val="16"/>
              </w:rPr>
            </w:pPr>
            <w:r w:rsidRPr="00C60D6C">
              <w:rPr>
                <w:rFonts w:cs="Arial"/>
                <w:bCs/>
                <w:sz w:val="16"/>
                <w:szCs w:val="16"/>
              </w:rPr>
              <w:t>Moody’s ICR – NO PAYG adjustment</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C60D6C" w:rsidP="003477F1">
            <w:pPr>
              <w:tabs>
                <w:tab w:val="clear" w:pos="851"/>
              </w:tabs>
              <w:spacing w:after="0"/>
              <w:ind w:left="0"/>
              <w:jc w:val="right"/>
              <w:rPr>
                <w:rFonts w:cs="Arial"/>
                <w:sz w:val="16"/>
                <w:szCs w:val="16"/>
              </w:rPr>
            </w:pPr>
            <w:r w:rsidRPr="00C60D6C">
              <w:rPr>
                <w:rFonts w:cs="Arial"/>
                <w:sz w:val="16"/>
                <w:szCs w:val="16"/>
              </w:rPr>
              <w:t>1.5</w:t>
            </w:r>
            <w:r w:rsidR="0056593C">
              <w:rPr>
                <w:rFonts w:cs="Arial"/>
                <w:sz w:val="16"/>
                <w:szCs w:val="16"/>
              </w:rPr>
              <w:t>8</w:t>
            </w:r>
            <w:r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C60D6C" w:rsidP="0056593C">
            <w:pPr>
              <w:tabs>
                <w:tab w:val="clear" w:pos="851"/>
              </w:tabs>
              <w:spacing w:after="0"/>
              <w:ind w:left="0"/>
              <w:jc w:val="right"/>
              <w:rPr>
                <w:rFonts w:cs="Arial"/>
                <w:sz w:val="16"/>
                <w:szCs w:val="16"/>
              </w:rPr>
            </w:pPr>
            <w:r w:rsidRPr="00C60D6C">
              <w:rPr>
                <w:rFonts w:cs="Arial"/>
                <w:sz w:val="16"/>
                <w:szCs w:val="16"/>
              </w:rPr>
              <w:t>1</w:t>
            </w:r>
            <w:r w:rsidR="003477F1">
              <w:rPr>
                <w:rFonts w:cs="Arial"/>
                <w:sz w:val="16"/>
                <w:szCs w:val="16"/>
              </w:rPr>
              <w:t>.5</w:t>
            </w:r>
            <w:r w:rsidR="0056593C">
              <w:rPr>
                <w:rFonts w:cs="Arial"/>
                <w:sz w:val="16"/>
                <w:szCs w:val="16"/>
              </w:rPr>
              <w:t>0</w:t>
            </w:r>
            <w:r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C60D6C">
            <w:pPr>
              <w:tabs>
                <w:tab w:val="clear" w:pos="851"/>
              </w:tabs>
              <w:spacing w:after="0"/>
              <w:ind w:left="0"/>
              <w:jc w:val="right"/>
              <w:rPr>
                <w:rFonts w:cs="Arial"/>
                <w:sz w:val="16"/>
                <w:szCs w:val="16"/>
              </w:rPr>
            </w:pPr>
            <w:r>
              <w:rPr>
                <w:rFonts w:cs="Arial"/>
                <w:sz w:val="16"/>
                <w:szCs w:val="16"/>
              </w:rPr>
              <w:t>1.53</w:t>
            </w:r>
            <w:r w:rsidR="00C60D6C"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56593C">
            <w:pPr>
              <w:tabs>
                <w:tab w:val="clear" w:pos="851"/>
              </w:tabs>
              <w:spacing w:after="0"/>
              <w:ind w:left="0"/>
              <w:jc w:val="right"/>
              <w:rPr>
                <w:rFonts w:cs="Arial"/>
                <w:sz w:val="16"/>
                <w:szCs w:val="16"/>
              </w:rPr>
            </w:pPr>
            <w:r>
              <w:rPr>
                <w:rFonts w:cs="Arial"/>
                <w:sz w:val="16"/>
                <w:szCs w:val="16"/>
              </w:rPr>
              <w:t>1.4</w:t>
            </w:r>
            <w:r w:rsidR="0056593C">
              <w:rPr>
                <w:rFonts w:cs="Arial"/>
                <w:sz w:val="16"/>
                <w:szCs w:val="16"/>
              </w:rPr>
              <w:t>1</w:t>
            </w:r>
            <w:r w:rsidR="00C60D6C"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3477F1" w:rsidP="00C60D6C">
            <w:pPr>
              <w:tabs>
                <w:tab w:val="clear" w:pos="851"/>
              </w:tabs>
              <w:spacing w:after="0"/>
              <w:ind w:left="0"/>
              <w:jc w:val="right"/>
              <w:rPr>
                <w:rFonts w:cs="Arial"/>
                <w:sz w:val="16"/>
                <w:szCs w:val="16"/>
              </w:rPr>
            </w:pPr>
            <w:r>
              <w:rPr>
                <w:rFonts w:cs="Arial"/>
                <w:sz w:val="16"/>
                <w:szCs w:val="16"/>
              </w:rPr>
              <w:t>1.50</w:t>
            </w:r>
            <w:r w:rsidR="00C60D6C" w:rsidRPr="00C60D6C">
              <w:rPr>
                <w:rFonts w:cs="Arial"/>
                <w:sz w:val="16"/>
                <w:szCs w:val="16"/>
              </w:rPr>
              <w:t xml:space="preserve"> </w:t>
            </w:r>
          </w:p>
        </w:tc>
        <w:tc>
          <w:tcPr>
            <w:tcW w:w="954" w:type="dxa"/>
            <w:tcBorders>
              <w:top w:val="single" w:sz="4" w:space="0" w:color="auto"/>
              <w:left w:val="single" w:sz="4" w:space="0" w:color="auto"/>
              <w:bottom w:val="single" w:sz="4" w:space="0" w:color="auto"/>
              <w:right w:val="single" w:sz="4" w:space="0" w:color="auto"/>
            </w:tcBorders>
            <w:noWrap/>
            <w:hideMark/>
          </w:tcPr>
          <w:p w:rsidR="00C60D6C" w:rsidRPr="00C60D6C" w:rsidRDefault="00C60D6C" w:rsidP="0056593C">
            <w:pPr>
              <w:tabs>
                <w:tab w:val="clear" w:pos="851"/>
              </w:tabs>
              <w:spacing w:after="0"/>
              <w:ind w:left="0"/>
              <w:jc w:val="right"/>
              <w:rPr>
                <w:rFonts w:cs="Arial"/>
                <w:sz w:val="16"/>
                <w:szCs w:val="16"/>
              </w:rPr>
            </w:pPr>
            <w:r w:rsidRPr="00C60D6C">
              <w:rPr>
                <w:rFonts w:cs="Arial"/>
                <w:sz w:val="16"/>
                <w:szCs w:val="16"/>
              </w:rPr>
              <w:t>1.5</w:t>
            </w:r>
            <w:r w:rsidR="0056593C">
              <w:rPr>
                <w:rFonts w:cs="Arial"/>
                <w:sz w:val="16"/>
                <w:szCs w:val="16"/>
              </w:rPr>
              <w:t>0</w:t>
            </w:r>
            <w:r w:rsidRPr="00C60D6C">
              <w:rPr>
                <w:rFonts w:cs="Arial"/>
                <w:sz w:val="16"/>
                <w:szCs w:val="16"/>
              </w:rPr>
              <w:t xml:space="preserve"> </w:t>
            </w:r>
          </w:p>
        </w:tc>
      </w:tr>
      <w:tr w:rsidR="00C60D6C" w:rsidRPr="00C60D6C" w:rsidTr="00C60D6C">
        <w:trPr>
          <w:trHeight w:val="288"/>
        </w:trPr>
        <w:tc>
          <w:tcPr>
            <w:tcW w:w="2741" w:type="dxa"/>
            <w:tcBorders>
              <w:top w:val="single" w:sz="4" w:space="0" w:color="auto"/>
              <w:left w:val="single" w:sz="4" w:space="0" w:color="auto"/>
              <w:bottom w:val="single" w:sz="4" w:space="0" w:color="auto"/>
              <w:right w:val="single" w:sz="4" w:space="0" w:color="auto"/>
            </w:tcBorders>
            <w:noWrap/>
            <w:vAlign w:val="center"/>
            <w:hideMark/>
          </w:tcPr>
          <w:p w:rsidR="00C60D6C" w:rsidRPr="00C60D6C" w:rsidRDefault="00C60D6C" w:rsidP="00C60D6C">
            <w:pPr>
              <w:tabs>
                <w:tab w:val="clear" w:pos="851"/>
              </w:tabs>
              <w:spacing w:after="0"/>
              <w:ind w:left="0"/>
              <w:jc w:val="left"/>
              <w:rPr>
                <w:rFonts w:cs="Arial"/>
                <w:bCs/>
                <w:sz w:val="16"/>
                <w:szCs w:val="16"/>
              </w:rPr>
            </w:pPr>
            <w:r w:rsidRPr="00C60D6C">
              <w:rPr>
                <w:rFonts w:cs="Arial"/>
                <w:bCs/>
                <w:sz w:val="16"/>
                <w:szCs w:val="16"/>
              </w:rPr>
              <w:t>Moody’s ICR – With PAYG adjustment</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1.76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E34542" w:rsidP="0056593C">
            <w:pPr>
              <w:tabs>
                <w:tab w:val="clear" w:pos="851"/>
              </w:tabs>
              <w:spacing w:after="0"/>
              <w:ind w:left="0"/>
              <w:jc w:val="right"/>
              <w:rPr>
                <w:rFonts w:cs="Arial"/>
                <w:sz w:val="16"/>
                <w:szCs w:val="16"/>
              </w:rPr>
            </w:pPr>
            <w:r>
              <w:rPr>
                <w:rFonts w:cs="Arial"/>
                <w:sz w:val="16"/>
                <w:szCs w:val="16"/>
              </w:rPr>
              <w:t>1.6</w:t>
            </w:r>
            <w:r w:rsidR="0056593C">
              <w:rPr>
                <w:rFonts w:cs="Arial"/>
                <w:sz w:val="16"/>
                <w:szCs w:val="16"/>
              </w:rPr>
              <w:t>4</w:t>
            </w:r>
            <w:r w:rsidR="00C60D6C"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E34542" w:rsidP="00C60D6C">
            <w:pPr>
              <w:tabs>
                <w:tab w:val="clear" w:pos="851"/>
              </w:tabs>
              <w:spacing w:after="0"/>
              <w:ind w:left="0"/>
              <w:jc w:val="right"/>
              <w:rPr>
                <w:rFonts w:cs="Arial"/>
                <w:sz w:val="16"/>
                <w:szCs w:val="16"/>
              </w:rPr>
            </w:pPr>
            <w:r>
              <w:rPr>
                <w:rFonts w:cs="Arial"/>
                <w:sz w:val="16"/>
                <w:szCs w:val="16"/>
              </w:rPr>
              <w:t>1.67</w:t>
            </w:r>
            <w:r w:rsidR="00C60D6C"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E34542" w:rsidP="0056593C">
            <w:pPr>
              <w:tabs>
                <w:tab w:val="clear" w:pos="851"/>
              </w:tabs>
              <w:spacing w:after="0"/>
              <w:ind w:left="0"/>
              <w:jc w:val="right"/>
              <w:rPr>
                <w:rFonts w:cs="Arial"/>
                <w:sz w:val="16"/>
                <w:szCs w:val="16"/>
              </w:rPr>
            </w:pPr>
            <w:r>
              <w:rPr>
                <w:rFonts w:cs="Arial"/>
                <w:sz w:val="16"/>
                <w:szCs w:val="16"/>
              </w:rPr>
              <w:t>1.6</w:t>
            </w:r>
            <w:r w:rsidR="0056593C">
              <w:rPr>
                <w:rFonts w:cs="Arial"/>
                <w:sz w:val="16"/>
                <w:szCs w:val="16"/>
              </w:rPr>
              <w:t>6</w:t>
            </w:r>
            <w:r w:rsidR="00C60D6C" w:rsidRPr="00C60D6C">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hideMark/>
          </w:tcPr>
          <w:p w:rsidR="00C60D6C" w:rsidRPr="00C60D6C" w:rsidRDefault="00C60D6C" w:rsidP="00E34542">
            <w:pPr>
              <w:tabs>
                <w:tab w:val="clear" w:pos="851"/>
              </w:tabs>
              <w:spacing w:after="0"/>
              <w:ind w:left="0"/>
              <w:jc w:val="right"/>
              <w:rPr>
                <w:rFonts w:cs="Arial"/>
                <w:sz w:val="16"/>
                <w:szCs w:val="16"/>
              </w:rPr>
            </w:pPr>
            <w:r w:rsidRPr="00C60D6C">
              <w:rPr>
                <w:rFonts w:cs="Arial"/>
                <w:sz w:val="16"/>
                <w:szCs w:val="16"/>
              </w:rPr>
              <w:t>1.7</w:t>
            </w:r>
            <w:r w:rsidR="00E34542">
              <w:rPr>
                <w:rFonts w:cs="Arial"/>
                <w:sz w:val="16"/>
                <w:szCs w:val="16"/>
              </w:rPr>
              <w:t>5</w:t>
            </w:r>
            <w:r w:rsidRPr="00C60D6C">
              <w:rPr>
                <w:rFonts w:cs="Arial"/>
                <w:sz w:val="16"/>
                <w:szCs w:val="16"/>
              </w:rPr>
              <w:t xml:space="preserve"> </w:t>
            </w:r>
          </w:p>
        </w:tc>
        <w:tc>
          <w:tcPr>
            <w:tcW w:w="954" w:type="dxa"/>
            <w:tcBorders>
              <w:top w:val="single" w:sz="4" w:space="0" w:color="auto"/>
              <w:left w:val="single" w:sz="4" w:space="0" w:color="auto"/>
              <w:bottom w:val="single" w:sz="4" w:space="0" w:color="auto"/>
              <w:right w:val="single" w:sz="4" w:space="0" w:color="auto"/>
            </w:tcBorders>
            <w:noWrap/>
            <w:hideMark/>
          </w:tcPr>
          <w:p w:rsidR="00C60D6C" w:rsidRPr="00C60D6C" w:rsidRDefault="00C60D6C" w:rsidP="00C60D6C">
            <w:pPr>
              <w:tabs>
                <w:tab w:val="clear" w:pos="851"/>
              </w:tabs>
              <w:spacing w:after="0"/>
              <w:ind w:left="0"/>
              <w:jc w:val="right"/>
              <w:rPr>
                <w:rFonts w:cs="Arial"/>
                <w:sz w:val="16"/>
                <w:szCs w:val="16"/>
              </w:rPr>
            </w:pPr>
            <w:r w:rsidRPr="00C60D6C">
              <w:rPr>
                <w:rFonts w:cs="Arial"/>
                <w:sz w:val="16"/>
                <w:szCs w:val="16"/>
              </w:rPr>
              <w:t xml:space="preserve">1.70 </w:t>
            </w:r>
          </w:p>
        </w:tc>
      </w:tr>
    </w:tbl>
    <w:p w:rsidR="00246AD9" w:rsidRDefault="00246AD9" w:rsidP="0035083C">
      <w:pPr>
        <w:spacing w:after="0"/>
        <w:rPr>
          <w:rFonts w:cs="Arial"/>
        </w:rPr>
      </w:pPr>
    </w:p>
    <w:p w:rsidR="00C60D6C" w:rsidRDefault="00C60D6C" w:rsidP="00246AD9">
      <w:pPr>
        <w:rPr>
          <w:rFonts w:cs="Arial"/>
        </w:rPr>
      </w:pPr>
      <w:r>
        <w:rPr>
          <w:rFonts w:cs="Arial"/>
        </w:rPr>
        <w:t>These adjustments resulted in an overall basket of ratios supporting the targeted A3 rating in particular showing an adjusted ICR of 1.7 times in line with Moody’s methodology for the targeted rating of A3.  We have therefore concluded that our business is financeable on a notional basis.  We note that as Ofwat makes the assumption that the variation of PAYG rates reflects a legitimate tool to manage overall financeability we have assumed that this would be permitted in the Moody’s calculation of adjusted ICR.</w:t>
      </w:r>
    </w:p>
    <w:p w:rsidR="00212F4A" w:rsidRPr="00212F4A" w:rsidRDefault="00212F4A" w:rsidP="00212F4A">
      <w:pPr>
        <w:rPr>
          <w:rFonts w:cs="Arial"/>
        </w:rPr>
      </w:pPr>
      <w:r w:rsidRPr="00212F4A">
        <w:rPr>
          <w:rFonts w:cs="Arial"/>
        </w:rPr>
        <w:t>In line with Ofwat’s approach to financeability we have also considered the level of headroom on key ratios in relation to each of the separate price controls (and in the case of the retail price control whether the control is sustainable in cash flow terms.  We would not expect each of the separate controls to be capable of supporting an A3 rating independently.</w:t>
      </w:r>
      <w:r w:rsidR="00AD3CFA">
        <w:rPr>
          <w:rFonts w:cs="Arial"/>
        </w:rPr>
        <w:t xml:space="preserve">  However, as the rating agencies perform their assessment on the overall business, we feel that our approach is consistent with their methodology.</w:t>
      </w:r>
    </w:p>
    <w:p w:rsidR="00212F4A" w:rsidRPr="00212F4A" w:rsidRDefault="00212F4A" w:rsidP="00212F4A">
      <w:pPr>
        <w:rPr>
          <w:rFonts w:cs="Arial"/>
        </w:rPr>
      </w:pPr>
      <w:r w:rsidRPr="00212F4A">
        <w:rPr>
          <w:rFonts w:cs="Arial"/>
        </w:rPr>
        <w:t xml:space="preserve">We have included in </w:t>
      </w:r>
      <w:r w:rsidRPr="00055FFF">
        <w:rPr>
          <w:rFonts w:cs="Arial"/>
        </w:rPr>
        <w:t>Appendix 14.</w:t>
      </w:r>
      <w:r w:rsidR="00055FFF" w:rsidRPr="00055FFF">
        <w:rPr>
          <w:rFonts w:cs="Arial"/>
        </w:rPr>
        <w:t>1</w:t>
      </w:r>
      <w:r w:rsidRPr="00212F4A">
        <w:rPr>
          <w:rFonts w:cs="Arial"/>
        </w:rPr>
        <w:t xml:space="preserve"> a copy of the Ofwat model in the notional structure that we have used to assess financeability.  We reviewed the separate price controls as part of the process set out above</w:t>
      </w:r>
      <w:r w:rsidR="00AD3CFA">
        <w:rPr>
          <w:rFonts w:cs="Arial"/>
        </w:rPr>
        <w:t xml:space="preserve"> and </w:t>
      </w:r>
      <w:r w:rsidRPr="00212F4A">
        <w:rPr>
          <w:rFonts w:cs="Arial"/>
        </w:rPr>
        <w:t xml:space="preserve">we have used the model override functionality to allocate all new </w:t>
      </w:r>
      <w:r w:rsidR="005115F9">
        <w:rPr>
          <w:rFonts w:cs="Arial"/>
        </w:rPr>
        <w:t>capital</w:t>
      </w:r>
      <w:r w:rsidRPr="00212F4A">
        <w:rPr>
          <w:rFonts w:cs="Arial"/>
        </w:rPr>
        <w:t xml:space="preserve"> to the water resources price control.  This is because new </w:t>
      </w:r>
      <w:r w:rsidR="005115F9">
        <w:rPr>
          <w:rFonts w:cs="Arial"/>
        </w:rPr>
        <w:t>capital</w:t>
      </w:r>
      <w:r w:rsidRPr="00212F4A">
        <w:rPr>
          <w:rFonts w:cs="Arial"/>
        </w:rPr>
        <w:t xml:space="preserve"> is being </w:t>
      </w:r>
      <w:r w:rsidR="00AD3CFA">
        <w:rPr>
          <w:rFonts w:cs="Arial"/>
        </w:rPr>
        <w:t xml:space="preserve">injected </w:t>
      </w:r>
      <w:r w:rsidRPr="00212F4A">
        <w:rPr>
          <w:rFonts w:cs="Arial"/>
        </w:rPr>
        <w:t>to fund the development of HTWSR.</w:t>
      </w:r>
    </w:p>
    <w:p w:rsidR="00212F4A" w:rsidRPr="00212F4A" w:rsidRDefault="00212F4A" w:rsidP="00212F4A">
      <w:pPr>
        <w:rPr>
          <w:rFonts w:cs="Arial"/>
        </w:rPr>
      </w:pPr>
      <w:r w:rsidRPr="00212F4A">
        <w:rPr>
          <w:rFonts w:cs="Arial"/>
        </w:rPr>
        <w:t>The analysis indicates that each of the wholesale price controls showed sufficiently strong metrics to remain independently financeable.  Summarised below are a range of the key metrics;</w:t>
      </w:r>
    </w:p>
    <w:tbl>
      <w:tblPr>
        <w:tblStyle w:val="TableGrid"/>
        <w:tblW w:w="0" w:type="auto"/>
        <w:tblInd w:w="846" w:type="dxa"/>
        <w:tblLook w:val="04A0" w:firstRow="1" w:lastRow="0" w:firstColumn="1" w:lastColumn="0" w:noHBand="0" w:noVBand="1"/>
      </w:tblPr>
      <w:tblGrid>
        <w:gridCol w:w="1695"/>
        <w:gridCol w:w="1633"/>
        <w:gridCol w:w="1633"/>
        <w:gridCol w:w="3821"/>
      </w:tblGrid>
      <w:tr w:rsidR="00212F4A" w:rsidRPr="00212F4A" w:rsidTr="00FE58B3">
        <w:tc>
          <w:tcPr>
            <w:tcW w:w="1695" w:type="dxa"/>
            <w:shd w:val="clear" w:color="auto" w:fill="2E74B5" w:themeFill="accent1" w:themeFillShade="BF"/>
          </w:tcPr>
          <w:p w:rsidR="00212F4A" w:rsidRPr="00212F4A" w:rsidRDefault="00212F4A" w:rsidP="00212F4A">
            <w:pPr>
              <w:spacing w:after="0"/>
              <w:ind w:left="0"/>
              <w:rPr>
                <w:rFonts w:cs="Arial"/>
                <w:b/>
                <w:color w:val="FFFFFF" w:themeColor="background1"/>
                <w:sz w:val="16"/>
                <w:szCs w:val="16"/>
              </w:rPr>
            </w:pPr>
            <w:r w:rsidRPr="00212F4A">
              <w:rPr>
                <w:rFonts w:cs="Arial"/>
                <w:b/>
                <w:color w:val="FFFFFF" w:themeColor="background1"/>
                <w:sz w:val="16"/>
                <w:szCs w:val="16"/>
              </w:rPr>
              <w:t>Average ratio</w:t>
            </w:r>
          </w:p>
        </w:tc>
        <w:tc>
          <w:tcPr>
            <w:tcW w:w="1633" w:type="dxa"/>
            <w:shd w:val="clear" w:color="auto" w:fill="2E74B5" w:themeFill="accent1" w:themeFillShade="BF"/>
          </w:tcPr>
          <w:p w:rsidR="00212F4A" w:rsidRPr="00212F4A" w:rsidRDefault="00212F4A" w:rsidP="00212F4A">
            <w:pPr>
              <w:spacing w:after="0"/>
              <w:ind w:left="0"/>
              <w:rPr>
                <w:rFonts w:cs="Arial"/>
                <w:b/>
                <w:color w:val="FFFFFF" w:themeColor="background1"/>
                <w:sz w:val="16"/>
                <w:szCs w:val="16"/>
              </w:rPr>
            </w:pPr>
            <w:r w:rsidRPr="00212F4A">
              <w:rPr>
                <w:rFonts w:cs="Arial"/>
                <w:b/>
                <w:color w:val="FFFFFF" w:themeColor="background1"/>
                <w:sz w:val="16"/>
                <w:szCs w:val="16"/>
              </w:rPr>
              <w:t>Network +</w:t>
            </w:r>
          </w:p>
        </w:tc>
        <w:tc>
          <w:tcPr>
            <w:tcW w:w="1633" w:type="dxa"/>
            <w:shd w:val="clear" w:color="auto" w:fill="2E74B5" w:themeFill="accent1" w:themeFillShade="BF"/>
          </w:tcPr>
          <w:p w:rsidR="00212F4A" w:rsidRPr="00212F4A" w:rsidRDefault="00212F4A" w:rsidP="00212F4A">
            <w:pPr>
              <w:spacing w:after="0"/>
              <w:ind w:left="0"/>
              <w:rPr>
                <w:rFonts w:cs="Arial"/>
                <w:b/>
                <w:color w:val="FFFFFF" w:themeColor="background1"/>
                <w:sz w:val="16"/>
                <w:szCs w:val="16"/>
              </w:rPr>
            </w:pPr>
            <w:r w:rsidRPr="00212F4A">
              <w:rPr>
                <w:rFonts w:cs="Arial"/>
                <w:b/>
                <w:color w:val="FFFFFF" w:themeColor="background1"/>
                <w:sz w:val="16"/>
                <w:szCs w:val="16"/>
              </w:rPr>
              <w:t>Water Resources</w:t>
            </w:r>
          </w:p>
        </w:tc>
        <w:tc>
          <w:tcPr>
            <w:tcW w:w="3821" w:type="dxa"/>
            <w:shd w:val="clear" w:color="auto" w:fill="2E74B5" w:themeFill="accent1" w:themeFillShade="BF"/>
          </w:tcPr>
          <w:p w:rsidR="00212F4A" w:rsidRPr="00212F4A" w:rsidRDefault="00212F4A" w:rsidP="00212F4A">
            <w:pPr>
              <w:spacing w:after="0"/>
              <w:ind w:left="0"/>
              <w:rPr>
                <w:rFonts w:cs="Arial"/>
                <w:b/>
                <w:color w:val="FFFFFF" w:themeColor="background1"/>
                <w:sz w:val="16"/>
                <w:szCs w:val="16"/>
              </w:rPr>
            </w:pPr>
            <w:r w:rsidRPr="00212F4A">
              <w:rPr>
                <w:rFonts w:cs="Arial"/>
                <w:b/>
                <w:color w:val="FFFFFF" w:themeColor="background1"/>
                <w:sz w:val="16"/>
                <w:szCs w:val="16"/>
              </w:rPr>
              <w:t>Comment on WR position</w:t>
            </w:r>
          </w:p>
        </w:tc>
      </w:tr>
      <w:tr w:rsidR="00212F4A" w:rsidRPr="00212F4A" w:rsidTr="00FE58B3">
        <w:tc>
          <w:tcPr>
            <w:tcW w:w="1695" w:type="dxa"/>
          </w:tcPr>
          <w:p w:rsidR="00212F4A" w:rsidRPr="00212F4A" w:rsidRDefault="00212F4A" w:rsidP="00212F4A">
            <w:pPr>
              <w:spacing w:after="0"/>
              <w:ind w:left="0"/>
              <w:jc w:val="left"/>
              <w:rPr>
                <w:rFonts w:cs="Arial"/>
                <w:sz w:val="16"/>
                <w:szCs w:val="16"/>
              </w:rPr>
            </w:pPr>
            <w:r w:rsidRPr="00212F4A">
              <w:rPr>
                <w:rFonts w:cs="Arial"/>
                <w:sz w:val="16"/>
                <w:szCs w:val="16"/>
              </w:rPr>
              <w:t>Funds from operations</w:t>
            </w:r>
          </w:p>
        </w:tc>
        <w:tc>
          <w:tcPr>
            <w:tcW w:w="1633" w:type="dxa"/>
          </w:tcPr>
          <w:p w:rsidR="00212F4A" w:rsidRPr="00212F4A" w:rsidRDefault="00212F4A" w:rsidP="00FE58B3">
            <w:pPr>
              <w:tabs>
                <w:tab w:val="clear" w:pos="851"/>
              </w:tabs>
              <w:spacing w:after="0"/>
              <w:ind w:left="181"/>
              <w:rPr>
                <w:rFonts w:cs="Arial"/>
                <w:sz w:val="16"/>
                <w:szCs w:val="16"/>
              </w:rPr>
            </w:pPr>
            <w:r w:rsidRPr="00212F4A">
              <w:rPr>
                <w:rFonts w:cs="Arial"/>
                <w:sz w:val="16"/>
                <w:szCs w:val="16"/>
              </w:rPr>
              <w:t>Positive</w:t>
            </w:r>
          </w:p>
        </w:tc>
        <w:tc>
          <w:tcPr>
            <w:tcW w:w="1633" w:type="dxa"/>
          </w:tcPr>
          <w:p w:rsidR="00212F4A" w:rsidRPr="00212F4A" w:rsidRDefault="00212F4A" w:rsidP="00FE58B3">
            <w:pPr>
              <w:tabs>
                <w:tab w:val="clear" w:pos="851"/>
              </w:tabs>
              <w:spacing w:after="0"/>
              <w:ind w:left="114"/>
              <w:rPr>
                <w:rFonts w:cs="Arial"/>
                <w:sz w:val="16"/>
                <w:szCs w:val="16"/>
              </w:rPr>
            </w:pPr>
            <w:r w:rsidRPr="00212F4A">
              <w:rPr>
                <w:rFonts w:cs="Arial"/>
                <w:sz w:val="16"/>
                <w:szCs w:val="16"/>
              </w:rPr>
              <w:t>Positive</w:t>
            </w:r>
          </w:p>
        </w:tc>
        <w:tc>
          <w:tcPr>
            <w:tcW w:w="3821" w:type="dxa"/>
          </w:tcPr>
          <w:p w:rsidR="00212F4A" w:rsidRPr="00212F4A" w:rsidRDefault="00212F4A" w:rsidP="00E34542">
            <w:pPr>
              <w:spacing w:after="0"/>
              <w:ind w:left="0"/>
              <w:rPr>
                <w:rFonts w:cs="Arial"/>
                <w:sz w:val="16"/>
                <w:szCs w:val="16"/>
              </w:rPr>
            </w:pPr>
          </w:p>
        </w:tc>
      </w:tr>
      <w:tr w:rsidR="00212F4A" w:rsidRPr="00212F4A" w:rsidTr="00FE58B3">
        <w:tc>
          <w:tcPr>
            <w:tcW w:w="1695" w:type="dxa"/>
          </w:tcPr>
          <w:p w:rsidR="00212F4A" w:rsidRPr="00212F4A" w:rsidRDefault="00212F4A" w:rsidP="00212F4A">
            <w:pPr>
              <w:spacing w:after="0"/>
              <w:ind w:left="0"/>
              <w:rPr>
                <w:rFonts w:cs="Arial"/>
                <w:sz w:val="16"/>
                <w:szCs w:val="16"/>
              </w:rPr>
            </w:pPr>
            <w:r w:rsidRPr="00212F4A">
              <w:rPr>
                <w:rFonts w:cs="Arial"/>
                <w:sz w:val="16"/>
                <w:szCs w:val="16"/>
              </w:rPr>
              <w:t>Retained cash flow: Net debt</w:t>
            </w:r>
          </w:p>
        </w:tc>
        <w:tc>
          <w:tcPr>
            <w:tcW w:w="1633" w:type="dxa"/>
          </w:tcPr>
          <w:p w:rsidR="00212F4A" w:rsidRPr="00212F4A" w:rsidRDefault="00212F4A" w:rsidP="00FE58B3">
            <w:pPr>
              <w:tabs>
                <w:tab w:val="clear" w:pos="851"/>
              </w:tabs>
              <w:spacing w:after="0"/>
              <w:ind w:left="181"/>
              <w:rPr>
                <w:rFonts w:cs="Arial"/>
                <w:sz w:val="16"/>
                <w:szCs w:val="16"/>
              </w:rPr>
            </w:pPr>
            <w:r w:rsidRPr="00212F4A">
              <w:rPr>
                <w:rFonts w:cs="Arial"/>
                <w:sz w:val="16"/>
                <w:szCs w:val="16"/>
              </w:rPr>
              <w:t>Positive</w:t>
            </w:r>
          </w:p>
        </w:tc>
        <w:tc>
          <w:tcPr>
            <w:tcW w:w="1633" w:type="dxa"/>
          </w:tcPr>
          <w:p w:rsidR="00212F4A" w:rsidRPr="00212F4A" w:rsidRDefault="00212F4A" w:rsidP="00FE58B3">
            <w:pPr>
              <w:tabs>
                <w:tab w:val="clear" w:pos="851"/>
              </w:tabs>
              <w:spacing w:after="0"/>
              <w:ind w:left="114"/>
              <w:rPr>
                <w:rFonts w:cs="Arial"/>
                <w:sz w:val="16"/>
                <w:szCs w:val="16"/>
              </w:rPr>
            </w:pPr>
            <w:r w:rsidRPr="00212F4A">
              <w:rPr>
                <w:rFonts w:cs="Arial"/>
                <w:sz w:val="16"/>
                <w:szCs w:val="16"/>
              </w:rPr>
              <w:t>Positive</w:t>
            </w:r>
          </w:p>
        </w:tc>
        <w:tc>
          <w:tcPr>
            <w:tcW w:w="3821" w:type="dxa"/>
          </w:tcPr>
          <w:p w:rsidR="00212F4A" w:rsidRPr="00212F4A" w:rsidRDefault="00212F4A" w:rsidP="00E34542">
            <w:pPr>
              <w:spacing w:after="0"/>
              <w:ind w:left="0"/>
              <w:rPr>
                <w:rFonts w:cs="Arial"/>
                <w:sz w:val="16"/>
                <w:szCs w:val="16"/>
              </w:rPr>
            </w:pPr>
          </w:p>
        </w:tc>
      </w:tr>
      <w:tr w:rsidR="00212F4A" w:rsidRPr="00212F4A" w:rsidTr="00FE58B3">
        <w:tc>
          <w:tcPr>
            <w:tcW w:w="1695" w:type="dxa"/>
          </w:tcPr>
          <w:p w:rsidR="00212F4A" w:rsidRPr="00212F4A" w:rsidRDefault="00212F4A" w:rsidP="00212F4A">
            <w:pPr>
              <w:spacing w:after="0"/>
              <w:ind w:left="0"/>
              <w:rPr>
                <w:rFonts w:cs="Arial"/>
                <w:sz w:val="16"/>
                <w:szCs w:val="16"/>
              </w:rPr>
            </w:pPr>
            <w:r w:rsidRPr="00212F4A">
              <w:rPr>
                <w:rFonts w:cs="Arial"/>
                <w:sz w:val="16"/>
                <w:szCs w:val="16"/>
              </w:rPr>
              <w:t>Gearing</w:t>
            </w:r>
          </w:p>
        </w:tc>
        <w:tc>
          <w:tcPr>
            <w:tcW w:w="1633" w:type="dxa"/>
          </w:tcPr>
          <w:p w:rsidR="00212F4A" w:rsidRPr="00212F4A" w:rsidRDefault="00212F4A" w:rsidP="00FE58B3">
            <w:pPr>
              <w:tabs>
                <w:tab w:val="clear" w:pos="851"/>
              </w:tabs>
              <w:spacing w:after="0"/>
              <w:ind w:left="181"/>
              <w:rPr>
                <w:rFonts w:cs="Arial"/>
                <w:sz w:val="16"/>
                <w:szCs w:val="16"/>
              </w:rPr>
            </w:pPr>
            <w:r w:rsidRPr="00212F4A">
              <w:rPr>
                <w:rFonts w:cs="Arial"/>
                <w:sz w:val="16"/>
                <w:szCs w:val="16"/>
              </w:rPr>
              <w:t>65%</w:t>
            </w:r>
          </w:p>
        </w:tc>
        <w:tc>
          <w:tcPr>
            <w:tcW w:w="1633" w:type="dxa"/>
          </w:tcPr>
          <w:p w:rsidR="00212F4A" w:rsidRPr="00212F4A" w:rsidRDefault="00E34542" w:rsidP="00FE58B3">
            <w:pPr>
              <w:tabs>
                <w:tab w:val="clear" w:pos="851"/>
              </w:tabs>
              <w:spacing w:after="0"/>
              <w:ind w:left="114"/>
              <w:rPr>
                <w:rFonts w:cs="Arial"/>
                <w:sz w:val="16"/>
                <w:szCs w:val="16"/>
              </w:rPr>
            </w:pPr>
            <w:r>
              <w:rPr>
                <w:rFonts w:cs="Arial"/>
                <w:sz w:val="16"/>
                <w:szCs w:val="16"/>
              </w:rPr>
              <w:t>46</w:t>
            </w:r>
            <w:r w:rsidR="00212F4A" w:rsidRPr="00212F4A">
              <w:rPr>
                <w:rFonts w:cs="Arial"/>
                <w:sz w:val="16"/>
                <w:szCs w:val="16"/>
              </w:rPr>
              <w:t>%</w:t>
            </w:r>
          </w:p>
        </w:tc>
        <w:tc>
          <w:tcPr>
            <w:tcW w:w="3821" w:type="dxa"/>
          </w:tcPr>
          <w:p w:rsidR="00212F4A" w:rsidRPr="00212F4A" w:rsidRDefault="00212F4A" w:rsidP="00E34542">
            <w:pPr>
              <w:spacing w:after="0"/>
              <w:ind w:left="0"/>
              <w:rPr>
                <w:rFonts w:cs="Arial"/>
                <w:sz w:val="16"/>
                <w:szCs w:val="16"/>
              </w:rPr>
            </w:pPr>
            <w:r w:rsidRPr="00212F4A">
              <w:rPr>
                <w:rFonts w:cs="Arial"/>
                <w:sz w:val="16"/>
                <w:szCs w:val="16"/>
              </w:rPr>
              <w:t xml:space="preserve">Driven by front loaded </w:t>
            </w:r>
            <w:r w:rsidR="005115F9">
              <w:rPr>
                <w:rFonts w:cs="Arial"/>
                <w:sz w:val="16"/>
                <w:szCs w:val="16"/>
              </w:rPr>
              <w:t>capital</w:t>
            </w:r>
            <w:r w:rsidRPr="00212F4A">
              <w:rPr>
                <w:rFonts w:cs="Arial"/>
                <w:sz w:val="16"/>
                <w:szCs w:val="16"/>
              </w:rPr>
              <w:t xml:space="preserve"> for HTWSR investment</w:t>
            </w:r>
          </w:p>
        </w:tc>
      </w:tr>
      <w:tr w:rsidR="00212F4A" w:rsidRPr="00212F4A" w:rsidTr="00FE58B3">
        <w:tc>
          <w:tcPr>
            <w:tcW w:w="1695" w:type="dxa"/>
          </w:tcPr>
          <w:p w:rsidR="00212F4A" w:rsidRPr="00212F4A" w:rsidRDefault="00212F4A" w:rsidP="00212F4A">
            <w:pPr>
              <w:spacing w:after="0"/>
              <w:ind w:left="0"/>
              <w:rPr>
                <w:rFonts w:cs="Arial"/>
                <w:sz w:val="16"/>
                <w:szCs w:val="16"/>
              </w:rPr>
            </w:pPr>
            <w:r w:rsidRPr="00212F4A">
              <w:rPr>
                <w:rFonts w:cs="Arial"/>
                <w:sz w:val="16"/>
                <w:szCs w:val="16"/>
              </w:rPr>
              <w:t>Ofwat AICR</w:t>
            </w:r>
          </w:p>
        </w:tc>
        <w:tc>
          <w:tcPr>
            <w:tcW w:w="1633" w:type="dxa"/>
          </w:tcPr>
          <w:p w:rsidR="00212F4A" w:rsidRPr="00212F4A" w:rsidRDefault="00E34542" w:rsidP="00FE58B3">
            <w:pPr>
              <w:tabs>
                <w:tab w:val="clear" w:pos="851"/>
              </w:tabs>
              <w:spacing w:after="0"/>
              <w:ind w:left="181"/>
              <w:rPr>
                <w:rFonts w:cs="Arial"/>
                <w:sz w:val="16"/>
                <w:szCs w:val="16"/>
              </w:rPr>
            </w:pPr>
            <w:r>
              <w:rPr>
                <w:rFonts w:cs="Arial"/>
                <w:sz w:val="16"/>
                <w:szCs w:val="16"/>
              </w:rPr>
              <w:t>1.9</w:t>
            </w:r>
            <w:r w:rsidR="00212F4A" w:rsidRPr="00212F4A">
              <w:rPr>
                <w:rFonts w:cs="Arial"/>
                <w:sz w:val="16"/>
                <w:szCs w:val="16"/>
              </w:rPr>
              <w:t>%</w:t>
            </w:r>
          </w:p>
        </w:tc>
        <w:tc>
          <w:tcPr>
            <w:tcW w:w="1633" w:type="dxa"/>
          </w:tcPr>
          <w:p w:rsidR="00212F4A" w:rsidRPr="00212F4A" w:rsidRDefault="00E34542" w:rsidP="00FE58B3">
            <w:pPr>
              <w:tabs>
                <w:tab w:val="clear" w:pos="851"/>
              </w:tabs>
              <w:spacing w:after="0"/>
              <w:ind w:left="114"/>
              <w:rPr>
                <w:rFonts w:cs="Arial"/>
                <w:sz w:val="16"/>
                <w:szCs w:val="16"/>
              </w:rPr>
            </w:pPr>
            <w:r>
              <w:rPr>
                <w:rFonts w:cs="Arial"/>
                <w:sz w:val="16"/>
                <w:szCs w:val="16"/>
              </w:rPr>
              <w:t>1.8</w:t>
            </w:r>
            <w:r w:rsidR="00212F4A" w:rsidRPr="00212F4A">
              <w:rPr>
                <w:rFonts w:cs="Arial"/>
                <w:sz w:val="16"/>
                <w:szCs w:val="16"/>
              </w:rPr>
              <w:t>%</w:t>
            </w:r>
          </w:p>
        </w:tc>
        <w:tc>
          <w:tcPr>
            <w:tcW w:w="3821" w:type="dxa"/>
          </w:tcPr>
          <w:p w:rsidR="00212F4A" w:rsidRPr="00212F4A" w:rsidRDefault="00212F4A" w:rsidP="00E34542">
            <w:pPr>
              <w:spacing w:after="0"/>
              <w:ind w:left="0"/>
              <w:rPr>
                <w:rFonts w:cs="Arial"/>
                <w:sz w:val="16"/>
                <w:szCs w:val="16"/>
              </w:rPr>
            </w:pPr>
          </w:p>
        </w:tc>
      </w:tr>
      <w:tr w:rsidR="00212F4A" w:rsidRPr="00212F4A" w:rsidTr="00FE58B3">
        <w:tc>
          <w:tcPr>
            <w:tcW w:w="1695" w:type="dxa"/>
          </w:tcPr>
          <w:p w:rsidR="00212F4A" w:rsidRPr="00212F4A" w:rsidRDefault="00212F4A" w:rsidP="00212F4A">
            <w:pPr>
              <w:spacing w:after="0"/>
              <w:ind w:left="0"/>
              <w:rPr>
                <w:rFonts w:cs="Arial"/>
                <w:sz w:val="16"/>
                <w:szCs w:val="16"/>
              </w:rPr>
            </w:pPr>
            <w:r w:rsidRPr="00212F4A">
              <w:rPr>
                <w:rFonts w:cs="Arial"/>
                <w:sz w:val="16"/>
                <w:szCs w:val="16"/>
              </w:rPr>
              <w:t>Ofwat FFO; Net Debt</w:t>
            </w:r>
          </w:p>
        </w:tc>
        <w:tc>
          <w:tcPr>
            <w:tcW w:w="1633" w:type="dxa"/>
          </w:tcPr>
          <w:p w:rsidR="00212F4A" w:rsidRPr="00212F4A" w:rsidRDefault="00212F4A" w:rsidP="00FE58B3">
            <w:pPr>
              <w:tabs>
                <w:tab w:val="clear" w:pos="851"/>
              </w:tabs>
              <w:spacing w:after="0"/>
              <w:ind w:left="181"/>
              <w:rPr>
                <w:rFonts w:cs="Arial"/>
                <w:sz w:val="16"/>
                <w:szCs w:val="16"/>
              </w:rPr>
            </w:pPr>
            <w:r w:rsidRPr="00212F4A">
              <w:rPr>
                <w:rFonts w:cs="Arial"/>
                <w:sz w:val="16"/>
                <w:szCs w:val="16"/>
              </w:rPr>
              <w:t>7.9%</w:t>
            </w:r>
          </w:p>
        </w:tc>
        <w:tc>
          <w:tcPr>
            <w:tcW w:w="1633" w:type="dxa"/>
          </w:tcPr>
          <w:p w:rsidR="00212F4A" w:rsidRPr="00212F4A" w:rsidRDefault="00E34542" w:rsidP="00FE58B3">
            <w:pPr>
              <w:tabs>
                <w:tab w:val="clear" w:pos="851"/>
              </w:tabs>
              <w:spacing w:after="0"/>
              <w:ind w:left="114"/>
              <w:rPr>
                <w:rFonts w:cs="Arial"/>
                <w:sz w:val="16"/>
                <w:szCs w:val="16"/>
              </w:rPr>
            </w:pPr>
            <w:r>
              <w:rPr>
                <w:rFonts w:cs="Arial"/>
                <w:sz w:val="16"/>
                <w:szCs w:val="16"/>
              </w:rPr>
              <w:t>1</w:t>
            </w:r>
            <w:r w:rsidR="00FE58B3">
              <w:rPr>
                <w:rFonts w:cs="Arial"/>
                <w:sz w:val="16"/>
                <w:szCs w:val="16"/>
              </w:rPr>
              <w:t>1</w:t>
            </w:r>
            <w:r>
              <w:rPr>
                <w:rFonts w:cs="Arial"/>
                <w:sz w:val="16"/>
                <w:szCs w:val="16"/>
              </w:rPr>
              <w:t>.8</w:t>
            </w:r>
            <w:r w:rsidR="00212F4A" w:rsidRPr="00212F4A">
              <w:rPr>
                <w:rFonts w:cs="Arial"/>
                <w:sz w:val="16"/>
                <w:szCs w:val="16"/>
              </w:rPr>
              <w:t>%</w:t>
            </w:r>
          </w:p>
        </w:tc>
        <w:tc>
          <w:tcPr>
            <w:tcW w:w="3821" w:type="dxa"/>
          </w:tcPr>
          <w:p w:rsidR="00212F4A" w:rsidRPr="00212F4A" w:rsidRDefault="00212F4A" w:rsidP="00E34542">
            <w:pPr>
              <w:spacing w:after="0"/>
              <w:ind w:left="0"/>
              <w:rPr>
                <w:rFonts w:cs="Arial"/>
                <w:sz w:val="16"/>
                <w:szCs w:val="16"/>
              </w:rPr>
            </w:pPr>
            <w:r w:rsidRPr="00212F4A">
              <w:rPr>
                <w:rFonts w:cs="Arial"/>
                <w:sz w:val="16"/>
                <w:szCs w:val="16"/>
              </w:rPr>
              <w:t xml:space="preserve">Driven by </w:t>
            </w:r>
            <w:r w:rsidR="005115F9">
              <w:rPr>
                <w:rFonts w:cs="Arial"/>
                <w:sz w:val="16"/>
                <w:szCs w:val="16"/>
              </w:rPr>
              <w:t>capital</w:t>
            </w:r>
            <w:r w:rsidRPr="00212F4A">
              <w:rPr>
                <w:rFonts w:cs="Arial"/>
                <w:sz w:val="16"/>
                <w:szCs w:val="16"/>
              </w:rPr>
              <w:t xml:space="preserve"> injections</w:t>
            </w:r>
          </w:p>
        </w:tc>
      </w:tr>
      <w:tr w:rsidR="00212F4A" w:rsidRPr="00212F4A" w:rsidTr="00FE58B3">
        <w:tc>
          <w:tcPr>
            <w:tcW w:w="1695" w:type="dxa"/>
          </w:tcPr>
          <w:p w:rsidR="00212F4A" w:rsidRPr="00212F4A" w:rsidRDefault="00212F4A" w:rsidP="0056593C">
            <w:pPr>
              <w:spacing w:after="0"/>
              <w:ind w:left="0"/>
              <w:rPr>
                <w:rFonts w:cs="Arial"/>
                <w:sz w:val="16"/>
                <w:szCs w:val="16"/>
              </w:rPr>
            </w:pPr>
            <w:r w:rsidRPr="00212F4A">
              <w:rPr>
                <w:rFonts w:cs="Arial"/>
                <w:sz w:val="16"/>
                <w:szCs w:val="16"/>
              </w:rPr>
              <w:t>Ro</w:t>
            </w:r>
            <w:r w:rsidR="0056593C">
              <w:rPr>
                <w:rFonts w:cs="Arial"/>
                <w:sz w:val="16"/>
                <w:szCs w:val="16"/>
              </w:rPr>
              <w:t>R</w:t>
            </w:r>
            <w:r w:rsidRPr="00212F4A">
              <w:rPr>
                <w:rFonts w:cs="Arial"/>
                <w:sz w:val="16"/>
                <w:szCs w:val="16"/>
              </w:rPr>
              <w:t>E</w:t>
            </w:r>
          </w:p>
        </w:tc>
        <w:tc>
          <w:tcPr>
            <w:tcW w:w="1633" w:type="dxa"/>
          </w:tcPr>
          <w:p w:rsidR="00212F4A" w:rsidRPr="00212F4A" w:rsidRDefault="00212F4A" w:rsidP="00FE58B3">
            <w:pPr>
              <w:tabs>
                <w:tab w:val="clear" w:pos="851"/>
              </w:tabs>
              <w:spacing w:after="0"/>
              <w:ind w:left="181"/>
              <w:rPr>
                <w:rFonts w:cs="Arial"/>
                <w:sz w:val="16"/>
                <w:szCs w:val="16"/>
              </w:rPr>
            </w:pPr>
            <w:r w:rsidRPr="00212F4A">
              <w:rPr>
                <w:rFonts w:cs="Arial"/>
                <w:sz w:val="16"/>
                <w:szCs w:val="16"/>
              </w:rPr>
              <w:t>4.3%</w:t>
            </w:r>
          </w:p>
        </w:tc>
        <w:tc>
          <w:tcPr>
            <w:tcW w:w="1633" w:type="dxa"/>
          </w:tcPr>
          <w:p w:rsidR="00212F4A" w:rsidRPr="00212F4A" w:rsidRDefault="00212F4A" w:rsidP="00FE58B3">
            <w:pPr>
              <w:tabs>
                <w:tab w:val="clear" w:pos="851"/>
              </w:tabs>
              <w:spacing w:after="0"/>
              <w:ind w:left="114"/>
              <w:rPr>
                <w:rFonts w:cs="Arial"/>
                <w:sz w:val="16"/>
                <w:szCs w:val="16"/>
              </w:rPr>
            </w:pPr>
            <w:r w:rsidRPr="00212F4A">
              <w:rPr>
                <w:rFonts w:cs="Arial"/>
                <w:sz w:val="16"/>
                <w:szCs w:val="16"/>
              </w:rPr>
              <w:t>4.7%</w:t>
            </w:r>
          </w:p>
        </w:tc>
        <w:tc>
          <w:tcPr>
            <w:tcW w:w="3821" w:type="dxa"/>
          </w:tcPr>
          <w:p w:rsidR="00212F4A" w:rsidRPr="00212F4A" w:rsidRDefault="00212F4A" w:rsidP="00E34542">
            <w:pPr>
              <w:spacing w:after="0"/>
              <w:ind w:left="0"/>
              <w:rPr>
                <w:rFonts w:cs="Arial"/>
                <w:sz w:val="16"/>
                <w:szCs w:val="16"/>
              </w:rPr>
            </w:pPr>
          </w:p>
        </w:tc>
      </w:tr>
    </w:tbl>
    <w:p w:rsidR="00212F4A" w:rsidRPr="00212F4A" w:rsidRDefault="00212F4A" w:rsidP="0035083C">
      <w:pPr>
        <w:spacing w:after="0"/>
        <w:rPr>
          <w:rFonts w:cs="Arial"/>
        </w:rPr>
      </w:pPr>
    </w:p>
    <w:p w:rsidR="00212F4A" w:rsidRPr="00212F4A" w:rsidRDefault="00212F4A" w:rsidP="00212F4A">
      <w:pPr>
        <w:rPr>
          <w:rFonts w:cs="Arial"/>
        </w:rPr>
      </w:pPr>
      <w:r w:rsidRPr="00212F4A">
        <w:rPr>
          <w:rFonts w:cs="Arial"/>
        </w:rPr>
        <w:t>The retail price control shows good levels of headroom in terms of operating profit and retained cash flow.  This indicates that the company remains financially sustainable and has sufficient cash flow to manage its working capital requirements.</w:t>
      </w:r>
    </w:p>
    <w:p w:rsidR="00C60D6C" w:rsidRDefault="00C60D6C" w:rsidP="00C60D6C">
      <w:pPr>
        <w:pStyle w:val="Heading3"/>
      </w:pPr>
      <w:bookmarkStart w:id="260" w:name="_Toc523651337"/>
      <w:r>
        <w:t>Financeability in the actual capital structure</w:t>
      </w:r>
      <w:bookmarkEnd w:id="260"/>
    </w:p>
    <w:p w:rsidR="00C60D6C" w:rsidRDefault="00C60D6C" w:rsidP="00246AD9">
      <w:r>
        <w:t xml:space="preserve">Our next step was to move back into an actual capital structure again performing the assessment in the Ofwat Model and building upon the financing adjustments made under the notional structure above.  In particular under the actual structure we include total </w:t>
      </w:r>
      <w:r w:rsidR="00AB6F74">
        <w:t xml:space="preserve">new </w:t>
      </w:r>
      <w:r w:rsidR="005115F9">
        <w:t>capital</w:t>
      </w:r>
      <w:r>
        <w:t xml:space="preserve"> funding of £61m together with the following key assumptions;</w:t>
      </w:r>
    </w:p>
    <w:p w:rsidR="00C60D6C" w:rsidRDefault="00C60D6C" w:rsidP="00246AD9">
      <w:pPr>
        <w:pStyle w:val="Bullets"/>
      </w:pPr>
      <w:r>
        <w:t>Legacy adjustments included</w:t>
      </w:r>
    </w:p>
    <w:p w:rsidR="00C60D6C" w:rsidRDefault="00C60D6C" w:rsidP="00246AD9">
      <w:pPr>
        <w:pStyle w:val="Bullets"/>
      </w:pPr>
      <w:r>
        <w:t>PAYG levels as set under the notional structure (</w:t>
      </w:r>
      <w:r w:rsidR="00194209">
        <w:t>S</w:t>
      </w:r>
      <w:r>
        <w:t xml:space="preserve">ection </w:t>
      </w:r>
      <w:r w:rsidR="00194209">
        <w:t>1</w:t>
      </w:r>
      <w:r>
        <w:t>1.3.2 above)</w:t>
      </w:r>
    </w:p>
    <w:p w:rsidR="00C60D6C" w:rsidRDefault="00C60D6C" w:rsidP="00246AD9">
      <w:pPr>
        <w:pStyle w:val="Bullets"/>
      </w:pPr>
      <w:r>
        <w:t>WACC set out in Ofwat’s early view on cost of capital together with Company Specific Premium of 30bps</w:t>
      </w:r>
    </w:p>
    <w:p w:rsidR="00C60D6C" w:rsidRDefault="00C60D6C" w:rsidP="00246AD9">
      <w:pPr>
        <w:pStyle w:val="Bullets"/>
      </w:pPr>
      <w:r>
        <w:t>Revenue smoothing on a NPV neutral basis</w:t>
      </w:r>
    </w:p>
    <w:p w:rsidR="00C60D6C" w:rsidRDefault="00C60D6C" w:rsidP="00246AD9">
      <w:pPr>
        <w:pStyle w:val="Bullets"/>
      </w:pPr>
      <w:r>
        <w:t>Actual cost of financing</w:t>
      </w:r>
    </w:p>
    <w:p w:rsidR="00C60D6C" w:rsidRDefault="00C60D6C" w:rsidP="00C60D6C">
      <w:pPr>
        <w:spacing w:after="0"/>
        <w:rPr>
          <w:rFonts w:cs="Arial"/>
        </w:rPr>
      </w:pPr>
    </w:p>
    <w:tbl>
      <w:tblPr>
        <w:tblStyle w:val="TableGrid56"/>
        <w:tblpPr w:leftFromText="180" w:rightFromText="180" w:vertAnchor="text" w:horzAnchor="margin" w:tblpXSpec="right" w:tblpY="954"/>
        <w:tblW w:w="0" w:type="auto"/>
        <w:tblInd w:w="0" w:type="dxa"/>
        <w:tblLook w:val="04A0" w:firstRow="1" w:lastRow="0" w:firstColumn="1" w:lastColumn="0" w:noHBand="0" w:noVBand="1"/>
      </w:tblPr>
      <w:tblGrid>
        <w:gridCol w:w="2741"/>
        <w:gridCol w:w="967"/>
        <w:gridCol w:w="967"/>
        <w:gridCol w:w="967"/>
        <w:gridCol w:w="967"/>
        <w:gridCol w:w="967"/>
        <w:gridCol w:w="954"/>
      </w:tblGrid>
      <w:tr w:rsidR="00246AD9" w:rsidRPr="00246AD9" w:rsidTr="00246AD9">
        <w:trPr>
          <w:trHeight w:val="288"/>
        </w:trPr>
        <w:tc>
          <w:tcPr>
            <w:tcW w:w="274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246AD9" w:rsidRPr="00246AD9" w:rsidRDefault="00246AD9" w:rsidP="00246AD9">
            <w:pPr>
              <w:tabs>
                <w:tab w:val="clear" w:pos="851"/>
              </w:tabs>
              <w:spacing w:after="0"/>
              <w:ind w:left="0"/>
              <w:jc w:val="left"/>
              <w:rPr>
                <w:rFonts w:cs="Arial"/>
                <w:bCs/>
                <w:color w:val="FFFFFF" w:themeColor="background1"/>
                <w:sz w:val="16"/>
                <w:szCs w:val="16"/>
              </w:rPr>
            </w:pPr>
            <w:r w:rsidRPr="00246AD9">
              <w:rPr>
                <w:rFonts w:cs="Arial"/>
                <w:bCs/>
                <w:color w:val="FFFFFF" w:themeColor="background1"/>
                <w:sz w:val="16"/>
                <w:szCs w:val="16"/>
              </w:rPr>
              <w:t>Actual capital structure – following actions to address financeability</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246AD9" w:rsidRPr="00246AD9" w:rsidRDefault="00246AD9" w:rsidP="00246AD9">
            <w:pPr>
              <w:tabs>
                <w:tab w:val="clear" w:pos="851"/>
              </w:tabs>
              <w:spacing w:after="0"/>
              <w:ind w:left="0"/>
              <w:jc w:val="center"/>
              <w:rPr>
                <w:rFonts w:cs="Arial"/>
                <w:bCs/>
                <w:color w:val="FFFFFF" w:themeColor="background1"/>
                <w:sz w:val="16"/>
                <w:szCs w:val="16"/>
              </w:rPr>
            </w:pPr>
            <w:r w:rsidRPr="00246AD9">
              <w:rPr>
                <w:rFonts w:cs="Arial"/>
                <w:bCs/>
                <w:color w:val="FFFFFF" w:themeColor="background1"/>
                <w:sz w:val="16"/>
                <w:szCs w:val="16"/>
              </w:rPr>
              <w:t>2020/21</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246AD9" w:rsidRPr="00246AD9" w:rsidRDefault="00246AD9" w:rsidP="00246AD9">
            <w:pPr>
              <w:tabs>
                <w:tab w:val="clear" w:pos="851"/>
              </w:tabs>
              <w:spacing w:after="0"/>
              <w:ind w:left="0"/>
              <w:jc w:val="center"/>
              <w:rPr>
                <w:rFonts w:cs="Arial"/>
                <w:bCs/>
                <w:color w:val="FFFFFF" w:themeColor="background1"/>
                <w:sz w:val="16"/>
                <w:szCs w:val="16"/>
              </w:rPr>
            </w:pPr>
            <w:r w:rsidRPr="00246AD9">
              <w:rPr>
                <w:rFonts w:cs="Arial"/>
                <w:bCs/>
                <w:color w:val="FFFFFF" w:themeColor="background1"/>
                <w:sz w:val="16"/>
                <w:szCs w:val="16"/>
              </w:rPr>
              <w:t>2021/22</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246AD9" w:rsidRPr="00246AD9" w:rsidRDefault="00246AD9" w:rsidP="00246AD9">
            <w:pPr>
              <w:tabs>
                <w:tab w:val="clear" w:pos="851"/>
              </w:tabs>
              <w:spacing w:after="0"/>
              <w:ind w:left="0"/>
              <w:jc w:val="center"/>
              <w:rPr>
                <w:rFonts w:cs="Arial"/>
                <w:bCs/>
                <w:color w:val="FFFFFF" w:themeColor="background1"/>
                <w:sz w:val="16"/>
                <w:szCs w:val="16"/>
              </w:rPr>
            </w:pPr>
            <w:r w:rsidRPr="00246AD9">
              <w:rPr>
                <w:rFonts w:cs="Arial"/>
                <w:bCs/>
                <w:color w:val="FFFFFF" w:themeColor="background1"/>
                <w:sz w:val="16"/>
                <w:szCs w:val="16"/>
              </w:rPr>
              <w:t>2022/23</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246AD9" w:rsidRPr="00246AD9" w:rsidRDefault="00246AD9" w:rsidP="00246AD9">
            <w:pPr>
              <w:tabs>
                <w:tab w:val="clear" w:pos="851"/>
              </w:tabs>
              <w:spacing w:after="0"/>
              <w:ind w:left="0"/>
              <w:jc w:val="center"/>
              <w:rPr>
                <w:rFonts w:cs="Arial"/>
                <w:bCs/>
                <w:color w:val="FFFFFF" w:themeColor="background1"/>
                <w:sz w:val="16"/>
                <w:szCs w:val="16"/>
              </w:rPr>
            </w:pPr>
            <w:r w:rsidRPr="00246AD9">
              <w:rPr>
                <w:rFonts w:cs="Arial"/>
                <w:bCs/>
                <w:color w:val="FFFFFF" w:themeColor="background1"/>
                <w:sz w:val="16"/>
                <w:szCs w:val="16"/>
              </w:rPr>
              <w:t>2023/24</w:t>
            </w:r>
          </w:p>
        </w:tc>
        <w:tc>
          <w:tcPr>
            <w:tcW w:w="9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246AD9" w:rsidRPr="00246AD9" w:rsidRDefault="00246AD9" w:rsidP="00246AD9">
            <w:pPr>
              <w:tabs>
                <w:tab w:val="clear" w:pos="851"/>
              </w:tabs>
              <w:spacing w:after="0"/>
              <w:ind w:left="0"/>
              <w:jc w:val="center"/>
              <w:rPr>
                <w:rFonts w:cs="Arial"/>
                <w:bCs/>
                <w:color w:val="FFFFFF" w:themeColor="background1"/>
                <w:sz w:val="16"/>
                <w:szCs w:val="16"/>
              </w:rPr>
            </w:pPr>
            <w:r w:rsidRPr="00246AD9">
              <w:rPr>
                <w:rFonts w:cs="Arial"/>
                <w:bCs/>
                <w:color w:val="FFFFFF" w:themeColor="background1"/>
                <w:sz w:val="16"/>
                <w:szCs w:val="16"/>
              </w:rPr>
              <w:t>2024/25</w:t>
            </w:r>
          </w:p>
        </w:tc>
        <w:tc>
          <w:tcPr>
            <w:tcW w:w="954"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246AD9" w:rsidRPr="00246AD9" w:rsidRDefault="00246AD9" w:rsidP="00246AD9">
            <w:pPr>
              <w:tabs>
                <w:tab w:val="clear" w:pos="851"/>
              </w:tabs>
              <w:spacing w:after="0"/>
              <w:ind w:left="0"/>
              <w:jc w:val="center"/>
              <w:rPr>
                <w:rFonts w:cs="Arial"/>
                <w:bCs/>
                <w:color w:val="FFFFFF" w:themeColor="background1"/>
                <w:sz w:val="16"/>
                <w:szCs w:val="16"/>
              </w:rPr>
            </w:pPr>
            <w:r w:rsidRPr="00246AD9">
              <w:rPr>
                <w:rFonts w:cs="Arial"/>
                <w:bCs/>
                <w:color w:val="FFFFFF" w:themeColor="background1"/>
                <w:sz w:val="16"/>
                <w:szCs w:val="16"/>
              </w:rPr>
              <w:t>Average</w:t>
            </w:r>
          </w:p>
        </w:tc>
      </w:tr>
      <w:tr w:rsidR="00246AD9" w:rsidRPr="00246AD9" w:rsidTr="00246AD9">
        <w:trPr>
          <w:trHeight w:val="288"/>
        </w:trPr>
        <w:tc>
          <w:tcPr>
            <w:tcW w:w="2741"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246AD9" w:rsidP="00246AD9">
            <w:pPr>
              <w:tabs>
                <w:tab w:val="clear" w:pos="851"/>
              </w:tabs>
              <w:spacing w:after="0"/>
              <w:ind w:left="0"/>
              <w:jc w:val="left"/>
              <w:rPr>
                <w:rFonts w:cs="Arial"/>
                <w:sz w:val="16"/>
                <w:szCs w:val="16"/>
              </w:rPr>
            </w:pPr>
            <w:r w:rsidRPr="00246AD9">
              <w:rPr>
                <w:rFonts w:cs="Arial"/>
                <w:bCs/>
                <w:sz w:val="16"/>
                <w:szCs w:val="16"/>
              </w:rPr>
              <w:t>Average Household Bill – real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246AD9" w:rsidP="00246AD9">
            <w:pPr>
              <w:tabs>
                <w:tab w:val="clear" w:pos="851"/>
              </w:tabs>
              <w:spacing w:after="0"/>
              <w:ind w:left="0"/>
              <w:jc w:val="right"/>
              <w:rPr>
                <w:rFonts w:cs="Arial"/>
                <w:sz w:val="16"/>
                <w:szCs w:val="16"/>
              </w:rPr>
            </w:pPr>
            <w:r w:rsidRPr="00246AD9">
              <w:rPr>
                <w:rFonts w:cs="Arial"/>
                <w:sz w:val="16"/>
                <w:szCs w:val="16"/>
              </w:rPr>
              <w:t xml:space="preserve">97.26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246AD9" w:rsidP="00246AD9">
            <w:pPr>
              <w:tabs>
                <w:tab w:val="clear" w:pos="851"/>
              </w:tabs>
              <w:spacing w:after="0"/>
              <w:ind w:left="0"/>
              <w:jc w:val="right"/>
              <w:rPr>
                <w:rFonts w:cs="Arial"/>
                <w:sz w:val="16"/>
                <w:szCs w:val="16"/>
              </w:rPr>
            </w:pPr>
            <w:r w:rsidRPr="00246AD9">
              <w:rPr>
                <w:rFonts w:cs="Arial"/>
                <w:sz w:val="16"/>
                <w:szCs w:val="16"/>
              </w:rPr>
              <w:t xml:space="preserve">97.09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E34542" w:rsidP="00246AD9">
            <w:pPr>
              <w:tabs>
                <w:tab w:val="clear" w:pos="851"/>
              </w:tabs>
              <w:spacing w:after="0"/>
              <w:ind w:left="0"/>
              <w:jc w:val="right"/>
              <w:rPr>
                <w:rFonts w:cs="Arial"/>
                <w:sz w:val="16"/>
                <w:szCs w:val="16"/>
              </w:rPr>
            </w:pPr>
            <w:r>
              <w:rPr>
                <w:rFonts w:cs="Arial"/>
                <w:sz w:val="16"/>
                <w:szCs w:val="16"/>
              </w:rPr>
              <w:t>97.00</w:t>
            </w:r>
            <w:r w:rsidR="00246AD9" w:rsidRPr="00246AD9">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E34542" w:rsidP="00246AD9">
            <w:pPr>
              <w:tabs>
                <w:tab w:val="clear" w:pos="851"/>
              </w:tabs>
              <w:spacing w:after="0"/>
              <w:ind w:left="0"/>
              <w:jc w:val="right"/>
              <w:rPr>
                <w:rFonts w:cs="Arial"/>
                <w:sz w:val="16"/>
                <w:szCs w:val="16"/>
              </w:rPr>
            </w:pPr>
            <w:r>
              <w:rPr>
                <w:rFonts w:cs="Arial"/>
                <w:sz w:val="16"/>
                <w:szCs w:val="16"/>
              </w:rPr>
              <w:t>97.00</w:t>
            </w:r>
            <w:r w:rsidR="00246AD9" w:rsidRPr="00246AD9">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E34542" w:rsidP="00246AD9">
            <w:pPr>
              <w:tabs>
                <w:tab w:val="clear" w:pos="851"/>
              </w:tabs>
              <w:spacing w:after="0"/>
              <w:ind w:left="0"/>
              <w:jc w:val="right"/>
              <w:rPr>
                <w:rFonts w:cs="Arial"/>
                <w:sz w:val="16"/>
                <w:szCs w:val="16"/>
              </w:rPr>
            </w:pPr>
            <w:r>
              <w:rPr>
                <w:rFonts w:cs="Arial"/>
                <w:sz w:val="16"/>
                <w:szCs w:val="16"/>
              </w:rPr>
              <w:t>97.11</w:t>
            </w:r>
            <w:r w:rsidR="00246AD9" w:rsidRPr="00246AD9">
              <w:rPr>
                <w:rFonts w:cs="Arial"/>
                <w:sz w:val="16"/>
                <w:szCs w:val="16"/>
              </w:rPr>
              <w:t xml:space="preserve"> </w:t>
            </w:r>
          </w:p>
        </w:tc>
        <w:tc>
          <w:tcPr>
            <w:tcW w:w="954"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E34542" w:rsidP="00246AD9">
            <w:pPr>
              <w:tabs>
                <w:tab w:val="clear" w:pos="851"/>
              </w:tabs>
              <w:spacing w:after="0"/>
              <w:ind w:left="0"/>
              <w:jc w:val="right"/>
              <w:rPr>
                <w:rFonts w:cs="Arial"/>
                <w:sz w:val="16"/>
                <w:szCs w:val="16"/>
              </w:rPr>
            </w:pPr>
            <w:r>
              <w:rPr>
                <w:rFonts w:cs="Arial"/>
                <w:sz w:val="16"/>
                <w:szCs w:val="16"/>
              </w:rPr>
              <w:t>97.</w:t>
            </w:r>
            <w:r w:rsidR="00246AD9" w:rsidRPr="00246AD9">
              <w:rPr>
                <w:rFonts w:cs="Arial"/>
                <w:sz w:val="16"/>
                <w:szCs w:val="16"/>
              </w:rPr>
              <w:t>0</w:t>
            </w:r>
            <w:r>
              <w:rPr>
                <w:rFonts w:cs="Arial"/>
                <w:sz w:val="16"/>
                <w:szCs w:val="16"/>
              </w:rPr>
              <w:t>9</w:t>
            </w:r>
            <w:r w:rsidR="00246AD9" w:rsidRPr="00246AD9">
              <w:rPr>
                <w:rFonts w:cs="Arial"/>
                <w:sz w:val="16"/>
                <w:szCs w:val="16"/>
              </w:rPr>
              <w:t xml:space="preserve"> </w:t>
            </w:r>
          </w:p>
        </w:tc>
      </w:tr>
      <w:tr w:rsidR="00246AD9" w:rsidRPr="00246AD9" w:rsidTr="00246AD9">
        <w:trPr>
          <w:trHeight w:val="288"/>
        </w:trPr>
        <w:tc>
          <w:tcPr>
            <w:tcW w:w="2741"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246AD9" w:rsidP="00246AD9">
            <w:pPr>
              <w:tabs>
                <w:tab w:val="clear" w:pos="851"/>
              </w:tabs>
              <w:spacing w:after="0"/>
              <w:ind w:left="0"/>
              <w:jc w:val="left"/>
              <w:rPr>
                <w:rFonts w:cs="Arial"/>
                <w:bCs/>
                <w:sz w:val="16"/>
                <w:szCs w:val="16"/>
              </w:rPr>
            </w:pPr>
            <w:r w:rsidRPr="00246AD9">
              <w:rPr>
                <w:rFonts w:cs="Arial"/>
                <w:bCs/>
                <w:sz w:val="16"/>
                <w:szCs w:val="16"/>
              </w:rPr>
              <w:t>Gearing</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E34542" w:rsidP="0056593C">
            <w:pPr>
              <w:tabs>
                <w:tab w:val="clear" w:pos="851"/>
              </w:tabs>
              <w:spacing w:after="0"/>
              <w:ind w:left="0"/>
              <w:jc w:val="right"/>
              <w:rPr>
                <w:rFonts w:cs="Arial"/>
                <w:sz w:val="16"/>
                <w:szCs w:val="16"/>
              </w:rPr>
            </w:pPr>
            <w:r>
              <w:rPr>
                <w:rFonts w:cs="Arial"/>
                <w:sz w:val="16"/>
                <w:szCs w:val="16"/>
              </w:rPr>
              <w:t>57.</w:t>
            </w:r>
            <w:r w:rsidR="0056593C">
              <w:rPr>
                <w:rFonts w:cs="Arial"/>
                <w:sz w:val="16"/>
                <w:szCs w:val="16"/>
              </w:rPr>
              <w:t>3</w:t>
            </w:r>
            <w:r w:rsidR="00246AD9" w:rsidRPr="00246AD9">
              <w:rPr>
                <w:rFonts w:cs="Arial"/>
                <w:sz w:val="16"/>
                <w:szCs w:val="16"/>
              </w:rPr>
              <w:t>%</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1D6A67" w:rsidP="0056593C">
            <w:pPr>
              <w:tabs>
                <w:tab w:val="clear" w:pos="851"/>
              </w:tabs>
              <w:spacing w:after="0"/>
              <w:ind w:left="0"/>
              <w:jc w:val="right"/>
              <w:rPr>
                <w:rFonts w:cs="Arial"/>
                <w:sz w:val="16"/>
                <w:szCs w:val="16"/>
              </w:rPr>
            </w:pPr>
            <w:r>
              <w:rPr>
                <w:rFonts w:cs="Arial"/>
                <w:sz w:val="16"/>
                <w:szCs w:val="16"/>
              </w:rPr>
              <w:t>54.</w:t>
            </w:r>
            <w:r w:rsidR="0056593C">
              <w:rPr>
                <w:rFonts w:cs="Arial"/>
                <w:sz w:val="16"/>
                <w:szCs w:val="16"/>
              </w:rPr>
              <w:t>9</w:t>
            </w:r>
            <w:r w:rsidR="00246AD9" w:rsidRPr="00246AD9">
              <w:rPr>
                <w:rFonts w:cs="Arial"/>
                <w:sz w:val="16"/>
                <w:szCs w:val="16"/>
              </w:rPr>
              <w:t>%</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1D6A67" w:rsidP="0056593C">
            <w:pPr>
              <w:tabs>
                <w:tab w:val="clear" w:pos="851"/>
              </w:tabs>
              <w:spacing w:after="0"/>
              <w:ind w:left="0"/>
              <w:jc w:val="right"/>
              <w:rPr>
                <w:rFonts w:cs="Arial"/>
                <w:sz w:val="16"/>
                <w:szCs w:val="16"/>
              </w:rPr>
            </w:pPr>
            <w:r>
              <w:rPr>
                <w:rFonts w:cs="Arial"/>
                <w:sz w:val="16"/>
                <w:szCs w:val="16"/>
              </w:rPr>
              <w:t>53.</w:t>
            </w:r>
            <w:r w:rsidR="0056593C">
              <w:rPr>
                <w:rFonts w:cs="Arial"/>
                <w:sz w:val="16"/>
                <w:szCs w:val="16"/>
              </w:rPr>
              <w:t>3</w:t>
            </w:r>
            <w:r w:rsidR="00246AD9" w:rsidRPr="00246AD9">
              <w:rPr>
                <w:rFonts w:cs="Arial"/>
                <w:sz w:val="16"/>
                <w:szCs w:val="16"/>
              </w:rPr>
              <w:t>%</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1D6A67" w:rsidP="0056593C">
            <w:pPr>
              <w:tabs>
                <w:tab w:val="clear" w:pos="851"/>
              </w:tabs>
              <w:spacing w:after="0"/>
              <w:ind w:left="0"/>
              <w:jc w:val="right"/>
              <w:rPr>
                <w:rFonts w:cs="Arial"/>
                <w:sz w:val="16"/>
                <w:szCs w:val="16"/>
              </w:rPr>
            </w:pPr>
            <w:r>
              <w:rPr>
                <w:rFonts w:cs="Arial"/>
                <w:sz w:val="16"/>
                <w:szCs w:val="16"/>
              </w:rPr>
              <w:t>56.</w:t>
            </w:r>
            <w:r w:rsidR="0056593C">
              <w:rPr>
                <w:rFonts w:cs="Arial"/>
                <w:sz w:val="16"/>
                <w:szCs w:val="16"/>
              </w:rPr>
              <w:t>2</w:t>
            </w:r>
            <w:r w:rsidR="00246AD9" w:rsidRPr="00246AD9">
              <w:rPr>
                <w:rFonts w:cs="Arial"/>
                <w:sz w:val="16"/>
                <w:szCs w:val="16"/>
              </w:rPr>
              <w:t>%</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1D6A67" w:rsidP="0056593C">
            <w:pPr>
              <w:tabs>
                <w:tab w:val="clear" w:pos="851"/>
              </w:tabs>
              <w:spacing w:after="0"/>
              <w:ind w:left="0"/>
              <w:jc w:val="right"/>
              <w:rPr>
                <w:rFonts w:cs="Arial"/>
                <w:sz w:val="16"/>
                <w:szCs w:val="16"/>
              </w:rPr>
            </w:pPr>
            <w:r>
              <w:rPr>
                <w:rFonts w:cs="Arial"/>
                <w:sz w:val="16"/>
                <w:szCs w:val="16"/>
              </w:rPr>
              <w:t>61.</w:t>
            </w:r>
            <w:r w:rsidR="0056593C">
              <w:rPr>
                <w:rFonts w:cs="Arial"/>
                <w:sz w:val="16"/>
                <w:szCs w:val="16"/>
              </w:rPr>
              <w:t>6</w:t>
            </w:r>
            <w:r w:rsidR="00246AD9" w:rsidRPr="00246AD9">
              <w:rPr>
                <w:rFonts w:cs="Arial"/>
                <w:sz w:val="16"/>
                <w:szCs w:val="16"/>
              </w:rPr>
              <w:t>%</w:t>
            </w:r>
          </w:p>
        </w:tc>
        <w:tc>
          <w:tcPr>
            <w:tcW w:w="954"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246AD9" w:rsidP="0056593C">
            <w:pPr>
              <w:tabs>
                <w:tab w:val="clear" w:pos="851"/>
              </w:tabs>
              <w:spacing w:after="0"/>
              <w:ind w:left="0"/>
              <w:jc w:val="right"/>
              <w:rPr>
                <w:rFonts w:cs="Arial"/>
                <w:sz w:val="16"/>
                <w:szCs w:val="16"/>
              </w:rPr>
            </w:pPr>
            <w:r w:rsidRPr="00246AD9">
              <w:rPr>
                <w:rFonts w:cs="Arial"/>
                <w:sz w:val="16"/>
                <w:szCs w:val="16"/>
              </w:rPr>
              <w:t>56.</w:t>
            </w:r>
            <w:r w:rsidR="0056593C">
              <w:rPr>
                <w:rFonts w:cs="Arial"/>
                <w:sz w:val="16"/>
                <w:szCs w:val="16"/>
              </w:rPr>
              <w:t>7</w:t>
            </w:r>
            <w:r w:rsidRPr="00246AD9">
              <w:rPr>
                <w:rFonts w:cs="Arial"/>
                <w:sz w:val="16"/>
                <w:szCs w:val="16"/>
              </w:rPr>
              <w:t>%</w:t>
            </w:r>
          </w:p>
        </w:tc>
      </w:tr>
      <w:tr w:rsidR="00246AD9" w:rsidRPr="00246AD9" w:rsidTr="00246AD9">
        <w:trPr>
          <w:trHeight w:val="288"/>
        </w:trPr>
        <w:tc>
          <w:tcPr>
            <w:tcW w:w="2741"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246AD9" w:rsidP="00246AD9">
            <w:pPr>
              <w:tabs>
                <w:tab w:val="clear" w:pos="851"/>
              </w:tabs>
              <w:spacing w:after="0"/>
              <w:ind w:left="0"/>
              <w:jc w:val="left"/>
              <w:rPr>
                <w:rFonts w:cs="Arial"/>
                <w:bCs/>
                <w:sz w:val="16"/>
                <w:szCs w:val="16"/>
              </w:rPr>
            </w:pPr>
            <w:r w:rsidRPr="00246AD9">
              <w:rPr>
                <w:rFonts w:cs="Arial"/>
                <w:bCs/>
                <w:sz w:val="16"/>
                <w:szCs w:val="16"/>
              </w:rPr>
              <w:t>Moody’s ICR</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246AD9" w:rsidP="00246AD9">
            <w:pPr>
              <w:tabs>
                <w:tab w:val="clear" w:pos="851"/>
              </w:tabs>
              <w:spacing w:after="0"/>
              <w:ind w:left="0"/>
              <w:jc w:val="right"/>
              <w:rPr>
                <w:rFonts w:cs="Arial"/>
                <w:sz w:val="16"/>
                <w:szCs w:val="16"/>
              </w:rPr>
            </w:pPr>
            <w:r w:rsidRPr="00246AD9">
              <w:rPr>
                <w:rFonts w:cs="Arial"/>
                <w:sz w:val="16"/>
                <w:szCs w:val="16"/>
              </w:rPr>
              <w:t xml:space="preserve">1.27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246AD9" w:rsidP="00246AD9">
            <w:pPr>
              <w:tabs>
                <w:tab w:val="clear" w:pos="851"/>
              </w:tabs>
              <w:spacing w:after="0"/>
              <w:ind w:left="0"/>
              <w:jc w:val="right"/>
              <w:rPr>
                <w:rFonts w:cs="Arial"/>
                <w:sz w:val="16"/>
                <w:szCs w:val="16"/>
              </w:rPr>
            </w:pPr>
            <w:r w:rsidRPr="00246AD9">
              <w:rPr>
                <w:rFonts w:cs="Arial"/>
                <w:sz w:val="16"/>
                <w:szCs w:val="16"/>
              </w:rPr>
              <w:t xml:space="preserve">1.34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1D6A67" w:rsidP="00D4588C">
            <w:pPr>
              <w:tabs>
                <w:tab w:val="clear" w:pos="851"/>
              </w:tabs>
              <w:spacing w:after="0"/>
              <w:ind w:left="0"/>
              <w:jc w:val="right"/>
              <w:rPr>
                <w:rFonts w:cs="Arial"/>
                <w:sz w:val="16"/>
                <w:szCs w:val="16"/>
              </w:rPr>
            </w:pPr>
            <w:r>
              <w:rPr>
                <w:rFonts w:cs="Arial"/>
                <w:sz w:val="16"/>
                <w:szCs w:val="16"/>
              </w:rPr>
              <w:t>1.4</w:t>
            </w:r>
            <w:r w:rsidR="00D4588C">
              <w:rPr>
                <w:rFonts w:cs="Arial"/>
                <w:sz w:val="16"/>
                <w:szCs w:val="16"/>
              </w:rPr>
              <w:t>3</w:t>
            </w:r>
            <w:r w:rsidR="00246AD9" w:rsidRPr="00246AD9">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1D6A67" w:rsidP="00D4588C">
            <w:pPr>
              <w:tabs>
                <w:tab w:val="clear" w:pos="851"/>
              </w:tabs>
              <w:spacing w:after="0"/>
              <w:ind w:left="0"/>
              <w:jc w:val="right"/>
              <w:rPr>
                <w:rFonts w:cs="Arial"/>
                <w:sz w:val="16"/>
                <w:szCs w:val="16"/>
              </w:rPr>
            </w:pPr>
            <w:r>
              <w:rPr>
                <w:rFonts w:cs="Arial"/>
                <w:sz w:val="16"/>
                <w:szCs w:val="16"/>
              </w:rPr>
              <w:t>1.2</w:t>
            </w:r>
            <w:r w:rsidR="00D4588C">
              <w:rPr>
                <w:rFonts w:cs="Arial"/>
                <w:sz w:val="16"/>
                <w:szCs w:val="16"/>
              </w:rPr>
              <w:t>6</w:t>
            </w:r>
            <w:r w:rsidR="00246AD9" w:rsidRPr="00246AD9">
              <w:rPr>
                <w:rFonts w:cs="Arial"/>
                <w:sz w:val="16"/>
                <w:szCs w:val="16"/>
              </w:rPr>
              <w:t xml:space="preserve">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1D6A67" w:rsidP="00D4588C">
            <w:pPr>
              <w:tabs>
                <w:tab w:val="clear" w:pos="851"/>
              </w:tabs>
              <w:spacing w:after="0"/>
              <w:ind w:left="0"/>
              <w:jc w:val="right"/>
              <w:rPr>
                <w:rFonts w:cs="Arial"/>
                <w:sz w:val="16"/>
                <w:szCs w:val="16"/>
              </w:rPr>
            </w:pPr>
            <w:r>
              <w:rPr>
                <w:rFonts w:cs="Arial"/>
                <w:sz w:val="16"/>
                <w:szCs w:val="16"/>
              </w:rPr>
              <w:t>1.</w:t>
            </w:r>
            <w:r w:rsidR="00D4588C">
              <w:rPr>
                <w:rFonts w:cs="Arial"/>
                <w:sz w:val="16"/>
                <w:szCs w:val="16"/>
              </w:rPr>
              <w:t>29</w:t>
            </w:r>
            <w:r w:rsidR="00246AD9" w:rsidRPr="00246AD9">
              <w:rPr>
                <w:rFonts w:cs="Arial"/>
                <w:sz w:val="16"/>
                <w:szCs w:val="16"/>
              </w:rPr>
              <w:t xml:space="preserve"> </w:t>
            </w:r>
          </w:p>
        </w:tc>
        <w:tc>
          <w:tcPr>
            <w:tcW w:w="954" w:type="dxa"/>
            <w:tcBorders>
              <w:top w:val="single" w:sz="4" w:space="0" w:color="auto"/>
              <w:left w:val="single" w:sz="4" w:space="0" w:color="auto"/>
              <w:bottom w:val="single" w:sz="4" w:space="0" w:color="auto"/>
              <w:right w:val="single" w:sz="4" w:space="0" w:color="auto"/>
            </w:tcBorders>
            <w:noWrap/>
            <w:vAlign w:val="center"/>
            <w:hideMark/>
          </w:tcPr>
          <w:p w:rsidR="00246AD9" w:rsidRPr="00246AD9" w:rsidRDefault="001D6A67" w:rsidP="00D4588C">
            <w:pPr>
              <w:tabs>
                <w:tab w:val="clear" w:pos="851"/>
              </w:tabs>
              <w:spacing w:after="0"/>
              <w:ind w:left="0"/>
              <w:jc w:val="right"/>
              <w:rPr>
                <w:rFonts w:cs="Arial"/>
                <w:sz w:val="16"/>
                <w:szCs w:val="16"/>
              </w:rPr>
            </w:pPr>
            <w:r>
              <w:rPr>
                <w:rFonts w:cs="Arial"/>
                <w:sz w:val="16"/>
                <w:szCs w:val="16"/>
              </w:rPr>
              <w:t>1.3</w:t>
            </w:r>
            <w:r w:rsidR="00D4588C">
              <w:rPr>
                <w:rFonts w:cs="Arial"/>
                <w:sz w:val="16"/>
                <w:szCs w:val="16"/>
              </w:rPr>
              <w:t>2</w:t>
            </w:r>
            <w:r w:rsidR="00246AD9" w:rsidRPr="00246AD9">
              <w:rPr>
                <w:rFonts w:cs="Arial"/>
                <w:sz w:val="16"/>
                <w:szCs w:val="16"/>
              </w:rPr>
              <w:t xml:space="preserve"> </w:t>
            </w:r>
          </w:p>
        </w:tc>
      </w:tr>
    </w:tbl>
    <w:p w:rsidR="00C60D6C" w:rsidRDefault="00FE58B3" w:rsidP="00246AD9">
      <w:r>
        <w:t>We aim to retain an investment grade credit</w:t>
      </w:r>
      <w:r w:rsidR="002F6124">
        <w:t xml:space="preserve"> rating with headroom of at least one notch.  Accordingly </w:t>
      </w:r>
      <w:r w:rsidR="00C60D6C">
        <w:t>we have targeted a Moody’s rating of Baa2.</w:t>
      </w:r>
      <w:r w:rsidR="002F6124">
        <w:t xml:space="preserve"> </w:t>
      </w:r>
      <w:r w:rsidR="00C60D6C">
        <w:t xml:space="preserve"> This targets an adjusted ICR of ≥1.3 times and gearing of ≤80%.  </w:t>
      </w:r>
    </w:p>
    <w:p w:rsidR="00246AD9" w:rsidRDefault="00246AD9" w:rsidP="00246AD9"/>
    <w:p w:rsidR="00C60D6C" w:rsidRDefault="00C60D6C" w:rsidP="00C60D6C">
      <w:pPr>
        <w:spacing w:after="0"/>
        <w:rPr>
          <w:rFonts w:cs="Arial"/>
        </w:rPr>
      </w:pPr>
    </w:p>
    <w:p w:rsidR="00C60D6C" w:rsidRDefault="00C60D6C" w:rsidP="00C60D6C">
      <w:pPr>
        <w:spacing w:after="0"/>
        <w:rPr>
          <w:rFonts w:cs="Arial"/>
          <w:sz w:val="22"/>
          <w:szCs w:val="22"/>
          <w:lang w:eastAsia="en-US"/>
        </w:rPr>
      </w:pPr>
    </w:p>
    <w:p w:rsidR="00246AD9" w:rsidRDefault="00246AD9" w:rsidP="00C60D6C">
      <w:pPr>
        <w:spacing w:after="0"/>
        <w:rPr>
          <w:rFonts w:cs="Arial"/>
        </w:rPr>
      </w:pPr>
    </w:p>
    <w:p w:rsidR="00C60D6C" w:rsidRDefault="002F6124" w:rsidP="00246AD9">
      <w:r>
        <w:t xml:space="preserve">Following actions to address financeability constraints - £61m of </w:t>
      </w:r>
      <w:r w:rsidR="00AB6F74">
        <w:t xml:space="preserve">new </w:t>
      </w:r>
      <w:r w:rsidR="005115F9">
        <w:t>capital</w:t>
      </w:r>
      <w:r>
        <w:t xml:space="preserve"> and 1.8% adjustment in PAYG – this </w:t>
      </w:r>
      <w:r w:rsidR="00C60D6C">
        <w:t>resulted in an overall basket of ratios supporting the targeted Baa2 rating in particular showing an adjusted ICR of 1.3 times in line with Moody’s methodology.  We have therefore concluded that our business is financeable on a notional basis.</w:t>
      </w:r>
    </w:p>
    <w:p w:rsidR="00C60D6C" w:rsidRDefault="00C60D6C" w:rsidP="00246AD9">
      <w:pPr>
        <w:pStyle w:val="Heading3"/>
      </w:pPr>
      <w:bookmarkStart w:id="261" w:name="_Toc523651338"/>
      <w:r>
        <w:t xml:space="preserve">PAYG </w:t>
      </w:r>
      <w:r w:rsidR="00AD3CFA">
        <w:t>and</w:t>
      </w:r>
      <w:r>
        <w:t xml:space="preserve"> RCV run off levels</w:t>
      </w:r>
      <w:bookmarkEnd w:id="261"/>
    </w:p>
    <w:p w:rsidR="00CE59B9" w:rsidRPr="00CE59B9" w:rsidRDefault="00CE59B9" w:rsidP="002F6124">
      <w:pPr>
        <w:rPr>
          <w:rFonts w:eastAsiaTheme="minorHAnsi"/>
          <w:lang w:eastAsia="en-US"/>
        </w:rPr>
      </w:pPr>
      <w:r w:rsidRPr="00CE59B9">
        <w:rPr>
          <w:rFonts w:eastAsiaTheme="minorHAnsi"/>
          <w:lang w:eastAsia="en-US"/>
        </w:rPr>
        <w:t>The natural levels of PAYG and RCV run off have been established by reference to the underlying expenditure and investment plan within each of the price controls</w:t>
      </w:r>
      <w:r w:rsidR="00AD3CFA">
        <w:rPr>
          <w:rFonts w:eastAsiaTheme="minorHAnsi"/>
          <w:lang w:eastAsia="en-US"/>
        </w:rPr>
        <w:t xml:space="preserve"> and reflect the asset base of each of the price controls</w:t>
      </w:r>
      <w:r w:rsidRPr="00CE59B9">
        <w:rPr>
          <w:rFonts w:eastAsiaTheme="minorHAnsi"/>
          <w:lang w:eastAsia="en-US"/>
        </w:rPr>
        <w:t>.  As explained above these have been further revised to reflect financeability adjustments to balance the payment for the capital programme between current and future periods.  This adjustment was supported by customers and had a</w:t>
      </w:r>
      <w:r w:rsidR="00AD3CFA">
        <w:rPr>
          <w:rFonts w:eastAsiaTheme="minorHAnsi"/>
          <w:lang w:eastAsia="en-US"/>
        </w:rPr>
        <w:t xml:space="preserve"> minor</w:t>
      </w:r>
      <w:r w:rsidRPr="00CE59B9">
        <w:rPr>
          <w:rFonts w:eastAsiaTheme="minorHAnsi"/>
          <w:lang w:eastAsia="en-US"/>
        </w:rPr>
        <w:t xml:space="preserve"> bill impact of </w:t>
      </w:r>
      <w:r w:rsidRPr="00F21FB4">
        <w:rPr>
          <w:rFonts w:eastAsiaTheme="minorHAnsi"/>
          <w:lang w:eastAsia="en-US"/>
        </w:rPr>
        <w:t>£1</w:t>
      </w:r>
      <w:r w:rsidR="001D6A67" w:rsidRPr="00F21FB4">
        <w:rPr>
          <w:rFonts w:eastAsiaTheme="minorHAnsi"/>
          <w:lang w:eastAsia="en-US"/>
        </w:rPr>
        <w:t>.</w:t>
      </w:r>
      <w:r w:rsidR="00F21FB4">
        <w:rPr>
          <w:rFonts w:eastAsiaTheme="minorHAnsi"/>
          <w:lang w:eastAsia="en-US"/>
        </w:rPr>
        <w:t>86</w:t>
      </w:r>
      <w:r w:rsidR="00AD3CFA">
        <w:rPr>
          <w:rFonts w:eastAsiaTheme="minorHAnsi"/>
          <w:lang w:eastAsia="en-US"/>
        </w:rPr>
        <w:t>, which is less than 2% of the overall bill level</w:t>
      </w:r>
      <w:r w:rsidRPr="00CE59B9">
        <w:rPr>
          <w:rFonts w:eastAsiaTheme="minorHAnsi"/>
          <w:lang w:eastAsia="en-US"/>
        </w:rPr>
        <w:t>.</w:t>
      </w:r>
      <w:r w:rsidR="00F21FB4">
        <w:rPr>
          <w:rFonts w:eastAsiaTheme="minorHAnsi"/>
          <w:lang w:eastAsia="en-US"/>
        </w:rPr>
        <w:t xml:space="preserve">  This is discussed further</w:t>
      </w:r>
      <w:r w:rsidR="00194209">
        <w:rPr>
          <w:rFonts w:eastAsiaTheme="minorHAnsi"/>
          <w:lang w:eastAsia="en-US"/>
        </w:rPr>
        <w:t xml:space="preserve"> below</w:t>
      </w:r>
      <w:r w:rsidR="00F21FB4">
        <w:rPr>
          <w:rFonts w:eastAsiaTheme="minorHAnsi"/>
          <w:lang w:eastAsia="en-US"/>
        </w:rPr>
        <w:t xml:space="preserve"> in S</w:t>
      </w:r>
      <w:r w:rsidRPr="00CE59B9">
        <w:rPr>
          <w:rFonts w:eastAsiaTheme="minorHAnsi"/>
          <w:lang w:eastAsia="en-US"/>
        </w:rPr>
        <w:t>ection 11.3.</w:t>
      </w:r>
      <w:r w:rsidR="001D6A67">
        <w:rPr>
          <w:rFonts w:eastAsiaTheme="minorHAnsi"/>
          <w:lang w:eastAsia="en-US"/>
        </w:rPr>
        <w:t>5</w:t>
      </w:r>
      <w:r w:rsidRPr="00CE59B9">
        <w:rPr>
          <w:rFonts w:eastAsiaTheme="minorHAnsi"/>
          <w:lang w:eastAsia="en-US"/>
        </w:rPr>
        <w:t xml:space="preserve"> which covers bill levels, profiles and acceptability.</w:t>
      </w:r>
    </w:p>
    <w:p w:rsidR="00CE59B9" w:rsidRPr="00CE59B9" w:rsidRDefault="00CE59B9" w:rsidP="002F6124">
      <w:pPr>
        <w:rPr>
          <w:rFonts w:eastAsiaTheme="minorHAnsi"/>
          <w:b/>
          <w:lang w:eastAsia="en-US"/>
        </w:rPr>
      </w:pPr>
      <w:r w:rsidRPr="00CE59B9">
        <w:rPr>
          <w:rFonts w:eastAsiaTheme="minorHAnsi"/>
          <w:b/>
          <w:lang w:eastAsia="en-US"/>
        </w:rPr>
        <w:t>PAYG rates</w:t>
      </w:r>
    </w:p>
    <w:p w:rsidR="00CE59B9" w:rsidRPr="00CE59B9" w:rsidRDefault="00CE59B9" w:rsidP="002F6124">
      <w:pPr>
        <w:rPr>
          <w:rFonts w:eastAsiaTheme="minorHAnsi"/>
          <w:lang w:eastAsia="en-US"/>
        </w:rPr>
      </w:pPr>
      <w:r w:rsidRPr="00CE59B9">
        <w:rPr>
          <w:rFonts w:eastAsiaTheme="minorHAnsi"/>
          <w:lang w:eastAsia="en-US"/>
        </w:rPr>
        <w:t xml:space="preserve">The initial PAYG rates for the water resources and network </w:t>
      </w:r>
      <w:r w:rsidR="00194209">
        <w:rPr>
          <w:rFonts w:eastAsiaTheme="minorHAnsi"/>
          <w:lang w:eastAsia="en-US"/>
        </w:rPr>
        <w:t xml:space="preserve">plus </w:t>
      </w:r>
      <w:r w:rsidRPr="00CE59B9">
        <w:rPr>
          <w:rFonts w:eastAsiaTheme="minorHAnsi"/>
          <w:lang w:eastAsia="en-US"/>
        </w:rPr>
        <w:t xml:space="preserve">price controls have been calculated using the natural rates based on the underlying proportions of </w:t>
      </w:r>
      <w:r w:rsidR="00964B14">
        <w:rPr>
          <w:rFonts w:eastAsiaTheme="minorHAnsi"/>
          <w:lang w:eastAsia="en-US"/>
        </w:rPr>
        <w:t>Capex</w:t>
      </w:r>
      <w:r w:rsidRPr="00CE59B9">
        <w:rPr>
          <w:rFonts w:eastAsiaTheme="minorHAnsi"/>
          <w:lang w:eastAsia="en-US"/>
        </w:rPr>
        <w:t xml:space="preserve"> and </w:t>
      </w:r>
      <w:r w:rsidR="00964B14">
        <w:rPr>
          <w:rFonts w:eastAsiaTheme="minorHAnsi"/>
          <w:lang w:eastAsia="en-US"/>
        </w:rPr>
        <w:t>Opex</w:t>
      </w:r>
      <w:r w:rsidRPr="00CE59B9">
        <w:rPr>
          <w:rFonts w:eastAsiaTheme="minorHAnsi"/>
          <w:lang w:eastAsia="en-US"/>
        </w:rPr>
        <w:t xml:space="preserve"> included in th</w:t>
      </w:r>
      <w:r w:rsidR="00850C3A">
        <w:rPr>
          <w:rFonts w:eastAsiaTheme="minorHAnsi"/>
          <w:lang w:eastAsia="en-US"/>
        </w:rPr>
        <w:t>is</w:t>
      </w:r>
      <w:r w:rsidRPr="00CE59B9">
        <w:rPr>
          <w:rFonts w:eastAsiaTheme="minorHAnsi"/>
          <w:lang w:eastAsia="en-US"/>
        </w:rPr>
        <w:t xml:space="preserve"> Business Plan.  This has been summarised below;</w:t>
      </w:r>
    </w:p>
    <w:tbl>
      <w:tblPr>
        <w:tblStyle w:val="TableGrid58"/>
        <w:tblW w:w="0" w:type="auto"/>
        <w:jc w:val="center"/>
        <w:tblLook w:val="04A0" w:firstRow="1" w:lastRow="0" w:firstColumn="1" w:lastColumn="0" w:noHBand="0" w:noVBand="1"/>
      </w:tblPr>
      <w:tblGrid>
        <w:gridCol w:w="1413"/>
        <w:gridCol w:w="945"/>
        <w:gridCol w:w="981"/>
        <w:gridCol w:w="981"/>
        <w:gridCol w:w="982"/>
        <w:gridCol w:w="981"/>
        <w:gridCol w:w="982"/>
        <w:gridCol w:w="982"/>
      </w:tblGrid>
      <w:tr w:rsidR="00CE59B9" w:rsidRPr="0035083C" w:rsidTr="00CE59B9">
        <w:trPr>
          <w:jc w:val="center"/>
        </w:trPr>
        <w:tc>
          <w:tcPr>
            <w:tcW w:w="1413" w:type="dxa"/>
            <w:shd w:val="clear" w:color="auto" w:fill="2E74B5" w:themeFill="accent1" w:themeFillShade="BF"/>
          </w:tcPr>
          <w:p w:rsidR="00CE59B9" w:rsidRPr="0035083C" w:rsidRDefault="00CE59B9" w:rsidP="00CE59B9">
            <w:pPr>
              <w:tabs>
                <w:tab w:val="clear" w:pos="851"/>
              </w:tabs>
              <w:spacing w:after="0"/>
              <w:ind w:left="0"/>
              <w:jc w:val="left"/>
              <w:rPr>
                <w:rFonts w:cs="Arial"/>
                <w:color w:val="FFFFFF" w:themeColor="background1"/>
                <w:sz w:val="16"/>
                <w:szCs w:val="16"/>
              </w:rPr>
            </w:pPr>
          </w:p>
        </w:tc>
        <w:tc>
          <w:tcPr>
            <w:tcW w:w="945" w:type="dxa"/>
            <w:shd w:val="clear" w:color="auto" w:fill="2E74B5" w:themeFill="accent1" w:themeFillShade="BF"/>
          </w:tcPr>
          <w:p w:rsidR="00CE59B9" w:rsidRPr="0035083C" w:rsidRDefault="00CE59B9" w:rsidP="00CE59B9">
            <w:pPr>
              <w:tabs>
                <w:tab w:val="clear" w:pos="851"/>
              </w:tabs>
              <w:spacing w:after="0"/>
              <w:ind w:left="0"/>
              <w:jc w:val="left"/>
              <w:rPr>
                <w:rFonts w:cs="Arial"/>
                <w:color w:val="FFFFFF" w:themeColor="background1"/>
                <w:sz w:val="16"/>
                <w:szCs w:val="16"/>
              </w:rPr>
            </w:pPr>
          </w:p>
        </w:tc>
        <w:tc>
          <w:tcPr>
            <w:tcW w:w="981" w:type="dxa"/>
            <w:tcBorders>
              <w:top w:val="single" w:sz="4" w:space="0" w:color="auto"/>
              <w:left w:val="single" w:sz="4" w:space="0" w:color="auto"/>
              <w:bottom w:val="nil"/>
              <w:right w:val="nil"/>
            </w:tcBorders>
            <w:shd w:val="clear" w:color="auto" w:fill="2E74B5" w:themeFill="accent1" w:themeFillShade="BF"/>
            <w:vAlign w:val="bottom"/>
          </w:tcPr>
          <w:p w:rsidR="00CE59B9" w:rsidRPr="0035083C" w:rsidRDefault="00CE59B9" w:rsidP="00CE59B9">
            <w:pPr>
              <w:tabs>
                <w:tab w:val="clear" w:pos="851"/>
              </w:tabs>
              <w:spacing w:after="0"/>
              <w:ind w:left="0" w:hanging="108"/>
              <w:jc w:val="right"/>
              <w:rPr>
                <w:rFonts w:cs="Arial"/>
                <w:color w:val="FFFFFF" w:themeColor="background1"/>
                <w:sz w:val="16"/>
                <w:szCs w:val="16"/>
              </w:rPr>
            </w:pPr>
            <w:r w:rsidRPr="0035083C">
              <w:rPr>
                <w:rFonts w:cs="Arial"/>
                <w:color w:val="FFFFFF" w:themeColor="background1"/>
                <w:sz w:val="16"/>
                <w:szCs w:val="16"/>
              </w:rPr>
              <w:t>2020/21</w:t>
            </w:r>
          </w:p>
        </w:tc>
        <w:tc>
          <w:tcPr>
            <w:tcW w:w="981" w:type="dxa"/>
            <w:tcBorders>
              <w:top w:val="single" w:sz="4" w:space="0" w:color="auto"/>
              <w:left w:val="nil"/>
              <w:bottom w:val="nil"/>
              <w:right w:val="nil"/>
            </w:tcBorders>
            <w:shd w:val="clear" w:color="auto" w:fill="2E74B5" w:themeFill="accent1" w:themeFillShade="BF"/>
            <w:vAlign w:val="bottom"/>
          </w:tcPr>
          <w:p w:rsidR="00CE59B9" w:rsidRPr="0035083C" w:rsidRDefault="00CE59B9" w:rsidP="00CE59B9">
            <w:pPr>
              <w:tabs>
                <w:tab w:val="clear" w:pos="851"/>
              </w:tabs>
              <w:spacing w:after="0"/>
              <w:ind w:left="0" w:hanging="108"/>
              <w:jc w:val="right"/>
              <w:rPr>
                <w:rFonts w:cs="Arial"/>
                <w:color w:val="FFFFFF" w:themeColor="background1"/>
                <w:sz w:val="16"/>
                <w:szCs w:val="16"/>
              </w:rPr>
            </w:pPr>
            <w:r w:rsidRPr="0035083C">
              <w:rPr>
                <w:rFonts w:cs="Arial"/>
                <w:color w:val="FFFFFF" w:themeColor="background1"/>
                <w:sz w:val="16"/>
                <w:szCs w:val="16"/>
              </w:rPr>
              <w:t>2021/22</w:t>
            </w:r>
          </w:p>
        </w:tc>
        <w:tc>
          <w:tcPr>
            <w:tcW w:w="982" w:type="dxa"/>
            <w:tcBorders>
              <w:top w:val="single" w:sz="4" w:space="0" w:color="auto"/>
              <w:left w:val="nil"/>
              <w:bottom w:val="nil"/>
              <w:right w:val="nil"/>
            </w:tcBorders>
            <w:shd w:val="clear" w:color="auto" w:fill="2E74B5" w:themeFill="accent1" w:themeFillShade="BF"/>
            <w:vAlign w:val="bottom"/>
          </w:tcPr>
          <w:p w:rsidR="00CE59B9" w:rsidRPr="0035083C" w:rsidRDefault="00CE59B9" w:rsidP="00CE59B9">
            <w:pPr>
              <w:tabs>
                <w:tab w:val="clear" w:pos="851"/>
              </w:tabs>
              <w:spacing w:after="0"/>
              <w:ind w:left="0" w:hanging="108"/>
              <w:jc w:val="right"/>
              <w:rPr>
                <w:rFonts w:cs="Arial"/>
                <w:color w:val="FFFFFF" w:themeColor="background1"/>
                <w:sz w:val="16"/>
                <w:szCs w:val="16"/>
              </w:rPr>
            </w:pPr>
            <w:r w:rsidRPr="0035083C">
              <w:rPr>
                <w:rFonts w:cs="Arial"/>
                <w:color w:val="FFFFFF" w:themeColor="background1"/>
                <w:sz w:val="16"/>
                <w:szCs w:val="16"/>
              </w:rPr>
              <w:t>2022/23</w:t>
            </w:r>
          </w:p>
        </w:tc>
        <w:tc>
          <w:tcPr>
            <w:tcW w:w="981" w:type="dxa"/>
            <w:tcBorders>
              <w:top w:val="single" w:sz="4" w:space="0" w:color="auto"/>
              <w:left w:val="nil"/>
              <w:bottom w:val="nil"/>
              <w:right w:val="nil"/>
            </w:tcBorders>
            <w:shd w:val="clear" w:color="auto" w:fill="2E74B5" w:themeFill="accent1" w:themeFillShade="BF"/>
            <w:vAlign w:val="bottom"/>
          </w:tcPr>
          <w:p w:rsidR="00CE59B9" w:rsidRPr="0035083C" w:rsidRDefault="00CE59B9" w:rsidP="00CE59B9">
            <w:pPr>
              <w:tabs>
                <w:tab w:val="clear" w:pos="851"/>
              </w:tabs>
              <w:spacing w:after="0"/>
              <w:ind w:left="0" w:hanging="108"/>
              <w:jc w:val="right"/>
              <w:rPr>
                <w:rFonts w:cs="Arial"/>
                <w:color w:val="FFFFFF" w:themeColor="background1"/>
                <w:sz w:val="16"/>
                <w:szCs w:val="16"/>
              </w:rPr>
            </w:pPr>
            <w:r w:rsidRPr="0035083C">
              <w:rPr>
                <w:rFonts w:cs="Arial"/>
                <w:color w:val="FFFFFF" w:themeColor="background1"/>
                <w:sz w:val="16"/>
                <w:szCs w:val="16"/>
              </w:rPr>
              <w:t>2023/24</w:t>
            </w:r>
          </w:p>
        </w:tc>
        <w:tc>
          <w:tcPr>
            <w:tcW w:w="982" w:type="dxa"/>
            <w:tcBorders>
              <w:top w:val="single" w:sz="4" w:space="0" w:color="auto"/>
              <w:left w:val="nil"/>
              <w:bottom w:val="nil"/>
              <w:right w:val="single" w:sz="4" w:space="0" w:color="auto"/>
            </w:tcBorders>
            <w:shd w:val="clear" w:color="auto" w:fill="2E74B5" w:themeFill="accent1" w:themeFillShade="BF"/>
            <w:vAlign w:val="bottom"/>
          </w:tcPr>
          <w:p w:rsidR="00CE59B9" w:rsidRPr="0035083C" w:rsidRDefault="00CE59B9" w:rsidP="00CE59B9">
            <w:pPr>
              <w:tabs>
                <w:tab w:val="clear" w:pos="851"/>
              </w:tabs>
              <w:spacing w:after="0"/>
              <w:ind w:left="0" w:hanging="108"/>
              <w:jc w:val="right"/>
              <w:rPr>
                <w:rFonts w:cs="Arial"/>
                <w:color w:val="FFFFFF" w:themeColor="background1"/>
                <w:sz w:val="16"/>
                <w:szCs w:val="16"/>
              </w:rPr>
            </w:pPr>
            <w:r w:rsidRPr="0035083C">
              <w:rPr>
                <w:rFonts w:cs="Arial"/>
                <w:color w:val="FFFFFF" w:themeColor="background1"/>
                <w:sz w:val="16"/>
                <w:szCs w:val="16"/>
              </w:rPr>
              <w:t>2024/25</w:t>
            </w:r>
          </w:p>
        </w:tc>
        <w:tc>
          <w:tcPr>
            <w:tcW w:w="982" w:type="dxa"/>
            <w:tcBorders>
              <w:top w:val="single" w:sz="4" w:space="0" w:color="auto"/>
              <w:left w:val="nil"/>
              <w:bottom w:val="nil"/>
              <w:right w:val="single" w:sz="4" w:space="0" w:color="auto"/>
            </w:tcBorders>
            <w:shd w:val="clear" w:color="auto" w:fill="2E74B5" w:themeFill="accent1" w:themeFillShade="BF"/>
          </w:tcPr>
          <w:p w:rsidR="00CE59B9" w:rsidRPr="0035083C" w:rsidRDefault="00CE59B9" w:rsidP="00CE59B9">
            <w:pPr>
              <w:tabs>
                <w:tab w:val="clear" w:pos="851"/>
              </w:tabs>
              <w:spacing w:after="0"/>
              <w:ind w:left="0" w:hanging="108"/>
              <w:jc w:val="right"/>
              <w:rPr>
                <w:rFonts w:cs="Arial"/>
                <w:color w:val="FFFFFF" w:themeColor="background1"/>
                <w:sz w:val="16"/>
                <w:szCs w:val="16"/>
              </w:rPr>
            </w:pPr>
            <w:r w:rsidRPr="0035083C">
              <w:rPr>
                <w:rFonts w:cs="Arial"/>
                <w:color w:val="FFFFFF" w:themeColor="background1"/>
                <w:sz w:val="16"/>
                <w:szCs w:val="16"/>
              </w:rPr>
              <w:t>Average</w:t>
            </w: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r w:rsidRPr="0035083C">
              <w:rPr>
                <w:rFonts w:cs="Arial"/>
                <w:sz w:val="16"/>
                <w:szCs w:val="16"/>
              </w:rPr>
              <w:t>Water resources</w:t>
            </w:r>
          </w:p>
        </w:tc>
        <w:tc>
          <w:tcPr>
            <w:tcW w:w="945" w:type="dxa"/>
          </w:tcPr>
          <w:p w:rsidR="00CE59B9" w:rsidRPr="0035083C" w:rsidRDefault="00964B14" w:rsidP="00CE59B9">
            <w:pPr>
              <w:tabs>
                <w:tab w:val="clear" w:pos="851"/>
              </w:tabs>
              <w:spacing w:after="0"/>
              <w:ind w:left="0"/>
              <w:jc w:val="left"/>
              <w:rPr>
                <w:rFonts w:cs="Arial"/>
                <w:sz w:val="16"/>
                <w:szCs w:val="16"/>
              </w:rPr>
            </w:pPr>
            <w:r>
              <w:rPr>
                <w:rFonts w:cs="Arial"/>
                <w:sz w:val="16"/>
                <w:szCs w:val="16"/>
              </w:rPr>
              <w:t>Opex</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4.4</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4.5</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4.5</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4.5</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4.4</w:t>
            </w:r>
          </w:p>
        </w:tc>
        <w:tc>
          <w:tcPr>
            <w:tcW w:w="982" w:type="dxa"/>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964B14" w:rsidP="00CE59B9">
            <w:pPr>
              <w:tabs>
                <w:tab w:val="clear" w:pos="851"/>
              </w:tabs>
              <w:spacing w:after="0"/>
              <w:ind w:left="0"/>
              <w:jc w:val="left"/>
              <w:rPr>
                <w:rFonts w:cs="Arial"/>
                <w:sz w:val="16"/>
                <w:szCs w:val="16"/>
              </w:rPr>
            </w:pPr>
            <w:r>
              <w:rPr>
                <w:rFonts w:cs="Arial"/>
                <w:sz w:val="16"/>
                <w:szCs w:val="16"/>
              </w:rPr>
              <w:t>Capex</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8.8</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7.0</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7.7</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21.0</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24.4</w:t>
            </w:r>
          </w:p>
        </w:tc>
        <w:tc>
          <w:tcPr>
            <w:tcW w:w="982" w:type="dxa"/>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FE42E8" w:rsidP="00CE59B9">
            <w:pPr>
              <w:tabs>
                <w:tab w:val="clear" w:pos="851"/>
              </w:tabs>
              <w:spacing w:after="0"/>
              <w:ind w:left="0"/>
              <w:jc w:val="left"/>
              <w:rPr>
                <w:rFonts w:cs="Arial"/>
                <w:sz w:val="16"/>
                <w:szCs w:val="16"/>
              </w:rPr>
            </w:pPr>
            <w:r>
              <w:rPr>
                <w:rFonts w:cs="Arial"/>
                <w:sz w:val="16"/>
                <w:szCs w:val="16"/>
              </w:rPr>
              <w:t>Totex</w:t>
            </w:r>
          </w:p>
        </w:tc>
        <w:tc>
          <w:tcPr>
            <w:tcW w:w="981"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13.2</w:t>
            </w:r>
          </w:p>
        </w:tc>
        <w:tc>
          <w:tcPr>
            <w:tcW w:w="981"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11.5</w:t>
            </w:r>
          </w:p>
        </w:tc>
        <w:tc>
          <w:tcPr>
            <w:tcW w:w="982"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12.3</w:t>
            </w:r>
          </w:p>
        </w:tc>
        <w:tc>
          <w:tcPr>
            <w:tcW w:w="981"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25.4</w:t>
            </w:r>
          </w:p>
        </w:tc>
        <w:tc>
          <w:tcPr>
            <w:tcW w:w="982"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28.8</w:t>
            </w:r>
          </w:p>
        </w:tc>
        <w:tc>
          <w:tcPr>
            <w:tcW w:w="982" w:type="dxa"/>
            <w:shd w:val="clear" w:color="auto" w:fill="FFFFFF" w:themeFill="background1"/>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CE59B9" w:rsidP="00CE59B9">
            <w:pPr>
              <w:tabs>
                <w:tab w:val="clear" w:pos="851"/>
              </w:tabs>
              <w:spacing w:after="0"/>
              <w:ind w:left="0"/>
              <w:jc w:val="lef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CE59B9" w:rsidP="00CE59B9">
            <w:pPr>
              <w:tabs>
                <w:tab w:val="clear" w:pos="851"/>
              </w:tabs>
              <w:spacing w:after="0"/>
              <w:ind w:left="0"/>
              <w:jc w:val="left"/>
              <w:rPr>
                <w:rFonts w:cs="Arial"/>
                <w:sz w:val="16"/>
                <w:szCs w:val="16"/>
              </w:rPr>
            </w:pPr>
            <w:r w:rsidRPr="0035083C">
              <w:rPr>
                <w:rFonts w:cs="Arial"/>
                <w:sz w:val="16"/>
                <w:szCs w:val="16"/>
              </w:rPr>
              <w:t>PAYG</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33.6%</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39.3%</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37.0%</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17.6%</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15.2%</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28.5%</w:t>
            </w: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CE59B9" w:rsidP="00CE59B9">
            <w:pPr>
              <w:tabs>
                <w:tab w:val="clear" w:pos="851"/>
              </w:tabs>
              <w:spacing w:after="0"/>
              <w:ind w:left="0"/>
              <w:jc w:val="lef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194209" w:rsidP="00CE59B9">
            <w:pPr>
              <w:tabs>
                <w:tab w:val="clear" w:pos="851"/>
              </w:tabs>
              <w:spacing w:after="0"/>
              <w:ind w:left="0"/>
              <w:jc w:val="left"/>
              <w:rPr>
                <w:rFonts w:cs="Arial"/>
                <w:sz w:val="16"/>
                <w:szCs w:val="16"/>
              </w:rPr>
            </w:pPr>
            <w:r>
              <w:rPr>
                <w:rFonts w:cs="Arial"/>
                <w:sz w:val="16"/>
                <w:szCs w:val="16"/>
              </w:rPr>
              <w:t>Network Plus</w:t>
            </w:r>
          </w:p>
        </w:tc>
        <w:tc>
          <w:tcPr>
            <w:tcW w:w="945" w:type="dxa"/>
          </w:tcPr>
          <w:p w:rsidR="00CE59B9" w:rsidRPr="0035083C" w:rsidRDefault="00964B14" w:rsidP="00CE59B9">
            <w:pPr>
              <w:tabs>
                <w:tab w:val="clear" w:pos="851"/>
              </w:tabs>
              <w:spacing w:after="0"/>
              <w:ind w:left="0"/>
              <w:jc w:val="left"/>
              <w:rPr>
                <w:rFonts w:cs="Arial"/>
                <w:sz w:val="16"/>
                <w:szCs w:val="16"/>
              </w:rPr>
            </w:pPr>
            <w:r>
              <w:rPr>
                <w:rFonts w:cs="Arial"/>
                <w:sz w:val="16"/>
                <w:szCs w:val="16"/>
              </w:rPr>
              <w:t>Opex</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17.4</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17.5</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17.5</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17.3</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17.2</w:t>
            </w:r>
          </w:p>
        </w:tc>
        <w:tc>
          <w:tcPr>
            <w:tcW w:w="982" w:type="dxa"/>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964B14" w:rsidP="00CE59B9">
            <w:pPr>
              <w:tabs>
                <w:tab w:val="clear" w:pos="851"/>
              </w:tabs>
              <w:spacing w:after="0"/>
              <w:ind w:left="0"/>
              <w:jc w:val="left"/>
              <w:rPr>
                <w:rFonts w:cs="Arial"/>
                <w:sz w:val="16"/>
                <w:szCs w:val="16"/>
              </w:rPr>
            </w:pPr>
            <w:r>
              <w:rPr>
                <w:rFonts w:cs="Arial"/>
                <w:sz w:val="16"/>
                <w:szCs w:val="16"/>
              </w:rPr>
              <w:t>Capex</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10.7</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10.0</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10.0</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9.9</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9.6</w:t>
            </w:r>
          </w:p>
        </w:tc>
        <w:tc>
          <w:tcPr>
            <w:tcW w:w="982" w:type="dxa"/>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CE59B9" w:rsidP="00CE59B9">
            <w:pPr>
              <w:tabs>
                <w:tab w:val="clear" w:pos="851"/>
              </w:tabs>
              <w:spacing w:after="0"/>
              <w:ind w:left="0"/>
              <w:jc w:val="left"/>
              <w:rPr>
                <w:rFonts w:cs="Arial"/>
                <w:sz w:val="16"/>
                <w:szCs w:val="16"/>
              </w:rPr>
            </w:pPr>
            <w:r w:rsidRPr="0035083C">
              <w:rPr>
                <w:rFonts w:cs="Arial"/>
                <w:sz w:val="16"/>
                <w:szCs w:val="16"/>
              </w:rPr>
              <w:t>Grants</w:t>
            </w:r>
          </w:p>
        </w:tc>
        <w:tc>
          <w:tcPr>
            <w:tcW w:w="981" w:type="dxa"/>
          </w:tcPr>
          <w:p w:rsidR="00CE59B9" w:rsidRPr="0035083C" w:rsidRDefault="00CE59B9" w:rsidP="00CE59B9">
            <w:pPr>
              <w:tabs>
                <w:tab w:val="clear" w:pos="851"/>
              </w:tabs>
              <w:spacing w:after="0"/>
              <w:ind w:left="0" w:right="-25"/>
              <w:jc w:val="right"/>
              <w:rPr>
                <w:rFonts w:cs="Arial"/>
                <w:sz w:val="16"/>
                <w:szCs w:val="16"/>
              </w:rPr>
            </w:pPr>
            <w:r w:rsidRPr="0035083C">
              <w:rPr>
                <w:rFonts w:cs="Arial"/>
                <w:sz w:val="16"/>
                <w:szCs w:val="16"/>
              </w:rPr>
              <w:t>(0.9)</w:t>
            </w:r>
          </w:p>
        </w:tc>
        <w:tc>
          <w:tcPr>
            <w:tcW w:w="981" w:type="dxa"/>
          </w:tcPr>
          <w:p w:rsidR="00CE59B9" w:rsidRPr="0035083C" w:rsidRDefault="00CE59B9" w:rsidP="00CE59B9">
            <w:pPr>
              <w:tabs>
                <w:tab w:val="clear" w:pos="851"/>
              </w:tabs>
              <w:spacing w:after="0"/>
              <w:ind w:left="0" w:right="-36"/>
              <w:jc w:val="right"/>
              <w:rPr>
                <w:rFonts w:cs="Arial"/>
                <w:sz w:val="16"/>
                <w:szCs w:val="16"/>
              </w:rPr>
            </w:pPr>
            <w:r w:rsidRPr="0035083C">
              <w:rPr>
                <w:rFonts w:cs="Arial"/>
                <w:sz w:val="16"/>
                <w:szCs w:val="16"/>
              </w:rPr>
              <w:t>(0.9)</w:t>
            </w:r>
          </w:p>
        </w:tc>
        <w:tc>
          <w:tcPr>
            <w:tcW w:w="982" w:type="dxa"/>
          </w:tcPr>
          <w:p w:rsidR="00CE59B9" w:rsidRPr="0035083C" w:rsidRDefault="00CE59B9" w:rsidP="00CE59B9">
            <w:pPr>
              <w:tabs>
                <w:tab w:val="clear" w:pos="851"/>
              </w:tabs>
              <w:spacing w:after="0"/>
              <w:ind w:left="0" w:right="-46"/>
              <w:jc w:val="right"/>
              <w:rPr>
                <w:rFonts w:cs="Arial"/>
                <w:sz w:val="16"/>
                <w:szCs w:val="16"/>
              </w:rPr>
            </w:pPr>
            <w:r w:rsidRPr="0035083C">
              <w:rPr>
                <w:rFonts w:cs="Arial"/>
                <w:sz w:val="16"/>
                <w:szCs w:val="16"/>
              </w:rPr>
              <w:t>(0.9)</w:t>
            </w:r>
          </w:p>
        </w:tc>
        <w:tc>
          <w:tcPr>
            <w:tcW w:w="981" w:type="dxa"/>
          </w:tcPr>
          <w:p w:rsidR="00CE59B9" w:rsidRPr="0035083C" w:rsidRDefault="00CE59B9" w:rsidP="00CE59B9">
            <w:pPr>
              <w:tabs>
                <w:tab w:val="clear" w:pos="851"/>
              </w:tabs>
              <w:spacing w:after="0"/>
              <w:ind w:left="0" w:right="-57"/>
              <w:jc w:val="right"/>
              <w:rPr>
                <w:rFonts w:cs="Arial"/>
                <w:sz w:val="16"/>
                <w:szCs w:val="16"/>
              </w:rPr>
            </w:pPr>
            <w:r w:rsidRPr="0035083C">
              <w:rPr>
                <w:rFonts w:cs="Arial"/>
                <w:sz w:val="16"/>
                <w:szCs w:val="16"/>
              </w:rPr>
              <w:t>(0.9)</w:t>
            </w:r>
          </w:p>
        </w:tc>
        <w:tc>
          <w:tcPr>
            <w:tcW w:w="982" w:type="dxa"/>
          </w:tcPr>
          <w:p w:rsidR="00CE59B9" w:rsidRPr="0035083C" w:rsidRDefault="00CE59B9" w:rsidP="00CE59B9">
            <w:pPr>
              <w:tabs>
                <w:tab w:val="clear" w:pos="851"/>
              </w:tabs>
              <w:spacing w:after="0"/>
              <w:ind w:left="0" w:right="-68"/>
              <w:jc w:val="right"/>
              <w:rPr>
                <w:rFonts w:cs="Arial"/>
                <w:sz w:val="16"/>
                <w:szCs w:val="16"/>
              </w:rPr>
            </w:pPr>
            <w:r w:rsidRPr="0035083C">
              <w:rPr>
                <w:rFonts w:cs="Arial"/>
                <w:sz w:val="16"/>
                <w:szCs w:val="16"/>
              </w:rPr>
              <w:t>(0.9)</w:t>
            </w:r>
          </w:p>
        </w:tc>
        <w:tc>
          <w:tcPr>
            <w:tcW w:w="982" w:type="dxa"/>
          </w:tcPr>
          <w:p w:rsidR="00CE59B9" w:rsidRPr="0035083C" w:rsidRDefault="00CE59B9" w:rsidP="00CE59B9">
            <w:pPr>
              <w:tabs>
                <w:tab w:val="clear" w:pos="851"/>
              </w:tabs>
              <w:spacing w:after="0"/>
              <w:ind w:left="0" w:right="-68"/>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FE42E8" w:rsidP="00CE59B9">
            <w:pPr>
              <w:tabs>
                <w:tab w:val="clear" w:pos="851"/>
              </w:tabs>
              <w:spacing w:after="0"/>
              <w:ind w:left="0"/>
              <w:jc w:val="left"/>
              <w:rPr>
                <w:rFonts w:cs="Arial"/>
                <w:sz w:val="16"/>
                <w:szCs w:val="16"/>
              </w:rPr>
            </w:pPr>
            <w:r>
              <w:rPr>
                <w:rFonts w:cs="Arial"/>
                <w:sz w:val="16"/>
                <w:szCs w:val="16"/>
              </w:rPr>
              <w:t>Totex</w:t>
            </w:r>
          </w:p>
        </w:tc>
        <w:tc>
          <w:tcPr>
            <w:tcW w:w="981"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27.2</w:t>
            </w:r>
          </w:p>
        </w:tc>
        <w:tc>
          <w:tcPr>
            <w:tcW w:w="981"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26.7</w:t>
            </w:r>
          </w:p>
        </w:tc>
        <w:tc>
          <w:tcPr>
            <w:tcW w:w="982"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26.6</w:t>
            </w:r>
          </w:p>
        </w:tc>
        <w:tc>
          <w:tcPr>
            <w:tcW w:w="981"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26.3</w:t>
            </w:r>
          </w:p>
        </w:tc>
        <w:tc>
          <w:tcPr>
            <w:tcW w:w="982" w:type="dxa"/>
            <w:shd w:val="clear" w:color="auto" w:fill="F2F2F2" w:themeFill="background1" w:themeFillShade="F2"/>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25.9</w:t>
            </w:r>
          </w:p>
        </w:tc>
        <w:tc>
          <w:tcPr>
            <w:tcW w:w="982" w:type="dxa"/>
            <w:shd w:val="clear" w:color="auto" w:fill="FFFFFF" w:themeFill="background1"/>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CE59B9" w:rsidP="00CE59B9">
            <w:pPr>
              <w:tabs>
                <w:tab w:val="clear" w:pos="851"/>
              </w:tabs>
              <w:spacing w:after="0"/>
              <w:ind w:left="0"/>
              <w:jc w:val="lef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CE59B9" w:rsidP="00CE59B9">
            <w:pPr>
              <w:tabs>
                <w:tab w:val="clear" w:pos="851"/>
              </w:tabs>
              <w:spacing w:after="0"/>
              <w:ind w:left="0"/>
              <w:jc w:val="left"/>
              <w:rPr>
                <w:rFonts w:cs="Arial"/>
                <w:sz w:val="16"/>
                <w:szCs w:val="16"/>
              </w:rPr>
            </w:pPr>
            <w:r w:rsidRPr="0035083C">
              <w:rPr>
                <w:rFonts w:cs="Arial"/>
                <w:sz w:val="16"/>
                <w:szCs w:val="16"/>
              </w:rPr>
              <w:t>PAYG</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64.0%</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65.7%</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65.7%</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65.8%</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66.3%</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65.5%</w:t>
            </w: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p>
        </w:tc>
        <w:tc>
          <w:tcPr>
            <w:tcW w:w="945" w:type="dxa"/>
          </w:tcPr>
          <w:p w:rsidR="00CE59B9" w:rsidRPr="0035083C" w:rsidRDefault="00CE59B9" w:rsidP="00CE59B9">
            <w:pPr>
              <w:tabs>
                <w:tab w:val="clear" w:pos="851"/>
              </w:tabs>
              <w:spacing w:after="0"/>
              <w:ind w:left="0"/>
              <w:jc w:val="lef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c>
          <w:tcPr>
            <w:tcW w:w="981"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c>
          <w:tcPr>
            <w:tcW w:w="982" w:type="dxa"/>
          </w:tcPr>
          <w:p w:rsidR="00CE59B9" w:rsidRPr="0035083C" w:rsidRDefault="00CE59B9" w:rsidP="00CE59B9">
            <w:pPr>
              <w:tabs>
                <w:tab w:val="clear" w:pos="851"/>
              </w:tabs>
              <w:spacing w:after="0"/>
              <w:ind w:left="0"/>
              <w:jc w:val="right"/>
              <w:rPr>
                <w:rFonts w:cs="Arial"/>
                <w:sz w:val="16"/>
                <w:szCs w:val="16"/>
              </w:rPr>
            </w:pPr>
          </w:p>
        </w:tc>
      </w:tr>
      <w:tr w:rsidR="00CE59B9" w:rsidRPr="0035083C" w:rsidTr="00CE59B9">
        <w:trPr>
          <w:jc w:val="center"/>
        </w:trPr>
        <w:tc>
          <w:tcPr>
            <w:tcW w:w="1413" w:type="dxa"/>
          </w:tcPr>
          <w:p w:rsidR="00CE59B9" w:rsidRPr="0035083C" w:rsidRDefault="00CE59B9" w:rsidP="00CE59B9">
            <w:pPr>
              <w:tabs>
                <w:tab w:val="clear" w:pos="851"/>
              </w:tabs>
              <w:spacing w:after="0"/>
              <w:ind w:left="0"/>
              <w:jc w:val="left"/>
              <w:rPr>
                <w:rFonts w:cs="Arial"/>
                <w:sz w:val="16"/>
                <w:szCs w:val="16"/>
              </w:rPr>
            </w:pPr>
            <w:r w:rsidRPr="0035083C">
              <w:rPr>
                <w:rFonts w:cs="Arial"/>
                <w:sz w:val="16"/>
                <w:szCs w:val="16"/>
              </w:rPr>
              <w:t>Company</w:t>
            </w:r>
          </w:p>
        </w:tc>
        <w:tc>
          <w:tcPr>
            <w:tcW w:w="945" w:type="dxa"/>
          </w:tcPr>
          <w:p w:rsidR="00CE59B9" w:rsidRPr="0035083C" w:rsidRDefault="00CE59B9" w:rsidP="00CE59B9">
            <w:pPr>
              <w:tabs>
                <w:tab w:val="clear" w:pos="851"/>
              </w:tabs>
              <w:spacing w:after="0"/>
              <w:ind w:left="0"/>
              <w:jc w:val="left"/>
              <w:rPr>
                <w:rFonts w:cs="Arial"/>
                <w:sz w:val="16"/>
                <w:szCs w:val="16"/>
              </w:rPr>
            </w:pPr>
            <w:r w:rsidRPr="0035083C">
              <w:rPr>
                <w:rFonts w:cs="Arial"/>
                <w:sz w:val="16"/>
                <w:szCs w:val="16"/>
              </w:rPr>
              <w:t>PAYG</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54.1%</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57.7%</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56.7%</w:t>
            </w:r>
          </w:p>
        </w:tc>
        <w:tc>
          <w:tcPr>
            <w:tcW w:w="981"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42.1%</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39.4%</w:t>
            </w:r>
          </w:p>
        </w:tc>
        <w:tc>
          <w:tcPr>
            <w:tcW w:w="982" w:type="dxa"/>
          </w:tcPr>
          <w:p w:rsidR="00CE59B9" w:rsidRPr="0035083C" w:rsidRDefault="00CE59B9" w:rsidP="00CE59B9">
            <w:pPr>
              <w:tabs>
                <w:tab w:val="clear" w:pos="851"/>
              </w:tabs>
              <w:spacing w:after="0"/>
              <w:ind w:left="0"/>
              <w:jc w:val="right"/>
              <w:rPr>
                <w:rFonts w:cs="Arial"/>
                <w:sz w:val="16"/>
                <w:szCs w:val="16"/>
              </w:rPr>
            </w:pPr>
            <w:r w:rsidRPr="0035083C">
              <w:rPr>
                <w:rFonts w:cs="Arial"/>
                <w:sz w:val="16"/>
                <w:szCs w:val="16"/>
              </w:rPr>
              <w:t>50.0%</w:t>
            </w:r>
          </w:p>
        </w:tc>
      </w:tr>
    </w:tbl>
    <w:p w:rsidR="002F6124" w:rsidRDefault="002F6124" w:rsidP="00275047">
      <w:pPr>
        <w:spacing w:after="0"/>
        <w:rPr>
          <w:rFonts w:eastAsiaTheme="minorHAnsi"/>
          <w:lang w:eastAsia="en-US"/>
        </w:rPr>
      </w:pPr>
    </w:p>
    <w:p w:rsidR="00CE59B9" w:rsidRPr="00CE59B9" w:rsidRDefault="00CE59B9" w:rsidP="002F6124">
      <w:pPr>
        <w:rPr>
          <w:rFonts w:eastAsiaTheme="minorHAnsi"/>
          <w:lang w:eastAsia="en-US"/>
        </w:rPr>
      </w:pPr>
      <w:r w:rsidRPr="00CE59B9">
        <w:rPr>
          <w:rFonts w:eastAsiaTheme="minorHAnsi"/>
          <w:lang w:eastAsia="en-US"/>
        </w:rPr>
        <w:t xml:space="preserve">This natural rate has been further adjusted to reflect the notional financeability adjustment explained in the </w:t>
      </w:r>
      <w:r w:rsidR="00194209">
        <w:rPr>
          <w:rFonts w:eastAsiaTheme="minorHAnsi"/>
          <w:lang w:eastAsia="en-US"/>
        </w:rPr>
        <w:t>S</w:t>
      </w:r>
      <w:r w:rsidRPr="00CE59B9">
        <w:rPr>
          <w:rFonts w:eastAsiaTheme="minorHAnsi"/>
          <w:lang w:eastAsia="en-US"/>
        </w:rPr>
        <w:t>ection 11.3.2 above.  This adjustment has been made through the water resources price control as a 4.5% point adjustment.  This results in an overall 1.8% point increase in the overall company PAYG rate from 50.0% to 51.8%.</w:t>
      </w:r>
    </w:p>
    <w:p w:rsidR="00CE59B9" w:rsidRPr="00CE59B9" w:rsidRDefault="00CE59B9" w:rsidP="002F6124">
      <w:pPr>
        <w:rPr>
          <w:rFonts w:eastAsiaTheme="minorHAnsi"/>
          <w:lang w:eastAsia="en-US"/>
        </w:rPr>
      </w:pPr>
      <w:r w:rsidRPr="00CE59B9">
        <w:rPr>
          <w:rFonts w:eastAsiaTheme="minorHAnsi"/>
          <w:lang w:eastAsia="en-US"/>
        </w:rPr>
        <w:t xml:space="preserve">Overall adjustments to the PAYG rate were tested with customers.  This was explained in terms of balancing financing of large capital schemes between current and future bill payers and price controls.  Customers supported this and also supported the impact on the bill level of up to </w:t>
      </w:r>
      <w:r w:rsidRPr="00F21FB4">
        <w:rPr>
          <w:rFonts w:eastAsiaTheme="minorHAnsi"/>
          <w:lang w:eastAsia="en-US"/>
        </w:rPr>
        <w:t>£3</w:t>
      </w:r>
      <w:r w:rsidR="00F21FB4" w:rsidRPr="00F21FB4">
        <w:rPr>
          <w:rFonts w:eastAsiaTheme="minorHAnsi"/>
          <w:lang w:eastAsia="en-US"/>
        </w:rPr>
        <w:t>-£4</w:t>
      </w:r>
      <w:r w:rsidRPr="00CE59B9">
        <w:rPr>
          <w:rFonts w:eastAsiaTheme="minorHAnsi"/>
          <w:lang w:eastAsia="en-US"/>
        </w:rPr>
        <w:t xml:space="preserve"> per bill, in terms of the overall bill level and the long term bill level (a further 10 years).  This is set out in two pieces of work by ICS both of which are included in Appendix </w:t>
      </w:r>
      <w:r w:rsidR="00F21FB4">
        <w:rPr>
          <w:rFonts w:eastAsiaTheme="minorHAnsi"/>
          <w:lang w:eastAsia="en-US"/>
        </w:rPr>
        <w:t>2.26 and Appendix 2.28</w:t>
      </w:r>
      <w:r w:rsidRPr="00CE59B9">
        <w:rPr>
          <w:rFonts w:eastAsiaTheme="minorHAnsi"/>
          <w:lang w:eastAsia="en-US"/>
        </w:rPr>
        <w:t>.  The first report, deliberative research, supported the concept and bill level impact and the second report supported both the overall bill level and the long</w:t>
      </w:r>
      <w:r w:rsidR="00F21FB4">
        <w:rPr>
          <w:rFonts w:eastAsiaTheme="minorHAnsi"/>
          <w:lang w:eastAsia="en-US"/>
        </w:rPr>
        <w:t>-</w:t>
      </w:r>
      <w:r w:rsidRPr="00CE59B9">
        <w:rPr>
          <w:rFonts w:eastAsiaTheme="minorHAnsi"/>
          <w:lang w:eastAsia="en-US"/>
        </w:rPr>
        <w:t xml:space="preserve">term bill projection both </w:t>
      </w:r>
      <w:r w:rsidRPr="001D6A67">
        <w:rPr>
          <w:rFonts w:eastAsiaTheme="minorHAnsi"/>
          <w:lang w:eastAsia="en-US"/>
        </w:rPr>
        <w:t>of £97</w:t>
      </w:r>
      <w:r w:rsidRPr="00CE59B9">
        <w:rPr>
          <w:rFonts w:eastAsiaTheme="minorHAnsi"/>
          <w:lang w:eastAsia="en-US"/>
        </w:rPr>
        <w:t xml:space="preserve"> in real terms.</w:t>
      </w:r>
    </w:p>
    <w:p w:rsidR="00CE59B9" w:rsidRPr="00CE59B9" w:rsidRDefault="00F21FB4" w:rsidP="002F6124">
      <w:pPr>
        <w:rPr>
          <w:rFonts w:eastAsiaTheme="minorHAnsi"/>
          <w:b/>
          <w:lang w:eastAsia="en-US"/>
        </w:rPr>
      </w:pPr>
      <w:r>
        <w:rPr>
          <w:rFonts w:eastAsiaTheme="minorHAnsi"/>
          <w:b/>
          <w:lang w:eastAsia="en-US"/>
        </w:rPr>
        <w:t>RCV run off</w:t>
      </w:r>
    </w:p>
    <w:p w:rsidR="00CE59B9" w:rsidRPr="00CE59B9" w:rsidRDefault="00CE59B9" w:rsidP="002F6124">
      <w:pPr>
        <w:rPr>
          <w:rFonts w:eastAsiaTheme="minorHAnsi"/>
          <w:lang w:eastAsia="en-US"/>
        </w:rPr>
      </w:pPr>
      <w:r w:rsidRPr="00CE59B9">
        <w:rPr>
          <w:rFonts w:eastAsiaTheme="minorHAnsi"/>
          <w:lang w:eastAsia="en-US"/>
        </w:rPr>
        <w:t xml:space="preserve">The RCV run off rate for each of the wholesale price controls have been calculated based upon the average asset life for the infrastructure assets, together with an annual allowance for annual maintenance </w:t>
      </w:r>
      <w:r w:rsidR="00964B14">
        <w:rPr>
          <w:rFonts w:eastAsiaTheme="minorHAnsi"/>
          <w:lang w:eastAsia="en-US"/>
        </w:rPr>
        <w:t>Capex</w:t>
      </w:r>
      <w:r w:rsidRPr="00CE59B9">
        <w:rPr>
          <w:rFonts w:eastAsiaTheme="minorHAnsi"/>
          <w:lang w:eastAsia="en-US"/>
        </w:rPr>
        <w:t xml:space="preserve"> (in order to maintain the assets in the same condition).  Further information in support of thee rates have been included in the table narrative for tables Wr4 and Wn4.  This includes the water resources pre and post 2020 run off rates.  No further adjustments have been made to the natural RCV run off rate.</w:t>
      </w:r>
    </w:p>
    <w:p w:rsidR="00C60D6C" w:rsidRDefault="00246AD9" w:rsidP="00246AD9">
      <w:pPr>
        <w:pStyle w:val="Heading3"/>
      </w:pPr>
      <w:bookmarkStart w:id="262" w:name="_Toc523651339"/>
      <w:r>
        <w:t>B</w:t>
      </w:r>
      <w:r w:rsidR="00C60D6C">
        <w:t>ill levels, profiles and acceptability</w:t>
      </w:r>
      <w:bookmarkEnd w:id="262"/>
    </w:p>
    <w:p w:rsidR="00E449ED" w:rsidRPr="002F6124" w:rsidRDefault="00E449ED" w:rsidP="002F6124">
      <w:pPr>
        <w:rPr>
          <w:rFonts w:eastAsiaTheme="minorHAnsi"/>
          <w:b/>
          <w:lang w:eastAsia="en-US"/>
        </w:rPr>
      </w:pPr>
      <w:r w:rsidRPr="002F6124">
        <w:rPr>
          <w:rFonts w:eastAsiaTheme="minorHAnsi"/>
          <w:b/>
          <w:lang w:eastAsia="en-US"/>
        </w:rPr>
        <w:t>Overall bill level</w:t>
      </w:r>
    </w:p>
    <w:p w:rsidR="00E449ED" w:rsidRPr="00E449ED" w:rsidRDefault="00AD3CFA" w:rsidP="002F6124">
      <w:pPr>
        <w:rPr>
          <w:rFonts w:eastAsiaTheme="minorHAnsi"/>
          <w:lang w:eastAsia="en-US"/>
        </w:rPr>
      </w:pPr>
      <w:r>
        <w:rPr>
          <w:rFonts w:eastAsiaTheme="minorHAnsi"/>
          <w:lang w:eastAsia="en-US"/>
        </w:rPr>
        <w:t xml:space="preserve">We have continued to deliver best quality service and provide the lowest water bill in the sector from AMP7 and beyond.  </w:t>
      </w:r>
      <w:r w:rsidR="00E449ED" w:rsidRPr="00E449ED">
        <w:rPr>
          <w:rFonts w:eastAsiaTheme="minorHAnsi"/>
          <w:lang w:eastAsia="en-US"/>
        </w:rPr>
        <w:t>Our Business Plan results in an average real bill of £97.10.  This has been calculated based upon our Business plan assumptions and using the Ofwat financial model to undertake the bill calculations.  This includes applying the WACC and retail margin as set out in Ofwat’s early view on the cost of capital, together with a 30bps uplift (relating to Company Specific Premium) and a 1.8% point increase in PAYG to support notional financeability.  These latter points are discussed further below.</w:t>
      </w:r>
    </w:p>
    <w:p w:rsidR="00E449ED" w:rsidRPr="00E449ED" w:rsidRDefault="00E449ED" w:rsidP="002F6124">
      <w:pPr>
        <w:rPr>
          <w:rFonts w:eastAsiaTheme="minorHAnsi"/>
          <w:lang w:eastAsia="en-US"/>
        </w:rPr>
      </w:pPr>
      <w:r w:rsidRPr="00E449ED">
        <w:rPr>
          <w:rFonts w:eastAsiaTheme="minorHAnsi"/>
          <w:lang w:eastAsia="en-US"/>
        </w:rPr>
        <w:t xml:space="preserve">Customer acceptance testing has been undertaken on this bill level with overall levels of acceptance being </w:t>
      </w:r>
      <w:r w:rsidRPr="00F21FB4">
        <w:rPr>
          <w:rFonts w:eastAsiaTheme="minorHAnsi"/>
          <w:lang w:eastAsia="en-US"/>
        </w:rPr>
        <w:t>80%</w:t>
      </w:r>
      <w:r w:rsidRPr="00E449ED">
        <w:rPr>
          <w:rFonts w:eastAsiaTheme="minorHAnsi"/>
          <w:lang w:eastAsia="en-US"/>
        </w:rPr>
        <w:t xml:space="preserve">.  This has also been tested based on the combined bill with forecast sewerage charges of </w:t>
      </w:r>
      <w:r w:rsidR="00194209">
        <w:rPr>
          <w:rFonts w:eastAsiaTheme="minorHAnsi"/>
          <w:lang w:eastAsia="en-US"/>
        </w:rPr>
        <w:t xml:space="preserve">circa </w:t>
      </w:r>
      <w:r w:rsidRPr="00E449ED">
        <w:rPr>
          <w:rFonts w:eastAsiaTheme="minorHAnsi"/>
          <w:lang w:eastAsia="en-US"/>
        </w:rPr>
        <w:t>£</w:t>
      </w:r>
      <w:r w:rsidR="00F21FB4">
        <w:rPr>
          <w:rFonts w:eastAsiaTheme="minorHAnsi"/>
          <w:lang w:eastAsia="en-US"/>
        </w:rPr>
        <w:t>3</w:t>
      </w:r>
      <w:r w:rsidR="00194209">
        <w:rPr>
          <w:rFonts w:eastAsiaTheme="minorHAnsi"/>
          <w:lang w:eastAsia="en-US"/>
        </w:rPr>
        <w:t>8</w:t>
      </w:r>
      <w:r w:rsidR="00F21FB4">
        <w:rPr>
          <w:rFonts w:eastAsiaTheme="minorHAnsi"/>
          <w:lang w:eastAsia="en-US"/>
        </w:rPr>
        <w:t>0,</w:t>
      </w:r>
      <w:r w:rsidRPr="00E449ED">
        <w:rPr>
          <w:rFonts w:eastAsiaTheme="minorHAnsi"/>
          <w:lang w:eastAsia="en-US"/>
        </w:rPr>
        <w:t xml:space="preserve"> with acceptance levels of </w:t>
      </w:r>
      <w:r w:rsidR="00194209">
        <w:rPr>
          <w:rFonts w:eastAsiaTheme="minorHAnsi"/>
          <w:lang w:eastAsia="en-US"/>
        </w:rPr>
        <w:t>79</w:t>
      </w:r>
      <w:r w:rsidRPr="00194209">
        <w:rPr>
          <w:rFonts w:eastAsiaTheme="minorHAnsi"/>
          <w:lang w:eastAsia="en-US"/>
        </w:rPr>
        <w:t>%.</w:t>
      </w:r>
      <w:r w:rsidRPr="00E449ED">
        <w:rPr>
          <w:rFonts w:eastAsiaTheme="minorHAnsi"/>
          <w:lang w:eastAsia="en-US"/>
        </w:rPr>
        <w:t xml:space="preserve"> </w:t>
      </w:r>
    </w:p>
    <w:p w:rsidR="00E449ED" w:rsidRPr="00E449ED" w:rsidRDefault="00E449ED" w:rsidP="002F6124">
      <w:pPr>
        <w:rPr>
          <w:rFonts w:eastAsiaTheme="minorHAnsi"/>
          <w:color w:val="000000" w:themeColor="text1"/>
          <w:lang w:eastAsia="en-US"/>
        </w:rPr>
      </w:pPr>
      <w:r w:rsidRPr="00E449ED">
        <w:rPr>
          <w:rFonts w:eastAsiaTheme="minorHAnsi"/>
          <w:color w:val="000000" w:themeColor="text1"/>
          <w:lang w:eastAsia="en-US"/>
        </w:rPr>
        <w:t>We note that average bills for 2018/19 are forecast based upon actual tariffs set for the year.  Bills for 2019/20 are based on forecast tariffs for that year and also have regard for the overall limits set on the PR14 price control.</w:t>
      </w:r>
    </w:p>
    <w:p w:rsidR="00E449ED" w:rsidRPr="002F6124" w:rsidRDefault="00E449ED" w:rsidP="002F6124">
      <w:pPr>
        <w:rPr>
          <w:rFonts w:eastAsiaTheme="minorHAnsi"/>
          <w:b/>
          <w:lang w:eastAsia="en-US"/>
        </w:rPr>
      </w:pPr>
      <w:r w:rsidRPr="002F6124">
        <w:rPr>
          <w:rFonts w:eastAsiaTheme="minorHAnsi"/>
          <w:b/>
          <w:lang w:eastAsia="en-US"/>
        </w:rPr>
        <w:t>Future bill level</w:t>
      </w:r>
    </w:p>
    <w:p w:rsidR="00E449ED" w:rsidRDefault="00E449ED" w:rsidP="002F6124">
      <w:pPr>
        <w:rPr>
          <w:rFonts w:eastAsiaTheme="minorHAnsi"/>
          <w:lang w:eastAsia="en-US"/>
        </w:rPr>
      </w:pPr>
      <w:r w:rsidRPr="00E449ED">
        <w:rPr>
          <w:rFonts w:eastAsiaTheme="minorHAnsi"/>
          <w:lang w:eastAsia="en-US"/>
        </w:rPr>
        <w:t>The long term bill profile has been set out below.  This is based upon our financial model, a copy of which has been included at Appendix 14</w:t>
      </w:r>
      <w:r w:rsidR="00055FFF">
        <w:rPr>
          <w:rFonts w:eastAsiaTheme="minorHAnsi"/>
          <w:lang w:eastAsia="en-US"/>
        </w:rPr>
        <w:t>.2</w:t>
      </w:r>
      <w:r w:rsidRPr="00E449ED">
        <w:rPr>
          <w:rFonts w:eastAsiaTheme="minorHAnsi"/>
          <w:lang w:eastAsia="en-US"/>
        </w:rPr>
        <w:t xml:space="preserve">.  This demonstrates our intention of keeping bills flat in real terms over the longer term.  Again customer acceptance testing showed high, </w:t>
      </w:r>
      <w:r w:rsidRPr="00055FFF">
        <w:rPr>
          <w:rFonts w:eastAsiaTheme="minorHAnsi"/>
          <w:lang w:eastAsia="en-US"/>
        </w:rPr>
        <w:t>80%</w:t>
      </w:r>
      <w:r w:rsidRPr="00E449ED">
        <w:rPr>
          <w:rFonts w:eastAsiaTheme="minorHAnsi"/>
          <w:lang w:eastAsia="en-US"/>
        </w:rPr>
        <w:t xml:space="preserve"> levels of acceptance of bill levels in future regulatory periods.</w:t>
      </w:r>
    </w:p>
    <w:tbl>
      <w:tblPr>
        <w:tblW w:w="9639" w:type="dxa"/>
        <w:tblInd w:w="-5" w:type="dxa"/>
        <w:tblLayout w:type="fixed"/>
        <w:tblLook w:val="04A0" w:firstRow="1" w:lastRow="0" w:firstColumn="1" w:lastColumn="0" w:noHBand="0" w:noVBand="1"/>
      </w:tblPr>
      <w:tblGrid>
        <w:gridCol w:w="851"/>
        <w:gridCol w:w="709"/>
        <w:gridCol w:w="708"/>
        <w:gridCol w:w="709"/>
        <w:gridCol w:w="851"/>
        <w:gridCol w:w="850"/>
        <w:gridCol w:w="567"/>
        <w:gridCol w:w="709"/>
        <w:gridCol w:w="709"/>
        <w:gridCol w:w="708"/>
        <w:gridCol w:w="709"/>
        <w:gridCol w:w="851"/>
        <w:gridCol w:w="708"/>
      </w:tblGrid>
      <w:tr w:rsidR="00E449ED" w:rsidRPr="00E449ED" w:rsidTr="00E449ED">
        <w:trPr>
          <w:trHeight w:val="204"/>
        </w:trPr>
        <w:tc>
          <w:tcPr>
            <w:tcW w:w="851" w:type="dxa"/>
            <w:tcBorders>
              <w:top w:val="single" w:sz="4" w:space="0" w:color="auto"/>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right="-108" w:hanging="108"/>
              <w:jc w:val="left"/>
              <w:rPr>
                <w:rFonts w:cs="Arial"/>
                <w:b/>
                <w:color w:val="FFFFFF" w:themeColor="background1"/>
                <w:sz w:val="16"/>
                <w:szCs w:val="16"/>
              </w:rPr>
            </w:pPr>
            <w:r w:rsidRPr="00E449ED">
              <w:rPr>
                <w:rFonts w:cs="Arial"/>
                <w:b/>
                <w:color w:val="FFFFFF" w:themeColor="background1"/>
                <w:sz w:val="16"/>
                <w:szCs w:val="16"/>
              </w:rPr>
              <w:t>Price base</w:t>
            </w:r>
          </w:p>
        </w:tc>
        <w:tc>
          <w:tcPr>
            <w:tcW w:w="709" w:type="dxa"/>
            <w:tcBorders>
              <w:top w:val="single" w:sz="4" w:space="0" w:color="auto"/>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2015/16</w:t>
            </w:r>
          </w:p>
        </w:tc>
        <w:tc>
          <w:tcPr>
            <w:tcW w:w="708"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2016/17</w:t>
            </w:r>
          </w:p>
        </w:tc>
        <w:tc>
          <w:tcPr>
            <w:tcW w:w="709"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2017/18</w:t>
            </w:r>
          </w:p>
        </w:tc>
        <w:tc>
          <w:tcPr>
            <w:tcW w:w="851"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2018/19</w:t>
            </w:r>
          </w:p>
        </w:tc>
        <w:tc>
          <w:tcPr>
            <w:tcW w:w="850" w:type="dxa"/>
            <w:tcBorders>
              <w:top w:val="single" w:sz="4" w:space="0" w:color="auto"/>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2019/20</w:t>
            </w:r>
          </w:p>
        </w:tc>
        <w:tc>
          <w:tcPr>
            <w:tcW w:w="567"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2F6124">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AMP</w:t>
            </w:r>
            <w:r w:rsidR="002F6124">
              <w:rPr>
                <w:rFonts w:cs="Arial"/>
                <w:b/>
                <w:color w:val="FFFFFF" w:themeColor="background1"/>
                <w:sz w:val="16"/>
                <w:szCs w:val="16"/>
              </w:rPr>
              <w:t>6</w:t>
            </w:r>
          </w:p>
        </w:tc>
        <w:tc>
          <w:tcPr>
            <w:tcW w:w="709" w:type="dxa"/>
            <w:tcBorders>
              <w:top w:val="single" w:sz="4" w:space="0" w:color="auto"/>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2020/21</w:t>
            </w:r>
          </w:p>
        </w:tc>
        <w:tc>
          <w:tcPr>
            <w:tcW w:w="709"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2021/22</w:t>
            </w:r>
          </w:p>
        </w:tc>
        <w:tc>
          <w:tcPr>
            <w:tcW w:w="708"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2022/23</w:t>
            </w:r>
          </w:p>
        </w:tc>
        <w:tc>
          <w:tcPr>
            <w:tcW w:w="709"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2023/24</w:t>
            </w:r>
          </w:p>
        </w:tc>
        <w:tc>
          <w:tcPr>
            <w:tcW w:w="851" w:type="dxa"/>
            <w:tcBorders>
              <w:top w:val="single" w:sz="4" w:space="0" w:color="auto"/>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2024/25</w:t>
            </w:r>
          </w:p>
        </w:tc>
        <w:tc>
          <w:tcPr>
            <w:tcW w:w="708" w:type="dxa"/>
            <w:tcBorders>
              <w:top w:val="single" w:sz="4" w:space="0" w:color="auto"/>
              <w:left w:val="nil"/>
              <w:bottom w:val="nil"/>
              <w:right w:val="single" w:sz="4" w:space="0" w:color="auto"/>
            </w:tcBorders>
            <w:shd w:val="clear" w:color="auto" w:fill="2E74B5" w:themeFill="accent1" w:themeFillShade="BF"/>
            <w:noWrap/>
            <w:vAlign w:val="bottom"/>
            <w:hideMark/>
          </w:tcPr>
          <w:p w:rsidR="00E449ED" w:rsidRPr="00E449ED" w:rsidRDefault="00E449ED" w:rsidP="002F6124">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AMP</w:t>
            </w:r>
            <w:r w:rsidR="002F6124">
              <w:rPr>
                <w:rFonts w:cs="Arial"/>
                <w:b/>
                <w:color w:val="FFFFFF" w:themeColor="background1"/>
                <w:sz w:val="16"/>
                <w:szCs w:val="16"/>
              </w:rPr>
              <w:t>7</w:t>
            </w:r>
          </w:p>
        </w:tc>
      </w:tr>
      <w:tr w:rsidR="00E449ED" w:rsidRPr="00E449ED" w:rsidTr="00E449ED">
        <w:trPr>
          <w:trHeight w:val="204"/>
        </w:trPr>
        <w:tc>
          <w:tcPr>
            <w:tcW w:w="851"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left"/>
              <w:rPr>
                <w:rFonts w:cs="Arial"/>
                <w:b/>
                <w:color w:val="FFFFFF" w:themeColor="background1"/>
                <w:sz w:val="16"/>
                <w:szCs w:val="16"/>
              </w:rPr>
            </w:pPr>
          </w:p>
        </w:tc>
        <w:tc>
          <w:tcPr>
            <w:tcW w:w="709"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Actual</w:t>
            </w:r>
          </w:p>
        </w:tc>
        <w:tc>
          <w:tcPr>
            <w:tcW w:w="708"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Actual</w:t>
            </w:r>
          </w:p>
        </w:tc>
        <w:tc>
          <w:tcPr>
            <w:tcW w:w="709"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Budget</w:t>
            </w:r>
          </w:p>
        </w:tc>
        <w:tc>
          <w:tcPr>
            <w:tcW w:w="851"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850" w:type="dxa"/>
            <w:tcBorders>
              <w:top w:val="nil"/>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567"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Avge</w:t>
            </w:r>
          </w:p>
        </w:tc>
        <w:tc>
          <w:tcPr>
            <w:tcW w:w="709"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9"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8"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9"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851" w:type="dxa"/>
            <w:tcBorders>
              <w:top w:val="nil"/>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8" w:type="dxa"/>
            <w:tcBorders>
              <w:top w:val="nil"/>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Avge</w:t>
            </w:r>
          </w:p>
        </w:tc>
      </w:tr>
      <w:tr w:rsidR="00E449ED" w:rsidRPr="00E449ED" w:rsidTr="00E449ED">
        <w:trPr>
          <w:trHeight w:val="204"/>
        </w:trPr>
        <w:tc>
          <w:tcPr>
            <w:tcW w:w="851"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left"/>
              <w:rPr>
                <w:rFonts w:cs="Arial"/>
                <w:b/>
                <w:color w:val="FFFFFF" w:themeColor="background1"/>
                <w:sz w:val="16"/>
                <w:szCs w:val="16"/>
              </w:rPr>
            </w:pPr>
            <w:r w:rsidRPr="00E449ED">
              <w:rPr>
                <w:rFonts w:cs="Arial"/>
                <w:b/>
                <w:color w:val="FFFFFF" w:themeColor="background1"/>
                <w:sz w:val="16"/>
                <w:szCs w:val="16"/>
              </w:rPr>
              <w:t>Outturn</w:t>
            </w:r>
          </w:p>
        </w:tc>
        <w:tc>
          <w:tcPr>
            <w:tcW w:w="709" w:type="dxa"/>
            <w:tcBorders>
              <w:top w:val="nil"/>
              <w:left w:val="single" w:sz="4" w:space="0" w:color="auto"/>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100</w:t>
            </w:r>
          </w:p>
        </w:tc>
        <w:tc>
          <w:tcPr>
            <w:tcW w:w="708"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102</w:t>
            </w:r>
          </w:p>
        </w:tc>
        <w:tc>
          <w:tcPr>
            <w:tcW w:w="709"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102</w:t>
            </w:r>
          </w:p>
        </w:tc>
        <w:tc>
          <w:tcPr>
            <w:tcW w:w="851"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102</w:t>
            </w:r>
          </w:p>
        </w:tc>
        <w:tc>
          <w:tcPr>
            <w:tcW w:w="850" w:type="dxa"/>
            <w:tcBorders>
              <w:top w:val="nil"/>
              <w:left w:val="nil"/>
              <w:bottom w:val="nil"/>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106</w:t>
            </w:r>
          </w:p>
        </w:tc>
        <w:tc>
          <w:tcPr>
            <w:tcW w:w="567"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102</w:t>
            </w:r>
          </w:p>
        </w:tc>
        <w:tc>
          <w:tcPr>
            <w:tcW w:w="709" w:type="dxa"/>
            <w:tcBorders>
              <w:top w:val="nil"/>
              <w:left w:val="single" w:sz="4" w:space="0" w:color="auto"/>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103</w:t>
            </w:r>
          </w:p>
        </w:tc>
        <w:tc>
          <w:tcPr>
            <w:tcW w:w="709"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105</w:t>
            </w:r>
          </w:p>
        </w:tc>
        <w:tc>
          <w:tcPr>
            <w:tcW w:w="708"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107</w:t>
            </w:r>
          </w:p>
        </w:tc>
        <w:tc>
          <w:tcPr>
            <w:tcW w:w="709"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109</w:t>
            </w:r>
          </w:p>
        </w:tc>
        <w:tc>
          <w:tcPr>
            <w:tcW w:w="851" w:type="dxa"/>
            <w:tcBorders>
              <w:top w:val="nil"/>
              <w:left w:val="nil"/>
              <w:bottom w:val="nil"/>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112</w:t>
            </w:r>
          </w:p>
        </w:tc>
        <w:tc>
          <w:tcPr>
            <w:tcW w:w="708" w:type="dxa"/>
            <w:tcBorders>
              <w:top w:val="nil"/>
              <w:left w:val="nil"/>
              <w:bottom w:val="nil"/>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107</w:t>
            </w:r>
          </w:p>
        </w:tc>
      </w:tr>
      <w:tr w:rsidR="00E449ED" w:rsidRPr="00E449ED" w:rsidTr="00E449ED">
        <w:trPr>
          <w:trHeight w:val="204"/>
        </w:trPr>
        <w:tc>
          <w:tcPr>
            <w:tcW w:w="851"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left"/>
              <w:rPr>
                <w:rFonts w:cs="Arial"/>
                <w:b/>
                <w:color w:val="FFFFFF" w:themeColor="background1"/>
                <w:sz w:val="16"/>
                <w:szCs w:val="16"/>
              </w:rPr>
            </w:pPr>
            <w:r w:rsidRPr="00E449ED">
              <w:rPr>
                <w:rFonts w:cs="Arial"/>
                <w:b/>
                <w:color w:val="FFFFFF" w:themeColor="background1"/>
                <w:sz w:val="16"/>
                <w:szCs w:val="16"/>
              </w:rPr>
              <w:t>2017/18</w:t>
            </w:r>
          </w:p>
        </w:tc>
        <w:tc>
          <w:tcPr>
            <w:tcW w:w="709" w:type="dxa"/>
            <w:tcBorders>
              <w:top w:val="nil"/>
              <w:left w:val="single" w:sz="4" w:space="0" w:color="auto"/>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103</w:t>
            </w:r>
          </w:p>
        </w:tc>
        <w:tc>
          <w:tcPr>
            <w:tcW w:w="708"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104</w:t>
            </w:r>
          </w:p>
        </w:tc>
        <w:tc>
          <w:tcPr>
            <w:tcW w:w="709"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102</w:t>
            </w:r>
          </w:p>
        </w:tc>
        <w:tc>
          <w:tcPr>
            <w:tcW w:w="851"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98</w:t>
            </w:r>
          </w:p>
        </w:tc>
        <w:tc>
          <w:tcPr>
            <w:tcW w:w="850" w:type="dxa"/>
            <w:tcBorders>
              <w:top w:val="nil"/>
              <w:left w:val="nil"/>
              <w:bottom w:val="single" w:sz="4" w:space="0" w:color="auto"/>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99</w:t>
            </w:r>
          </w:p>
        </w:tc>
        <w:tc>
          <w:tcPr>
            <w:tcW w:w="567"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101</w:t>
            </w:r>
          </w:p>
        </w:tc>
        <w:tc>
          <w:tcPr>
            <w:tcW w:w="709" w:type="dxa"/>
            <w:tcBorders>
              <w:top w:val="nil"/>
              <w:left w:val="single" w:sz="4" w:space="0" w:color="auto"/>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709"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708"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709"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851" w:type="dxa"/>
            <w:tcBorders>
              <w:top w:val="nil"/>
              <w:left w:val="nil"/>
              <w:bottom w:val="single" w:sz="4" w:space="0" w:color="auto"/>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708" w:type="dxa"/>
            <w:tcBorders>
              <w:top w:val="nil"/>
              <w:left w:val="nil"/>
              <w:bottom w:val="single" w:sz="4" w:space="0" w:color="auto"/>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97 </w:t>
            </w:r>
          </w:p>
        </w:tc>
      </w:tr>
      <w:tr w:rsidR="00E449ED" w:rsidRPr="00E449ED" w:rsidTr="00E449ED">
        <w:trPr>
          <w:trHeight w:val="204"/>
        </w:trPr>
        <w:tc>
          <w:tcPr>
            <w:tcW w:w="851"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left"/>
              <w:rPr>
                <w:rFonts w:cs="Arial"/>
                <w:b/>
                <w:color w:val="FFFFFF" w:themeColor="background1"/>
                <w:sz w:val="16"/>
                <w:szCs w:val="16"/>
              </w:rPr>
            </w:pPr>
          </w:p>
        </w:tc>
        <w:tc>
          <w:tcPr>
            <w:tcW w:w="709" w:type="dxa"/>
            <w:tcBorders>
              <w:top w:val="single" w:sz="4" w:space="0" w:color="auto"/>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2025/26</w:t>
            </w:r>
          </w:p>
        </w:tc>
        <w:tc>
          <w:tcPr>
            <w:tcW w:w="708"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2026/27</w:t>
            </w:r>
          </w:p>
        </w:tc>
        <w:tc>
          <w:tcPr>
            <w:tcW w:w="709"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2027/28</w:t>
            </w:r>
          </w:p>
        </w:tc>
        <w:tc>
          <w:tcPr>
            <w:tcW w:w="851"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2028/29</w:t>
            </w:r>
          </w:p>
        </w:tc>
        <w:tc>
          <w:tcPr>
            <w:tcW w:w="850" w:type="dxa"/>
            <w:tcBorders>
              <w:top w:val="single" w:sz="4" w:space="0" w:color="auto"/>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2029/30</w:t>
            </w:r>
          </w:p>
        </w:tc>
        <w:tc>
          <w:tcPr>
            <w:tcW w:w="567"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2F6124">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AMP</w:t>
            </w:r>
            <w:r w:rsidR="002F6124">
              <w:rPr>
                <w:rFonts w:cs="Arial"/>
                <w:b/>
                <w:color w:val="FFFFFF" w:themeColor="background1"/>
                <w:sz w:val="16"/>
                <w:szCs w:val="16"/>
              </w:rPr>
              <w:t>8</w:t>
            </w:r>
          </w:p>
        </w:tc>
        <w:tc>
          <w:tcPr>
            <w:tcW w:w="709" w:type="dxa"/>
            <w:tcBorders>
              <w:top w:val="single" w:sz="4" w:space="0" w:color="auto"/>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2030/31</w:t>
            </w:r>
          </w:p>
        </w:tc>
        <w:tc>
          <w:tcPr>
            <w:tcW w:w="709"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2031/32</w:t>
            </w:r>
          </w:p>
        </w:tc>
        <w:tc>
          <w:tcPr>
            <w:tcW w:w="708"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2032/33</w:t>
            </w:r>
          </w:p>
        </w:tc>
        <w:tc>
          <w:tcPr>
            <w:tcW w:w="709" w:type="dxa"/>
            <w:tcBorders>
              <w:top w:val="single" w:sz="4" w:space="0" w:color="auto"/>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2033/34</w:t>
            </w:r>
          </w:p>
        </w:tc>
        <w:tc>
          <w:tcPr>
            <w:tcW w:w="851" w:type="dxa"/>
            <w:tcBorders>
              <w:top w:val="single" w:sz="4" w:space="0" w:color="auto"/>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2034/35</w:t>
            </w:r>
          </w:p>
        </w:tc>
        <w:tc>
          <w:tcPr>
            <w:tcW w:w="708" w:type="dxa"/>
            <w:tcBorders>
              <w:top w:val="single" w:sz="4" w:space="0" w:color="auto"/>
              <w:left w:val="nil"/>
              <w:bottom w:val="nil"/>
              <w:right w:val="single" w:sz="4" w:space="0" w:color="auto"/>
            </w:tcBorders>
            <w:shd w:val="clear" w:color="auto" w:fill="2E74B5" w:themeFill="accent1" w:themeFillShade="BF"/>
            <w:noWrap/>
            <w:vAlign w:val="bottom"/>
            <w:hideMark/>
          </w:tcPr>
          <w:p w:rsidR="00E449ED" w:rsidRPr="00E449ED" w:rsidRDefault="00E449ED" w:rsidP="002F6124">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AMP</w:t>
            </w:r>
            <w:r w:rsidR="002F6124">
              <w:rPr>
                <w:rFonts w:cs="Arial"/>
                <w:b/>
                <w:color w:val="FFFFFF" w:themeColor="background1"/>
                <w:sz w:val="16"/>
                <w:szCs w:val="16"/>
              </w:rPr>
              <w:t>9</w:t>
            </w:r>
          </w:p>
        </w:tc>
      </w:tr>
      <w:tr w:rsidR="00E449ED" w:rsidRPr="00E449ED" w:rsidTr="00E449ED">
        <w:trPr>
          <w:trHeight w:val="204"/>
        </w:trPr>
        <w:tc>
          <w:tcPr>
            <w:tcW w:w="851"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left"/>
              <w:rPr>
                <w:rFonts w:cs="Arial"/>
                <w:b/>
                <w:color w:val="FFFFFF" w:themeColor="background1"/>
                <w:sz w:val="16"/>
                <w:szCs w:val="16"/>
              </w:rPr>
            </w:pPr>
          </w:p>
        </w:tc>
        <w:tc>
          <w:tcPr>
            <w:tcW w:w="709"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8"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9"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851"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850" w:type="dxa"/>
            <w:tcBorders>
              <w:top w:val="nil"/>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567"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Avge</w:t>
            </w:r>
          </w:p>
        </w:tc>
        <w:tc>
          <w:tcPr>
            <w:tcW w:w="709"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9"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8"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9" w:type="dxa"/>
            <w:tcBorders>
              <w:top w:val="nil"/>
              <w:left w:val="nil"/>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851" w:type="dxa"/>
            <w:tcBorders>
              <w:top w:val="nil"/>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F'cast</w:t>
            </w:r>
          </w:p>
        </w:tc>
        <w:tc>
          <w:tcPr>
            <w:tcW w:w="708" w:type="dxa"/>
            <w:tcBorders>
              <w:top w:val="nil"/>
              <w:left w:val="nil"/>
              <w:bottom w:val="nil"/>
              <w:right w:val="single" w:sz="4" w:space="0" w:color="auto"/>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right"/>
              <w:rPr>
                <w:rFonts w:cs="Arial"/>
                <w:b/>
                <w:color w:val="FFFFFF" w:themeColor="background1"/>
                <w:sz w:val="16"/>
                <w:szCs w:val="16"/>
              </w:rPr>
            </w:pPr>
            <w:r w:rsidRPr="00E449ED">
              <w:rPr>
                <w:rFonts w:cs="Arial"/>
                <w:b/>
                <w:color w:val="FFFFFF" w:themeColor="background1"/>
                <w:sz w:val="16"/>
                <w:szCs w:val="16"/>
              </w:rPr>
              <w:t>Avge</w:t>
            </w:r>
          </w:p>
        </w:tc>
      </w:tr>
      <w:tr w:rsidR="00E449ED" w:rsidRPr="00E449ED" w:rsidTr="00E449ED">
        <w:trPr>
          <w:trHeight w:val="204"/>
        </w:trPr>
        <w:tc>
          <w:tcPr>
            <w:tcW w:w="851" w:type="dxa"/>
            <w:tcBorders>
              <w:top w:val="nil"/>
              <w:left w:val="single" w:sz="4" w:space="0" w:color="auto"/>
              <w:bottom w:val="nil"/>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left"/>
              <w:rPr>
                <w:rFonts w:cs="Arial"/>
                <w:b/>
                <w:color w:val="FFFFFF" w:themeColor="background1"/>
                <w:sz w:val="16"/>
                <w:szCs w:val="16"/>
              </w:rPr>
            </w:pPr>
            <w:r w:rsidRPr="00E449ED">
              <w:rPr>
                <w:rFonts w:cs="Arial"/>
                <w:b/>
                <w:color w:val="FFFFFF" w:themeColor="background1"/>
                <w:sz w:val="16"/>
                <w:szCs w:val="16"/>
              </w:rPr>
              <w:t>Outturn</w:t>
            </w:r>
          </w:p>
        </w:tc>
        <w:tc>
          <w:tcPr>
            <w:tcW w:w="709" w:type="dxa"/>
            <w:tcBorders>
              <w:top w:val="nil"/>
              <w:left w:val="single" w:sz="4" w:space="0" w:color="auto"/>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114</w:t>
            </w:r>
          </w:p>
        </w:tc>
        <w:tc>
          <w:tcPr>
            <w:tcW w:w="708"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116</w:t>
            </w:r>
          </w:p>
        </w:tc>
        <w:tc>
          <w:tcPr>
            <w:tcW w:w="709"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118</w:t>
            </w:r>
          </w:p>
        </w:tc>
        <w:tc>
          <w:tcPr>
            <w:tcW w:w="851"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121</w:t>
            </w:r>
          </w:p>
        </w:tc>
        <w:tc>
          <w:tcPr>
            <w:tcW w:w="850" w:type="dxa"/>
            <w:tcBorders>
              <w:top w:val="nil"/>
              <w:left w:val="nil"/>
              <w:bottom w:val="nil"/>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123</w:t>
            </w:r>
          </w:p>
        </w:tc>
        <w:tc>
          <w:tcPr>
            <w:tcW w:w="567"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118</w:t>
            </w:r>
          </w:p>
        </w:tc>
        <w:tc>
          <w:tcPr>
            <w:tcW w:w="709" w:type="dxa"/>
            <w:tcBorders>
              <w:top w:val="nil"/>
              <w:left w:val="single" w:sz="4" w:space="0" w:color="auto"/>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126</w:t>
            </w:r>
          </w:p>
        </w:tc>
        <w:tc>
          <w:tcPr>
            <w:tcW w:w="709"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129</w:t>
            </w:r>
          </w:p>
        </w:tc>
        <w:tc>
          <w:tcPr>
            <w:tcW w:w="708"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131</w:t>
            </w:r>
          </w:p>
        </w:tc>
        <w:tc>
          <w:tcPr>
            <w:tcW w:w="709" w:type="dxa"/>
            <w:tcBorders>
              <w:top w:val="nil"/>
              <w:left w:val="nil"/>
              <w:bottom w:val="nil"/>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133</w:t>
            </w:r>
          </w:p>
        </w:tc>
        <w:tc>
          <w:tcPr>
            <w:tcW w:w="851" w:type="dxa"/>
            <w:tcBorders>
              <w:top w:val="nil"/>
              <w:left w:val="nil"/>
              <w:bottom w:val="nil"/>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136</w:t>
            </w:r>
          </w:p>
        </w:tc>
        <w:tc>
          <w:tcPr>
            <w:tcW w:w="708" w:type="dxa"/>
            <w:tcBorders>
              <w:top w:val="nil"/>
              <w:left w:val="nil"/>
              <w:bottom w:val="nil"/>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131</w:t>
            </w:r>
          </w:p>
        </w:tc>
      </w:tr>
      <w:tr w:rsidR="00E449ED" w:rsidRPr="00E449ED" w:rsidTr="00E449ED">
        <w:trPr>
          <w:trHeight w:val="204"/>
        </w:trPr>
        <w:tc>
          <w:tcPr>
            <w:tcW w:w="851" w:type="dxa"/>
            <w:tcBorders>
              <w:top w:val="nil"/>
              <w:left w:val="single" w:sz="4" w:space="0" w:color="auto"/>
              <w:bottom w:val="single" w:sz="4" w:space="0" w:color="auto"/>
              <w:right w:val="nil"/>
            </w:tcBorders>
            <w:shd w:val="clear" w:color="auto" w:fill="2E74B5" w:themeFill="accent1" w:themeFillShade="BF"/>
            <w:noWrap/>
            <w:vAlign w:val="bottom"/>
            <w:hideMark/>
          </w:tcPr>
          <w:p w:rsidR="00E449ED" w:rsidRPr="00E449ED" w:rsidRDefault="00E449ED" w:rsidP="00E449ED">
            <w:pPr>
              <w:tabs>
                <w:tab w:val="clear" w:pos="851"/>
              </w:tabs>
              <w:spacing w:after="0"/>
              <w:ind w:left="0" w:hanging="108"/>
              <w:jc w:val="left"/>
              <w:rPr>
                <w:rFonts w:cs="Arial"/>
                <w:b/>
                <w:color w:val="FFFFFF" w:themeColor="background1"/>
                <w:sz w:val="16"/>
                <w:szCs w:val="16"/>
              </w:rPr>
            </w:pPr>
            <w:r w:rsidRPr="00E449ED">
              <w:rPr>
                <w:rFonts w:cs="Arial"/>
                <w:b/>
                <w:color w:val="FFFFFF" w:themeColor="background1"/>
                <w:sz w:val="16"/>
                <w:szCs w:val="16"/>
              </w:rPr>
              <w:t>2017/18</w:t>
            </w:r>
          </w:p>
        </w:tc>
        <w:tc>
          <w:tcPr>
            <w:tcW w:w="709" w:type="dxa"/>
            <w:tcBorders>
              <w:top w:val="nil"/>
              <w:left w:val="single" w:sz="4" w:space="0" w:color="auto"/>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708"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709"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851"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850" w:type="dxa"/>
            <w:tcBorders>
              <w:top w:val="nil"/>
              <w:left w:val="nil"/>
              <w:bottom w:val="single" w:sz="4" w:space="0" w:color="auto"/>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567"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709" w:type="dxa"/>
            <w:tcBorders>
              <w:top w:val="nil"/>
              <w:left w:val="single" w:sz="4" w:space="0" w:color="auto"/>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98</w:t>
            </w:r>
          </w:p>
        </w:tc>
        <w:tc>
          <w:tcPr>
            <w:tcW w:w="709"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98</w:t>
            </w:r>
          </w:p>
        </w:tc>
        <w:tc>
          <w:tcPr>
            <w:tcW w:w="708"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709" w:type="dxa"/>
            <w:tcBorders>
              <w:top w:val="nil"/>
              <w:left w:val="nil"/>
              <w:bottom w:val="single" w:sz="4" w:space="0" w:color="auto"/>
              <w:right w:val="nil"/>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851" w:type="dxa"/>
            <w:tcBorders>
              <w:top w:val="nil"/>
              <w:left w:val="nil"/>
              <w:bottom w:val="single" w:sz="4" w:space="0" w:color="auto"/>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c>
          <w:tcPr>
            <w:tcW w:w="708" w:type="dxa"/>
            <w:tcBorders>
              <w:top w:val="nil"/>
              <w:left w:val="nil"/>
              <w:bottom w:val="single" w:sz="4" w:space="0" w:color="auto"/>
              <w:right w:val="single" w:sz="4" w:space="0" w:color="auto"/>
            </w:tcBorders>
            <w:shd w:val="clear" w:color="auto" w:fill="auto"/>
            <w:noWrap/>
            <w:vAlign w:val="bottom"/>
            <w:hideMark/>
          </w:tcPr>
          <w:p w:rsidR="00E449ED" w:rsidRPr="00E449ED" w:rsidRDefault="00E449ED" w:rsidP="00E449ED">
            <w:pPr>
              <w:tabs>
                <w:tab w:val="clear" w:pos="851"/>
              </w:tabs>
              <w:spacing w:after="0"/>
              <w:ind w:left="0" w:hanging="108"/>
              <w:jc w:val="right"/>
              <w:rPr>
                <w:rFonts w:cs="Arial"/>
                <w:color w:val="000000"/>
                <w:sz w:val="16"/>
                <w:szCs w:val="16"/>
              </w:rPr>
            </w:pPr>
            <w:r w:rsidRPr="00E449ED">
              <w:rPr>
                <w:rFonts w:cs="Arial"/>
                <w:color w:val="000000"/>
                <w:sz w:val="16"/>
                <w:szCs w:val="16"/>
              </w:rPr>
              <w:t>97</w:t>
            </w:r>
          </w:p>
        </w:tc>
      </w:tr>
    </w:tbl>
    <w:p w:rsidR="00B24CAC" w:rsidRDefault="00B24CAC" w:rsidP="00B24CAC">
      <w:pPr>
        <w:spacing w:after="0"/>
        <w:rPr>
          <w:rFonts w:eastAsiaTheme="minorHAnsi"/>
          <w:b/>
          <w:lang w:eastAsia="en-US"/>
        </w:rPr>
      </w:pPr>
    </w:p>
    <w:p w:rsidR="00E449ED" w:rsidRPr="002F6124" w:rsidRDefault="00E449ED" w:rsidP="002F6124">
      <w:pPr>
        <w:rPr>
          <w:rFonts w:eastAsiaTheme="minorHAnsi"/>
          <w:b/>
          <w:lang w:eastAsia="en-US"/>
        </w:rPr>
      </w:pPr>
      <w:r w:rsidRPr="002F6124">
        <w:rPr>
          <w:rFonts w:eastAsiaTheme="minorHAnsi"/>
          <w:b/>
          <w:lang w:eastAsia="en-US"/>
        </w:rPr>
        <w:t>Bill profile</w:t>
      </w:r>
    </w:p>
    <w:p w:rsidR="00E449ED" w:rsidRPr="00E449ED" w:rsidRDefault="00E449ED" w:rsidP="002F6124">
      <w:pPr>
        <w:rPr>
          <w:rFonts w:eastAsiaTheme="minorHAnsi"/>
          <w:lang w:eastAsia="en-US"/>
        </w:rPr>
      </w:pPr>
      <w:r w:rsidRPr="00E449ED">
        <w:rPr>
          <w:rFonts w:eastAsiaTheme="minorHAnsi"/>
          <w:lang w:eastAsia="en-US"/>
        </w:rPr>
        <w:t xml:space="preserve">The natural bill profile, although retaining an average £97 real bill, showed a declining bill over time with starting bill levels of £99 falling to £95.  When given the option between “flat” or “declining” bill profile, over the 5 years of the AMP, customer testing demonstrated a clear preference for “flat” bill profile in real terms.  We have used the functionality within the Ofwat model to perform NPV neutral bill smoothing in light of this customer preference. Appendix </w:t>
      </w:r>
      <w:r w:rsidR="00F21FB4">
        <w:rPr>
          <w:rFonts w:eastAsiaTheme="minorHAnsi"/>
          <w:lang w:eastAsia="en-US"/>
        </w:rPr>
        <w:t>2.28.</w:t>
      </w:r>
    </w:p>
    <w:p w:rsidR="00E449ED" w:rsidRPr="002F6124" w:rsidRDefault="00E449ED" w:rsidP="002F6124">
      <w:pPr>
        <w:rPr>
          <w:rFonts w:eastAsiaTheme="minorHAnsi"/>
          <w:b/>
          <w:lang w:eastAsia="en-US"/>
        </w:rPr>
      </w:pPr>
      <w:r w:rsidRPr="002F6124">
        <w:rPr>
          <w:rFonts w:eastAsiaTheme="minorHAnsi"/>
          <w:b/>
          <w:lang w:eastAsia="en-US"/>
        </w:rPr>
        <w:t>Company Specific Premium</w:t>
      </w:r>
    </w:p>
    <w:p w:rsidR="00E449ED" w:rsidRPr="00E449ED" w:rsidRDefault="00E449ED" w:rsidP="002F6124">
      <w:pPr>
        <w:rPr>
          <w:rFonts w:eastAsiaTheme="minorHAnsi"/>
          <w:lang w:eastAsia="en-US"/>
        </w:rPr>
      </w:pPr>
      <w:r w:rsidRPr="00E449ED">
        <w:rPr>
          <w:rFonts w:eastAsiaTheme="minorHAnsi"/>
          <w:lang w:eastAsia="en-US"/>
        </w:rPr>
        <w:t xml:space="preserve">In </w:t>
      </w:r>
      <w:r w:rsidR="00B857A5" w:rsidRPr="00F21FB4">
        <w:rPr>
          <w:rFonts w:eastAsiaTheme="minorHAnsi"/>
          <w:lang w:eastAsia="en-US"/>
        </w:rPr>
        <w:t>C</w:t>
      </w:r>
      <w:r w:rsidRPr="00F21FB4">
        <w:rPr>
          <w:rFonts w:eastAsiaTheme="minorHAnsi"/>
          <w:lang w:eastAsia="en-US"/>
        </w:rPr>
        <w:t>hapter 10.2</w:t>
      </w:r>
      <w:r w:rsidRPr="00E449ED">
        <w:rPr>
          <w:rFonts w:eastAsiaTheme="minorHAnsi"/>
          <w:lang w:eastAsia="en-US"/>
        </w:rPr>
        <w:t xml:space="preserve"> we set out in detail support for a 30bps uplift to cost of debt to account for a Company Specific Premium.  This results in an increase in bill levels of </w:t>
      </w:r>
      <w:r w:rsidRPr="00F21FB4">
        <w:rPr>
          <w:rFonts w:eastAsiaTheme="minorHAnsi"/>
          <w:lang w:eastAsia="en-US"/>
        </w:rPr>
        <w:t>£0.8</w:t>
      </w:r>
      <w:r w:rsidR="00F21FB4" w:rsidRPr="00F21FB4">
        <w:rPr>
          <w:rFonts w:eastAsiaTheme="minorHAnsi"/>
          <w:lang w:eastAsia="en-US"/>
        </w:rPr>
        <w:t>0</w:t>
      </w:r>
      <w:r w:rsidR="00AD3CFA">
        <w:rPr>
          <w:rFonts w:eastAsiaTheme="minorHAnsi"/>
          <w:lang w:eastAsia="en-US"/>
        </w:rPr>
        <w:t xml:space="preserve"> (less than 1% of the overall bill level)</w:t>
      </w:r>
      <w:r w:rsidRPr="00E449ED">
        <w:rPr>
          <w:rFonts w:eastAsiaTheme="minorHAnsi"/>
          <w:lang w:eastAsia="en-US"/>
        </w:rPr>
        <w:t xml:space="preserve"> in real terms.  Customer acceptance of this was tested through focus groups.  The research showed that the benefits of a small local water company were highly valued by our customers and that there was strong support for a bill increase of approximately </w:t>
      </w:r>
      <w:r w:rsidRPr="00F21FB4">
        <w:rPr>
          <w:rFonts w:eastAsiaTheme="minorHAnsi"/>
          <w:lang w:eastAsia="en-US"/>
        </w:rPr>
        <w:t>£1</w:t>
      </w:r>
      <w:r w:rsidRPr="00E449ED">
        <w:rPr>
          <w:rFonts w:eastAsiaTheme="minorHAnsi"/>
          <w:lang w:eastAsia="en-US"/>
        </w:rPr>
        <w:t xml:space="preserve">. </w:t>
      </w:r>
    </w:p>
    <w:p w:rsidR="00E449ED" w:rsidRPr="002F6124" w:rsidRDefault="00E449ED" w:rsidP="002F6124">
      <w:pPr>
        <w:rPr>
          <w:rFonts w:eastAsiaTheme="minorHAnsi"/>
          <w:b/>
          <w:lang w:eastAsia="en-US"/>
        </w:rPr>
      </w:pPr>
      <w:r w:rsidRPr="002F6124">
        <w:rPr>
          <w:rFonts w:eastAsiaTheme="minorHAnsi"/>
          <w:b/>
          <w:lang w:eastAsia="en-US"/>
        </w:rPr>
        <w:t>PAYG impact</w:t>
      </w:r>
    </w:p>
    <w:p w:rsidR="00E449ED" w:rsidRPr="00E449ED" w:rsidRDefault="00E449ED" w:rsidP="002F6124">
      <w:pPr>
        <w:rPr>
          <w:rFonts w:eastAsiaTheme="minorHAnsi"/>
          <w:lang w:eastAsia="en-US"/>
        </w:rPr>
      </w:pPr>
      <w:r w:rsidRPr="00E449ED">
        <w:rPr>
          <w:rFonts w:eastAsiaTheme="minorHAnsi"/>
          <w:lang w:eastAsia="en-US"/>
        </w:rPr>
        <w:t xml:space="preserve">The </w:t>
      </w:r>
      <w:r w:rsidR="003D4A7E">
        <w:rPr>
          <w:rFonts w:eastAsiaTheme="minorHAnsi"/>
          <w:lang w:eastAsia="en-US"/>
        </w:rPr>
        <w:t>C</w:t>
      </w:r>
      <w:r w:rsidRPr="00E449ED">
        <w:rPr>
          <w:rFonts w:eastAsiaTheme="minorHAnsi"/>
          <w:lang w:eastAsia="en-US"/>
        </w:rPr>
        <w:t xml:space="preserve">ompany has adjusted the overall natural PAYG rate of 50% to 51.8% in order to manage financeability constraints in the notional capital structure.  This effectively represents the impact on certain key ratios of </w:t>
      </w:r>
      <w:r w:rsidR="001D6A67">
        <w:rPr>
          <w:rFonts w:eastAsiaTheme="minorHAnsi"/>
          <w:lang w:eastAsia="en-US"/>
        </w:rPr>
        <w:t>an ongoing capital investment a</w:t>
      </w:r>
      <w:r w:rsidRPr="00E449ED">
        <w:rPr>
          <w:rFonts w:eastAsiaTheme="minorHAnsi"/>
          <w:lang w:eastAsia="en-US"/>
        </w:rPr>
        <w:t>nd is supported further in Section 11.3.2 above.  This resulted in an increase in bills of £</w:t>
      </w:r>
      <w:r w:rsidRPr="00F21FB4">
        <w:rPr>
          <w:rFonts w:eastAsiaTheme="minorHAnsi"/>
          <w:lang w:eastAsia="en-US"/>
        </w:rPr>
        <w:t>1.</w:t>
      </w:r>
      <w:r w:rsidR="00F21FB4">
        <w:rPr>
          <w:rFonts w:eastAsiaTheme="minorHAnsi"/>
          <w:lang w:eastAsia="en-US"/>
        </w:rPr>
        <w:t>86</w:t>
      </w:r>
      <w:r w:rsidRPr="00E449ED">
        <w:rPr>
          <w:rFonts w:eastAsiaTheme="minorHAnsi"/>
          <w:lang w:eastAsia="en-US"/>
        </w:rPr>
        <w:t xml:space="preserve"> and has the effect of accelerating total revenue of </w:t>
      </w:r>
      <w:r w:rsidRPr="00F21FB4">
        <w:rPr>
          <w:rFonts w:eastAsiaTheme="minorHAnsi"/>
          <w:lang w:eastAsia="en-US"/>
        </w:rPr>
        <w:t>£</w:t>
      </w:r>
      <w:r w:rsidR="00F21FB4" w:rsidRPr="00F21FB4">
        <w:rPr>
          <w:rFonts w:eastAsiaTheme="minorHAnsi"/>
          <w:lang w:eastAsia="en-US"/>
        </w:rPr>
        <w:t>4.2</w:t>
      </w:r>
      <w:r w:rsidRPr="00F21FB4">
        <w:rPr>
          <w:rFonts w:eastAsiaTheme="minorHAnsi"/>
          <w:lang w:eastAsia="en-US"/>
        </w:rPr>
        <w:t>m</w:t>
      </w:r>
      <w:r w:rsidR="00F21FB4">
        <w:rPr>
          <w:rFonts w:eastAsiaTheme="minorHAnsi"/>
          <w:lang w:eastAsia="en-US"/>
        </w:rPr>
        <w:t xml:space="preserve"> (in outturn prices)</w:t>
      </w:r>
      <w:r w:rsidRPr="00E449ED">
        <w:rPr>
          <w:rFonts w:eastAsiaTheme="minorHAnsi"/>
          <w:lang w:eastAsia="en-US"/>
        </w:rPr>
        <w:t xml:space="preserve">. </w:t>
      </w:r>
    </w:p>
    <w:p w:rsidR="00E449ED" w:rsidRPr="002F6124" w:rsidRDefault="00E449ED" w:rsidP="002F6124">
      <w:pPr>
        <w:rPr>
          <w:rFonts w:eastAsiaTheme="minorHAnsi"/>
          <w:b/>
          <w:lang w:eastAsia="en-US"/>
        </w:rPr>
      </w:pPr>
      <w:r w:rsidRPr="002F6124">
        <w:rPr>
          <w:rFonts w:eastAsiaTheme="minorHAnsi"/>
          <w:b/>
          <w:lang w:eastAsia="en-US"/>
        </w:rPr>
        <w:t>Zero Havant Thicket Impact on customer bills</w:t>
      </w:r>
    </w:p>
    <w:p w:rsidR="00E449ED" w:rsidRPr="00E449ED" w:rsidRDefault="00E449ED" w:rsidP="002F6124">
      <w:pPr>
        <w:rPr>
          <w:rFonts w:eastAsiaTheme="minorHAnsi"/>
          <w:lang w:eastAsia="en-US"/>
        </w:rPr>
      </w:pPr>
      <w:r w:rsidRPr="00E449ED">
        <w:rPr>
          <w:rFonts w:eastAsiaTheme="minorHAnsi"/>
          <w:lang w:eastAsia="en-US"/>
        </w:rPr>
        <w:t xml:space="preserve">Costs in relation to the development of HTWSR will be recovered from Southern Water’s customers through a bulk supply arrangement.  This is explained in more detail in </w:t>
      </w:r>
      <w:r w:rsidRPr="00ED02A9">
        <w:rPr>
          <w:rFonts w:eastAsiaTheme="minorHAnsi"/>
          <w:lang w:eastAsia="en-US"/>
        </w:rPr>
        <w:t>Chapter 8.1.</w:t>
      </w:r>
      <w:r w:rsidRPr="00E449ED">
        <w:rPr>
          <w:rFonts w:eastAsiaTheme="minorHAnsi"/>
          <w:lang w:eastAsia="en-US"/>
        </w:rPr>
        <w:t xml:space="preserve">  </w:t>
      </w:r>
    </w:p>
    <w:p w:rsidR="00E449ED" w:rsidRDefault="00E449ED" w:rsidP="002F6124">
      <w:pPr>
        <w:rPr>
          <w:rFonts w:eastAsiaTheme="minorHAnsi"/>
          <w:lang w:eastAsia="en-US"/>
        </w:rPr>
      </w:pPr>
      <w:r w:rsidRPr="00E449ED">
        <w:rPr>
          <w:rFonts w:eastAsiaTheme="minorHAnsi"/>
          <w:lang w:eastAsia="en-US"/>
        </w:rPr>
        <w:t xml:space="preserve">We have ensured that there is no impact from the inclusion of costs relating to HTWSR on our customers’ bills.  We have done this by completing two steps.  First we calculated total allowed revenue in the Ofwat model using input data with and without related Havant Thicket costs.  This differential between the two revenue values generated a revenue value and profile to recover the costs of HTWSR using the regulatory building blocks approach.  </w:t>
      </w:r>
      <w:r w:rsidR="001231C6">
        <w:rPr>
          <w:rFonts w:eastAsiaTheme="minorHAnsi"/>
          <w:lang w:eastAsia="en-US"/>
        </w:rPr>
        <w:t>T</w:t>
      </w:r>
      <w:r w:rsidRPr="00E449ED">
        <w:rPr>
          <w:rFonts w:eastAsiaTheme="minorHAnsi"/>
          <w:lang w:eastAsia="en-US"/>
        </w:rPr>
        <w:t>his value was included within the “</w:t>
      </w:r>
      <w:r w:rsidRPr="002F6124">
        <w:rPr>
          <w:rFonts w:eastAsiaTheme="minorHAnsi"/>
          <w:lang w:eastAsia="en-US"/>
        </w:rPr>
        <w:t>bulk supply</w:t>
      </w:r>
      <w:r w:rsidRPr="00E449ED">
        <w:rPr>
          <w:rFonts w:eastAsiaTheme="minorHAnsi"/>
          <w:lang w:eastAsia="en-US"/>
        </w:rPr>
        <w:t xml:space="preserve">” income line in the Ofwat model which automatically reduces customer bills – hence eliminating the impact of this capital programme on our customer bills as it is recovered from Southern Water through the bulk supply income. </w:t>
      </w:r>
      <w:r w:rsidR="004B4AF3">
        <w:rPr>
          <w:rFonts w:eastAsiaTheme="minorHAnsi"/>
          <w:lang w:eastAsia="en-US"/>
        </w:rPr>
        <w:t xml:space="preserve"> In Appendi</w:t>
      </w:r>
      <w:r w:rsidR="00055FFF">
        <w:rPr>
          <w:rFonts w:eastAsiaTheme="minorHAnsi"/>
          <w:lang w:eastAsia="en-US"/>
        </w:rPr>
        <w:t>ces</w:t>
      </w:r>
      <w:r w:rsidR="004B4AF3">
        <w:rPr>
          <w:rFonts w:eastAsiaTheme="minorHAnsi"/>
          <w:lang w:eastAsia="en-US"/>
        </w:rPr>
        <w:t xml:space="preserve"> 14</w:t>
      </w:r>
      <w:r w:rsidR="00055FFF">
        <w:rPr>
          <w:rFonts w:eastAsiaTheme="minorHAnsi"/>
          <w:lang w:eastAsia="en-US"/>
        </w:rPr>
        <w:t>.3a and 14.3b</w:t>
      </w:r>
      <w:r w:rsidR="004B4AF3">
        <w:rPr>
          <w:rFonts w:eastAsiaTheme="minorHAnsi"/>
          <w:lang w:eastAsia="en-US"/>
        </w:rPr>
        <w:t xml:space="preserve"> we have included our models which demonstrate the “zero impact”.</w:t>
      </w:r>
    </w:p>
    <w:p w:rsidR="00A01AFC" w:rsidRPr="00A01AFC" w:rsidRDefault="00A01AFC" w:rsidP="00A01AFC">
      <w:pPr>
        <w:rPr>
          <w:rFonts w:cs="Arial"/>
          <w:b/>
        </w:rPr>
      </w:pPr>
      <w:r w:rsidRPr="00A01AFC">
        <w:rPr>
          <w:rFonts w:cs="Arial"/>
          <w:b/>
        </w:rPr>
        <w:t>Summary of customer support</w:t>
      </w:r>
    </w:p>
    <w:tbl>
      <w:tblPr>
        <w:tblStyle w:val="TableGrid73"/>
        <w:tblW w:w="9351" w:type="dxa"/>
        <w:tblInd w:w="279" w:type="dxa"/>
        <w:tblLook w:val="04A0" w:firstRow="1" w:lastRow="0" w:firstColumn="1" w:lastColumn="0" w:noHBand="0" w:noVBand="1"/>
      </w:tblPr>
      <w:tblGrid>
        <w:gridCol w:w="1701"/>
        <w:gridCol w:w="709"/>
        <w:gridCol w:w="5811"/>
        <w:gridCol w:w="1130"/>
      </w:tblGrid>
      <w:tr w:rsidR="00A01AFC" w:rsidRPr="00A01AFC" w:rsidTr="001231C6">
        <w:tc>
          <w:tcPr>
            <w:tcW w:w="1701" w:type="dxa"/>
            <w:shd w:val="clear" w:color="auto" w:fill="2E74B5" w:themeFill="accent1" w:themeFillShade="BF"/>
          </w:tcPr>
          <w:p w:rsidR="00A01AFC" w:rsidRPr="00A01AFC" w:rsidRDefault="00A01AFC" w:rsidP="00A01AFC">
            <w:pPr>
              <w:tabs>
                <w:tab w:val="clear" w:pos="851"/>
              </w:tabs>
              <w:spacing w:after="0"/>
              <w:ind w:left="0"/>
              <w:jc w:val="left"/>
              <w:rPr>
                <w:rFonts w:cs="Arial"/>
                <w:color w:val="FFFFFF" w:themeColor="background1"/>
                <w:sz w:val="16"/>
                <w:szCs w:val="16"/>
              </w:rPr>
            </w:pPr>
            <w:r w:rsidRPr="00A01AFC">
              <w:rPr>
                <w:rFonts w:cs="Arial"/>
                <w:color w:val="FFFFFF" w:themeColor="background1"/>
                <w:sz w:val="16"/>
                <w:szCs w:val="16"/>
              </w:rPr>
              <w:t>Area</w:t>
            </w:r>
          </w:p>
        </w:tc>
        <w:tc>
          <w:tcPr>
            <w:tcW w:w="709" w:type="dxa"/>
            <w:shd w:val="clear" w:color="auto" w:fill="2E74B5" w:themeFill="accent1" w:themeFillShade="BF"/>
          </w:tcPr>
          <w:p w:rsidR="00A01AFC" w:rsidRPr="00A01AFC" w:rsidRDefault="00A01AFC" w:rsidP="00A01AFC">
            <w:pPr>
              <w:tabs>
                <w:tab w:val="clear" w:pos="851"/>
              </w:tabs>
              <w:spacing w:after="0"/>
              <w:ind w:left="0"/>
              <w:jc w:val="center"/>
              <w:rPr>
                <w:rFonts w:cs="Arial"/>
                <w:color w:val="FFFFFF" w:themeColor="background1"/>
                <w:sz w:val="16"/>
                <w:szCs w:val="16"/>
              </w:rPr>
            </w:pPr>
            <w:r w:rsidRPr="00A01AFC">
              <w:rPr>
                <w:rFonts w:cs="Arial"/>
                <w:color w:val="FFFFFF" w:themeColor="background1"/>
                <w:sz w:val="16"/>
                <w:szCs w:val="16"/>
              </w:rPr>
              <w:t>£</w:t>
            </w:r>
          </w:p>
        </w:tc>
        <w:tc>
          <w:tcPr>
            <w:tcW w:w="5811" w:type="dxa"/>
            <w:shd w:val="clear" w:color="auto" w:fill="2E74B5" w:themeFill="accent1" w:themeFillShade="BF"/>
          </w:tcPr>
          <w:p w:rsidR="00A01AFC" w:rsidRPr="00A01AFC" w:rsidRDefault="00A01AFC" w:rsidP="00A01AFC">
            <w:pPr>
              <w:tabs>
                <w:tab w:val="clear" w:pos="851"/>
              </w:tabs>
              <w:spacing w:after="0"/>
              <w:ind w:left="0"/>
              <w:jc w:val="left"/>
              <w:rPr>
                <w:rFonts w:cs="Arial"/>
                <w:color w:val="FFFFFF" w:themeColor="background1"/>
                <w:sz w:val="16"/>
                <w:szCs w:val="16"/>
              </w:rPr>
            </w:pPr>
            <w:r w:rsidRPr="00A01AFC">
              <w:rPr>
                <w:rFonts w:cs="Arial"/>
                <w:color w:val="FFFFFF" w:themeColor="background1"/>
                <w:sz w:val="16"/>
                <w:szCs w:val="16"/>
              </w:rPr>
              <w:t>Research</w:t>
            </w:r>
          </w:p>
        </w:tc>
        <w:tc>
          <w:tcPr>
            <w:tcW w:w="1130" w:type="dxa"/>
            <w:shd w:val="clear" w:color="auto" w:fill="2E74B5" w:themeFill="accent1" w:themeFillShade="BF"/>
          </w:tcPr>
          <w:p w:rsidR="00A01AFC" w:rsidRPr="00A01AFC" w:rsidRDefault="00A01AFC" w:rsidP="00A01AFC">
            <w:pPr>
              <w:tabs>
                <w:tab w:val="clear" w:pos="851"/>
              </w:tabs>
              <w:spacing w:after="0"/>
              <w:ind w:left="0"/>
              <w:jc w:val="center"/>
              <w:rPr>
                <w:rFonts w:cs="Arial"/>
                <w:color w:val="FFFFFF" w:themeColor="background1"/>
                <w:sz w:val="16"/>
                <w:szCs w:val="16"/>
              </w:rPr>
            </w:pPr>
            <w:r w:rsidRPr="00A01AFC">
              <w:rPr>
                <w:rFonts w:cs="Arial"/>
                <w:color w:val="FFFFFF" w:themeColor="background1"/>
                <w:sz w:val="16"/>
                <w:szCs w:val="16"/>
              </w:rPr>
              <w:t>£ supported</w:t>
            </w:r>
          </w:p>
        </w:tc>
      </w:tr>
      <w:tr w:rsidR="00A01AFC" w:rsidRPr="00A01AFC" w:rsidTr="001231C6">
        <w:tc>
          <w:tcPr>
            <w:tcW w:w="170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Average bill real</w:t>
            </w:r>
          </w:p>
        </w:tc>
        <w:tc>
          <w:tcPr>
            <w:tcW w:w="709"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£97</w:t>
            </w:r>
          </w:p>
        </w:tc>
        <w:tc>
          <w:tcPr>
            <w:tcW w:w="581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Deliberative research supported £99 bill and overall acceptability testing showed 84% support for £97</w:t>
            </w:r>
          </w:p>
        </w:tc>
        <w:tc>
          <w:tcPr>
            <w:tcW w:w="1130"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£97-£99</w:t>
            </w:r>
          </w:p>
        </w:tc>
      </w:tr>
      <w:tr w:rsidR="00A01AFC" w:rsidRPr="00A01AFC" w:rsidTr="001231C6">
        <w:tc>
          <w:tcPr>
            <w:tcW w:w="170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Average bill nominal</w:t>
            </w:r>
          </w:p>
        </w:tc>
        <w:tc>
          <w:tcPr>
            <w:tcW w:w="709"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£107</w:t>
            </w:r>
          </w:p>
        </w:tc>
        <w:tc>
          <w:tcPr>
            <w:tcW w:w="581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Overall acceptability testing showed 80% support for nominal bills of £107</w:t>
            </w:r>
          </w:p>
        </w:tc>
        <w:tc>
          <w:tcPr>
            <w:tcW w:w="1130"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£107</w:t>
            </w:r>
          </w:p>
        </w:tc>
      </w:tr>
      <w:tr w:rsidR="00A01AFC" w:rsidRPr="00A01AFC" w:rsidTr="001231C6">
        <w:tc>
          <w:tcPr>
            <w:tcW w:w="170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Average including sewerage</w:t>
            </w:r>
          </w:p>
        </w:tc>
        <w:tc>
          <w:tcPr>
            <w:tcW w:w="709"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c£380</w:t>
            </w:r>
          </w:p>
        </w:tc>
        <w:tc>
          <w:tcPr>
            <w:tcW w:w="581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Overall acceptability testing showed 79% support for combined bill of £385.</w:t>
            </w:r>
          </w:p>
        </w:tc>
        <w:tc>
          <w:tcPr>
            <w:tcW w:w="1130"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£385</w:t>
            </w:r>
          </w:p>
        </w:tc>
      </w:tr>
      <w:tr w:rsidR="00A01AFC" w:rsidRPr="00A01AFC" w:rsidTr="001231C6">
        <w:tc>
          <w:tcPr>
            <w:tcW w:w="170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Bill Profile</w:t>
            </w:r>
          </w:p>
        </w:tc>
        <w:tc>
          <w:tcPr>
            <w:tcW w:w="709"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£97 flat</w:t>
            </w:r>
          </w:p>
        </w:tc>
        <w:tc>
          <w:tcPr>
            <w:tcW w:w="581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Overall acceptability showed 56% of customers preferred flat bills, 18% didn’t know and the balance preferred bills starting higher and falling over time.</w:t>
            </w:r>
          </w:p>
        </w:tc>
        <w:tc>
          <w:tcPr>
            <w:tcW w:w="1130"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£97 flat</w:t>
            </w:r>
          </w:p>
        </w:tc>
      </w:tr>
      <w:tr w:rsidR="00A01AFC" w:rsidRPr="00A01AFC" w:rsidTr="001231C6">
        <w:tc>
          <w:tcPr>
            <w:tcW w:w="170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Company Specific Premium</w:t>
            </w:r>
          </w:p>
        </w:tc>
        <w:tc>
          <w:tcPr>
            <w:tcW w:w="709"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£0.80</w:t>
            </w:r>
          </w:p>
        </w:tc>
        <w:tc>
          <w:tcPr>
            <w:tcW w:w="581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Deliberative research and overall acceptability supported a £1 increase. In deliberative research customers strongly valued the benefits of a small efficient local company.</w:t>
            </w:r>
          </w:p>
        </w:tc>
        <w:tc>
          <w:tcPr>
            <w:tcW w:w="1130"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£1</w:t>
            </w:r>
          </w:p>
        </w:tc>
      </w:tr>
      <w:tr w:rsidR="00A01AFC" w:rsidRPr="00A01AFC" w:rsidTr="001231C6">
        <w:tc>
          <w:tcPr>
            <w:tcW w:w="170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PAYG levers (financeability)</w:t>
            </w:r>
          </w:p>
        </w:tc>
        <w:tc>
          <w:tcPr>
            <w:tcW w:w="709"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£1.86</w:t>
            </w:r>
          </w:p>
        </w:tc>
        <w:tc>
          <w:tcPr>
            <w:tcW w:w="581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Deliberative research supported a £3 increase and overall acceptability supported a £4 increase. In deliberative research customers understood &amp; accepted the need to fund capital growth.</w:t>
            </w:r>
          </w:p>
        </w:tc>
        <w:tc>
          <w:tcPr>
            <w:tcW w:w="1130"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£3-£4</w:t>
            </w:r>
          </w:p>
        </w:tc>
      </w:tr>
      <w:tr w:rsidR="00A01AFC" w:rsidRPr="00A01AFC" w:rsidTr="001231C6">
        <w:tc>
          <w:tcPr>
            <w:tcW w:w="170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Legacy Adjustments</w:t>
            </w:r>
          </w:p>
        </w:tc>
        <w:tc>
          <w:tcPr>
            <w:tcW w:w="709"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-£1.36</w:t>
            </w:r>
          </w:p>
        </w:tc>
        <w:tc>
          <w:tcPr>
            <w:tcW w:w="5811" w:type="dxa"/>
          </w:tcPr>
          <w:p w:rsidR="00A01AFC" w:rsidRPr="00A01AFC" w:rsidRDefault="00A01AFC" w:rsidP="00A01AFC">
            <w:pPr>
              <w:tabs>
                <w:tab w:val="clear" w:pos="851"/>
              </w:tabs>
              <w:spacing w:after="0"/>
              <w:ind w:left="0"/>
              <w:jc w:val="left"/>
              <w:rPr>
                <w:rFonts w:cs="Arial"/>
                <w:sz w:val="16"/>
                <w:szCs w:val="16"/>
              </w:rPr>
            </w:pPr>
            <w:r w:rsidRPr="00A01AFC">
              <w:rPr>
                <w:rFonts w:cs="Arial"/>
                <w:sz w:val="16"/>
                <w:szCs w:val="16"/>
              </w:rPr>
              <w:t>Customers understood and agreed with the need to reduce bills to reflect overall net penalties.</w:t>
            </w:r>
          </w:p>
        </w:tc>
        <w:tc>
          <w:tcPr>
            <w:tcW w:w="1130" w:type="dxa"/>
          </w:tcPr>
          <w:p w:rsidR="00A01AFC" w:rsidRPr="00A01AFC" w:rsidRDefault="00A01AFC" w:rsidP="00A01AFC">
            <w:pPr>
              <w:tabs>
                <w:tab w:val="clear" w:pos="851"/>
              </w:tabs>
              <w:spacing w:after="0"/>
              <w:ind w:left="0"/>
              <w:jc w:val="right"/>
              <w:rPr>
                <w:rFonts w:cs="Arial"/>
                <w:sz w:val="16"/>
                <w:szCs w:val="16"/>
              </w:rPr>
            </w:pPr>
            <w:r w:rsidRPr="00A01AFC">
              <w:rPr>
                <w:rFonts w:cs="Arial"/>
                <w:sz w:val="16"/>
                <w:szCs w:val="16"/>
              </w:rPr>
              <w:t>£1-£2</w:t>
            </w:r>
          </w:p>
        </w:tc>
      </w:tr>
    </w:tbl>
    <w:p w:rsidR="00A01AFC" w:rsidRPr="00B91BB9" w:rsidRDefault="00A01AFC" w:rsidP="00A01AFC">
      <w:pPr>
        <w:rPr>
          <w:rFonts w:cs="Arial"/>
        </w:rPr>
      </w:pPr>
      <w:r>
        <w:rPr>
          <w:rFonts w:cs="Arial"/>
        </w:rPr>
        <w:t>Bill levels were supported by primarily by two pieces of work both by ICS: a focus group covering bill components and levels and overall acceptability testing.  These are included at Appendix 2.26 and Appendix 2.28 respectively.</w:t>
      </w:r>
    </w:p>
    <w:p w:rsidR="00E449ED" w:rsidRDefault="00E449ED" w:rsidP="002F6124">
      <w:pPr>
        <w:rPr>
          <w:rFonts w:eastAsiaTheme="minorHAnsi"/>
          <w:b/>
          <w:lang w:eastAsia="en-US"/>
        </w:rPr>
      </w:pPr>
      <w:r w:rsidRPr="002F6124">
        <w:rPr>
          <w:rFonts w:eastAsiaTheme="minorHAnsi"/>
          <w:b/>
          <w:lang w:eastAsia="en-US"/>
        </w:rPr>
        <w:t>Bill components</w:t>
      </w:r>
    </w:p>
    <w:p w:rsidR="00F77FDC" w:rsidRPr="00F77FDC" w:rsidRDefault="00F77FDC" w:rsidP="002F6124">
      <w:pPr>
        <w:rPr>
          <w:rFonts w:eastAsiaTheme="minorHAnsi"/>
          <w:lang w:eastAsia="en-US"/>
        </w:rPr>
      </w:pPr>
      <w:r w:rsidRPr="00F77FDC">
        <w:rPr>
          <w:rFonts w:eastAsiaTheme="minorHAnsi"/>
          <w:lang w:eastAsia="en-US"/>
        </w:rPr>
        <w:t>We have independently calculated key bill components</w:t>
      </w:r>
      <w:r>
        <w:rPr>
          <w:rFonts w:eastAsiaTheme="minorHAnsi"/>
          <w:lang w:eastAsia="en-US"/>
        </w:rPr>
        <w:t>,</w:t>
      </w:r>
      <w:r w:rsidRPr="00F77FDC">
        <w:rPr>
          <w:rFonts w:eastAsiaTheme="minorHAnsi"/>
          <w:lang w:eastAsia="en-US"/>
        </w:rPr>
        <w:t xml:space="preserve"> which are summarised below.  </w:t>
      </w:r>
      <w:r>
        <w:rPr>
          <w:rFonts w:eastAsiaTheme="minorHAnsi"/>
          <w:lang w:eastAsia="en-US"/>
        </w:rPr>
        <w:t>The larges overall movement of £5.66 reduction arises from the change in WAAC between PR14 and PR19.</w:t>
      </w:r>
    </w:p>
    <w:tbl>
      <w:tblPr>
        <w:tblW w:w="4641" w:type="dxa"/>
        <w:tblInd w:w="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960"/>
      </w:tblGrid>
      <w:tr w:rsidR="006A1EB6" w:rsidRPr="00A01AFC" w:rsidTr="006A1EB6">
        <w:trPr>
          <w:trHeight w:val="288"/>
        </w:trPr>
        <w:tc>
          <w:tcPr>
            <w:tcW w:w="3681" w:type="dxa"/>
            <w:shd w:val="clear" w:color="auto" w:fill="2E74B5" w:themeFill="accent1" w:themeFillShade="BF"/>
            <w:noWrap/>
            <w:vAlign w:val="bottom"/>
          </w:tcPr>
          <w:p w:rsidR="006A1EB6" w:rsidRPr="00A01AFC" w:rsidRDefault="006A1EB6" w:rsidP="006A1EB6">
            <w:pPr>
              <w:tabs>
                <w:tab w:val="clear" w:pos="851"/>
              </w:tabs>
              <w:spacing w:after="0"/>
              <w:ind w:left="0"/>
              <w:jc w:val="left"/>
              <w:rPr>
                <w:rFonts w:cs="Arial"/>
                <w:b/>
                <w:color w:val="FFFFFF" w:themeColor="background1"/>
                <w:sz w:val="16"/>
                <w:szCs w:val="16"/>
              </w:rPr>
            </w:pPr>
            <w:r w:rsidRPr="00A01AFC">
              <w:rPr>
                <w:rFonts w:cs="Arial"/>
                <w:b/>
                <w:color w:val="FFFFFF" w:themeColor="background1"/>
                <w:sz w:val="16"/>
                <w:szCs w:val="16"/>
              </w:rPr>
              <w:t>Average PR14 bill</w:t>
            </w:r>
          </w:p>
        </w:tc>
        <w:tc>
          <w:tcPr>
            <w:tcW w:w="960" w:type="dxa"/>
            <w:shd w:val="clear" w:color="auto" w:fill="2E74B5" w:themeFill="accent1" w:themeFillShade="BF"/>
            <w:noWrap/>
            <w:vAlign w:val="bottom"/>
          </w:tcPr>
          <w:p w:rsidR="006A1EB6" w:rsidRPr="00A01AFC" w:rsidRDefault="00B24CAC" w:rsidP="006A1EB6">
            <w:pPr>
              <w:tabs>
                <w:tab w:val="clear" w:pos="851"/>
              </w:tabs>
              <w:spacing w:after="0"/>
              <w:ind w:left="0"/>
              <w:jc w:val="right"/>
              <w:rPr>
                <w:rFonts w:cs="Arial"/>
                <w:b/>
                <w:color w:val="FFFFFF" w:themeColor="background1"/>
                <w:sz w:val="16"/>
                <w:szCs w:val="16"/>
              </w:rPr>
            </w:pPr>
            <w:r>
              <w:rPr>
                <w:rFonts w:cs="Arial"/>
                <w:b/>
                <w:color w:val="FFFFFF" w:themeColor="background1"/>
                <w:sz w:val="16"/>
                <w:szCs w:val="16"/>
              </w:rPr>
              <w:t>£</w:t>
            </w:r>
            <w:r w:rsidR="006A1EB6" w:rsidRPr="00A01AFC">
              <w:rPr>
                <w:rFonts w:cs="Arial"/>
                <w:b/>
                <w:color w:val="FFFFFF" w:themeColor="background1"/>
                <w:sz w:val="16"/>
                <w:szCs w:val="16"/>
              </w:rPr>
              <w:t>101.00</w:t>
            </w:r>
          </w:p>
        </w:tc>
      </w:tr>
      <w:tr w:rsidR="006A1EB6" w:rsidRPr="00A01AFC" w:rsidTr="006A1EB6">
        <w:trPr>
          <w:trHeight w:val="288"/>
        </w:trPr>
        <w:tc>
          <w:tcPr>
            <w:tcW w:w="3681" w:type="dxa"/>
            <w:shd w:val="clear" w:color="auto" w:fill="auto"/>
            <w:noWrap/>
            <w:vAlign w:val="bottom"/>
            <w:hideMark/>
          </w:tcPr>
          <w:p w:rsidR="006A1EB6" w:rsidRPr="00A01AFC" w:rsidRDefault="006A1EB6" w:rsidP="006A1EB6">
            <w:pPr>
              <w:tabs>
                <w:tab w:val="clear" w:pos="851"/>
              </w:tabs>
              <w:spacing w:after="0"/>
              <w:ind w:left="0"/>
              <w:jc w:val="left"/>
              <w:rPr>
                <w:rFonts w:cs="Arial"/>
                <w:color w:val="000000"/>
                <w:sz w:val="16"/>
                <w:szCs w:val="16"/>
              </w:rPr>
            </w:pPr>
            <w:r w:rsidRPr="00A01AFC">
              <w:rPr>
                <w:rFonts w:cs="Arial"/>
                <w:color w:val="000000"/>
                <w:sz w:val="16"/>
                <w:szCs w:val="16"/>
              </w:rPr>
              <w:t>Legacy adjustments</w:t>
            </w:r>
          </w:p>
        </w:tc>
        <w:tc>
          <w:tcPr>
            <w:tcW w:w="960" w:type="dxa"/>
            <w:shd w:val="clear" w:color="auto" w:fill="auto"/>
            <w:noWrap/>
            <w:vAlign w:val="bottom"/>
            <w:hideMark/>
          </w:tcPr>
          <w:p w:rsidR="006A1EB6" w:rsidRPr="00A01AFC" w:rsidRDefault="006A1EB6" w:rsidP="006A1EB6">
            <w:pPr>
              <w:tabs>
                <w:tab w:val="clear" w:pos="851"/>
              </w:tabs>
              <w:spacing w:after="0"/>
              <w:ind w:left="0"/>
              <w:jc w:val="right"/>
              <w:rPr>
                <w:rFonts w:cs="Arial"/>
                <w:color w:val="000000"/>
                <w:sz w:val="16"/>
                <w:szCs w:val="16"/>
              </w:rPr>
            </w:pPr>
            <w:r w:rsidRPr="00A01AFC">
              <w:rPr>
                <w:rFonts w:cs="Arial"/>
                <w:color w:val="000000"/>
                <w:sz w:val="16"/>
                <w:szCs w:val="16"/>
              </w:rPr>
              <w:t>-1.36</w:t>
            </w:r>
          </w:p>
        </w:tc>
      </w:tr>
      <w:tr w:rsidR="006A1EB6" w:rsidRPr="00A01AFC" w:rsidTr="006A1EB6">
        <w:trPr>
          <w:trHeight w:val="288"/>
        </w:trPr>
        <w:tc>
          <w:tcPr>
            <w:tcW w:w="3681" w:type="dxa"/>
            <w:shd w:val="clear" w:color="auto" w:fill="auto"/>
            <w:noWrap/>
            <w:vAlign w:val="bottom"/>
            <w:hideMark/>
          </w:tcPr>
          <w:p w:rsidR="006A1EB6" w:rsidRPr="00A01AFC" w:rsidRDefault="006A1EB6" w:rsidP="006A1EB6">
            <w:pPr>
              <w:tabs>
                <w:tab w:val="clear" w:pos="851"/>
              </w:tabs>
              <w:spacing w:after="0"/>
              <w:ind w:left="0"/>
              <w:jc w:val="left"/>
              <w:rPr>
                <w:rFonts w:cs="Arial"/>
                <w:color w:val="000000"/>
                <w:sz w:val="16"/>
                <w:szCs w:val="16"/>
              </w:rPr>
            </w:pPr>
            <w:r w:rsidRPr="00A01AFC">
              <w:rPr>
                <w:rFonts w:cs="Arial"/>
                <w:color w:val="000000"/>
                <w:sz w:val="16"/>
                <w:szCs w:val="16"/>
              </w:rPr>
              <w:t>Co specific premium</w:t>
            </w:r>
          </w:p>
        </w:tc>
        <w:tc>
          <w:tcPr>
            <w:tcW w:w="960" w:type="dxa"/>
            <w:shd w:val="clear" w:color="auto" w:fill="auto"/>
            <w:noWrap/>
            <w:vAlign w:val="bottom"/>
            <w:hideMark/>
          </w:tcPr>
          <w:p w:rsidR="006A1EB6" w:rsidRPr="00A01AFC" w:rsidRDefault="006A1EB6" w:rsidP="006A1EB6">
            <w:pPr>
              <w:tabs>
                <w:tab w:val="clear" w:pos="851"/>
              </w:tabs>
              <w:spacing w:after="0"/>
              <w:ind w:left="0"/>
              <w:jc w:val="right"/>
              <w:rPr>
                <w:rFonts w:cs="Arial"/>
                <w:color w:val="000000"/>
                <w:sz w:val="16"/>
                <w:szCs w:val="16"/>
              </w:rPr>
            </w:pPr>
            <w:r w:rsidRPr="00A01AFC">
              <w:rPr>
                <w:rFonts w:cs="Arial"/>
                <w:color w:val="000000"/>
                <w:sz w:val="16"/>
                <w:szCs w:val="16"/>
              </w:rPr>
              <w:t>0.80</w:t>
            </w:r>
          </w:p>
        </w:tc>
      </w:tr>
      <w:tr w:rsidR="006A1EB6" w:rsidRPr="00A01AFC" w:rsidTr="006A1EB6">
        <w:trPr>
          <w:trHeight w:val="288"/>
        </w:trPr>
        <w:tc>
          <w:tcPr>
            <w:tcW w:w="3681" w:type="dxa"/>
            <w:shd w:val="clear" w:color="auto" w:fill="auto"/>
            <w:noWrap/>
            <w:vAlign w:val="bottom"/>
            <w:hideMark/>
          </w:tcPr>
          <w:p w:rsidR="006A1EB6" w:rsidRPr="00A01AFC" w:rsidRDefault="006A1EB6" w:rsidP="006A1EB6">
            <w:pPr>
              <w:tabs>
                <w:tab w:val="clear" w:pos="851"/>
              </w:tabs>
              <w:spacing w:after="0"/>
              <w:ind w:left="0"/>
              <w:jc w:val="left"/>
              <w:rPr>
                <w:rFonts w:cs="Arial"/>
                <w:color w:val="000000"/>
                <w:sz w:val="16"/>
                <w:szCs w:val="16"/>
              </w:rPr>
            </w:pPr>
            <w:r w:rsidRPr="00A01AFC">
              <w:rPr>
                <w:rFonts w:cs="Arial"/>
                <w:color w:val="000000"/>
                <w:sz w:val="16"/>
                <w:szCs w:val="16"/>
              </w:rPr>
              <w:t>WACC &amp; Gearing</w:t>
            </w:r>
          </w:p>
        </w:tc>
        <w:tc>
          <w:tcPr>
            <w:tcW w:w="960" w:type="dxa"/>
            <w:shd w:val="clear" w:color="auto" w:fill="auto"/>
            <w:noWrap/>
            <w:vAlign w:val="bottom"/>
            <w:hideMark/>
          </w:tcPr>
          <w:p w:rsidR="006A1EB6" w:rsidRPr="00A01AFC" w:rsidRDefault="006A1EB6" w:rsidP="006A1EB6">
            <w:pPr>
              <w:tabs>
                <w:tab w:val="clear" w:pos="851"/>
              </w:tabs>
              <w:spacing w:after="0"/>
              <w:ind w:left="0"/>
              <w:jc w:val="right"/>
              <w:rPr>
                <w:rFonts w:cs="Arial"/>
                <w:color w:val="000000"/>
                <w:sz w:val="16"/>
                <w:szCs w:val="16"/>
              </w:rPr>
            </w:pPr>
            <w:r w:rsidRPr="00A01AFC">
              <w:rPr>
                <w:rFonts w:cs="Arial"/>
                <w:color w:val="000000"/>
                <w:sz w:val="16"/>
                <w:szCs w:val="16"/>
              </w:rPr>
              <w:t>-5.66</w:t>
            </w:r>
          </w:p>
        </w:tc>
      </w:tr>
      <w:tr w:rsidR="006A1EB6" w:rsidRPr="00A01AFC" w:rsidTr="006A1EB6">
        <w:trPr>
          <w:trHeight w:val="288"/>
        </w:trPr>
        <w:tc>
          <w:tcPr>
            <w:tcW w:w="3681" w:type="dxa"/>
            <w:shd w:val="clear" w:color="auto" w:fill="auto"/>
            <w:noWrap/>
            <w:vAlign w:val="bottom"/>
            <w:hideMark/>
          </w:tcPr>
          <w:p w:rsidR="006A1EB6" w:rsidRPr="00A01AFC" w:rsidRDefault="006A1EB6" w:rsidP="006A1EB6">
            <w:pPr>
              <w:tabs>
                <w:tab w:val="clear" w:pos="851"/>
              </w:tabs>
              <w:spacing w:after="0"/>
              <w:ind w:left="0"/>
              <w:jc w:val="left"/>
              <w:rPr>
                <w:rFonts w:cs="Arial"/>
                <w:color w:val="000000"/>
                <w:sz w:val="16"/>
                <w:szCs w:val="16"/>
              </w:rPr>
            </w:pPr>
            <w:r w:rsidRPr="00A01AFC">
              <w:rPr>
                <w:rFonts w:cs="Arial"/>
                <w:color w:val="000000"/>
                <w:sz w:val="16"/>
                <w:szCs w:val="16"/>
              </w:rPr>
              <w:t xml:space="preserve">Increased </w:t>
            </w:r>
            <w:r w:rsidR="00FE42E8">
              <w:rPr>
                <w:rFonts w:cs="Arial"/>
                <w:color w:val="000000"/>
                <w:sz w:val="16"/>
                <w:szCs w:val="16"/>
              </w:rPr>
              <w:t>Totex</w:t>
            </w:r>
          </w:p>
        </w:tc>
        <w:tc>
          <w:tcPr>
            <w:tcW w:w="960" w:type="dxa"/>
            <w:shd w:val="clear" w:color="auto" w:fill="auto"/>
            <w:noWrap/>
            <w:vAlign w:val="bottom"/>
            <w:hideMark/>
          </w:tcPr>
          <w:p w:rsidR="006A1EB6" w:rsidRPr="00A01AFC" w:rsidRDefault="006A1EB6" w:rsidP="006A1EB6">
            <w:pPr>
              <w:tabs>
                <w:tab w:val="clear" w:pos="851"/>
              </w:tabs>
              <w:spacing w:after="0"/>
              <w:ind w:left="0"/>
              <w:jc w:val="right"/>
              <w:rPr>
                <w:rFonts w:cs="Arial"/>
                <w:color w:val="000000"/>
                <w:sz w:val="16"/>
                <w:szCs w:val="16"/>
              </w:rPr>
            </w:pPr>
            <w:r w:rsidRPr="00A01AFC">
              <w:rPr>
                <w:rFonts w:cs="Arial"/>
                <w:color w:val="000000"/>
                <w:sz w:val="16"/>
                <w:szCs w:val="16"/>
              </w:rPr>
              <w:t>0.41</w:t>
            </w:r>
          </w:p>
        </w:tc>
      </w:tr>
      <w:tr w:rsidR="006A1EB6" w:rsidRPr="00A01AFC" w:rsidTr="006A1EB6">
        <w:trPr>
          <w:trHeight w:val="288"/>
        </w:trPr>
        <w:tc>
          <w:tcPr>
            <w:tcW w:w="3681" w:type="dxa"/>
            <w:shd w:val="clear" w:color="auto" w:fill="auto"/>
            <w:noWrap/>
            <w:vAlign w:val="bottom"/>
            <w:hideMark/>
          </w:tcPr>
          <w:p w:rsidR="006A1EB6" w:rsidRPr="00A01AFC" w:rsidRDefault="006A1EB6" w:rsidP="006A1EB6">
            <w:pPr>
              <w:tabs>
                <w:tab w:val="clear" w:pos="851"/>
              </w:tabs>
              <w:spacing w:after="0"/>
              <w:ind w:left="0"/>
              <w:jc w:val="left"/>
              <w:rPr>
                <w:rFonts w:cs="Arial"/>
                <w:color w:val="000000"/>
                <w:sz w:val="16"/>
                <w:szCs w:val="16"/>
              </w:rPr>
            </w:pPr>
            <w:r w:rsidRPr="00A01AFC">
              <w:rPr>
                <w:rFonts w:cs="Arial"/>
                <w:color w:val="000000"/>
                <w:sz w:val="16"/>
                <w:szCs w:val="16"/>
              </w:rPr>
              <w:t>PAYG levers for financeability</w:t>
            </w:r>
          </w:p>
        </w:tc>
        <w:tc>
          <w:tcPr>
            <w:tcW w:w="960" w:type="dxa"/>
            <w:shd w:val="clear" w:color="auto" w:fill="auto"/>
            <w:noWrap/>
            <w:vAlign w:val="bottom"/>
            <w:hideMark/>
          </w:tcPr>
          <w:p w:rsidR="006A1EB6" w:rsidRPr="00A01AFC" w:rsidRDefault="006A1EB6" w:rsidP="006A1EB6">
            <w:pPr>
              <w:tabs>
                <w:tab w:val="clear" w:pos="851"/>
              </w:tabs>
              <w:spacing w:after="0"/>
              <w:ind w:left="0"/>
              <w:jc w:val="right"/>
              <w:rPr>
                <w:rFonts w:cs="Arial"/>
                <w:color w:val="000000"/>
                <w:sz w:val="16"/>
                <w:szCs w:val="16"/>
              </w:rPr>
            </w:pPr>
            <w:r w:rsidRPr="00A01AFC">
              <w:rPr>
                <w:rFonts w:cs="Arial"/>
                <w:color w:val="000000"/>
                <w:sz w:val="16"/>
                <w:szCs w:val="16"/>
              </w:rPr>
              <w:t>1.86</w:t>
            </w:r>
          </w:p>
        </w:tc>
      </w:tr>
      <w:tr w:rsidR="006A1EB6" w:rsidRPr="00A01AFC" w:rsidTr="006A1EB6">
        <w:trPr>
          <w:trHeight w:val="288"/>
        </w:trPr>
        <w:tc>
          <w:tcPr>
            <w:tcW w:w="3681" w:type="dxa"/>
            <w:shd w:val="clear" w:color="auto" w:fill="auto"/>
            <w:noWrap/>
            <w:vAlign w:val="bottom"/>
            <w:hideMark/>
          </w:tcPr>
          <w:p w:rsidR="006A1EB6" w:rsidRPr="00A01AFC" w:rsidRDefault="006A1EB6" w:rsidP="006A1EB6">
            <w:pPr>
              <w:tabs>
                <w:tab w:val="clear" w:pos="851"/>
              </w:tabs>
              <w:spacing w:after="0"/>
              <w:ind w:left="0"/>
              <w:jc w:val="left"/>
              <w:rPr>
                <w:rFonts w:cs="Arial"/>
                <w:color w:val="000000"/>
                <w:sz w:val="16"/>
                <w:szCs w:val="16"/>
              </w:rPr>
            </w:pPr>
            <w:r w:rsidRPr="00A01AFC">
              <w:rPr>
                <w:rFonts w:cs="Arial"/>
                <w:color w:val="000000"/>
                <w:sz w:val="16"/>
                <w:szCs w:val="16"/>
              </w:rPr>
              <w:t>PAYG &amp; run off rate changes (natural)</w:t>
            </w:r>
          </w:p>
        </w:tc>
        <w:tc>
          <w:tcPr>
            <w:tcW w:w="960" w:type="dxa"/>
            <w:shd w:val="clear" w:color="auto" w:fill="auto"/>
            <w:noWrap/>
            <w:vAlign w:val="bottom"/>
            <w:hideMark/>
          </w:tcPr>
          <w:p w:rsidR="006A1EB6" w:rsidRPr="00A01AFC" w:rsidRDefault="006A1EB6" w:rsidP="006A1EB6">
            <w:pPr>
              <w:tabs>
                <w:tab w:val="clear" w:pos="851"/>
              </w:tabs>
              <w:spacing w:after="0"/>
              <w:ind w:left="0"/>
              <w:jc w:val="right"/>
              <w:rPr>
                <w:rFonts w:cs="Arial"/>
                <w:color w:val="000000"/>
                <w:sz w:val="16"/>
                <w:szCs w:val="16"/>
              </w:rPr>
            </w:pPr>
            <w:r w:rsidRPr="00A01AFC">
              <w:rPr>
                <w:rFonts w:cs="Arial"/>
                <w:color w:val="000000"/>
                <w:sz w:val="16"/>
                <w:szCs w:val="16"/>
              </w:rPr>
              <w:t>0.49</w:t>
            </w:r>
          </w:p>
        </w:tc>
      </w:tr>
      <w:tr w:rsidR="006A1EB6" w:rsidRPr="00A01AFC" w:rsidTr="006A1EB6">
        <w:trPr>
          <w:trHeight w:val="288"/>
        </w:trPr>
        <w:tc>
          <w:tcPr>
            <w:tcW w:w="3681" w:type="dxa"/>
            <w:shd w:val="clear" w:color="auto" w:fill="auto"/>
            <w:noWrap/>
            <w:vAlign w:val="bottom"/>
            <w:hideMark/>
          </w:tcPr>
          <w:p w:rsidR="006A1EB6" w:rsidRPr="00A01AFC" w:rsidRDefault="006A1EB6" w:rsidP="006A1EB6">
            <w:pPr>
              <w:tabs>
                <w:tab w:val="clear" w:pos="851"/>
              </w:tabs>
              <w:spacing w:after="0"/>
              <w:ind w:left="0"/>
              <w:jc w:val="left"/>
              <w:rPr>
                <w:rFonts w:cs="Arial"/>
                <w:color w:val="000000"/>
                <w:sz w:val="16"/>
                <w:szCs w:val="16"/>
              </w:rPr>
            </w:pPr>
            <w:r w:rsidRPr="00A01AFC">
              <w:rPr>
                <w:rFonts w:cs="Arial"/>
                <w:color w:val="000000"/>
                <w:sz w:val="16"/>
                <w:szCs w:val="16"/>
              </w:rPr>
              <w:t xml:space="preserve">Other </w:t>
            </w:r>
          </w:p>
        </w:tc>
        <w:tc>
          <w:tcPr>
            <w:tcW w:w="960" w:type="dxa"/>
            <w:shd w:val="clear" w:color="auto" w:fill="auto"/>
            <w:noWrap/>
            <w:vAlign w:val="bottom"/>
            <w:hideMark/>
          </w:tcPr>
          <w:p w:rsidR="006A1EB6" w:rsidRPr="00A01AFC" w:rsidRDefault="006A1EB6" w:rsidP="006A1EB6">
            <w:pPr>
              <w:tabs>
                <w:tab w:val="clear" w:pos="851"/>
              </w:tabs>
              <w:spacing w:after="0"/>
              <w:ind w:left="0"/>
              <w:jc w:val="right"/>
              <w:rPr>
                <w:rFonts w:cs="Arial"/>
                <w:color w:val="000000"/>
                <w:sz w:val="16"/>
                <w:szCs w:val="16"/>
              </w:rPr>
            </w:pPr>
            <w:r w:rsidRPr="00A01AFC">
              <w:rPr>
                <w:rFonts w:cs="Arial"/>
                <w:color w:val="000000"/>
                <w:sz w:val="16"/>
                <w:szCs w:val="16"/>
              </w:rPr>
              <w:t>-0.47</w:t>
            </w:r>
          </w:p>
        </w:tc>
      </w:tr>
      <w:tr w:rsidR="006A1EB6" w:rsidRPr="00A01AFC" w:rsidTr="006A1EB6">
        <w:trPr>
          <w:trHeight w:val="300"/>
        </w:trPr>
        <w:tc>
          <w:tcPr>
            <w:tcW w:w="3681" w:type="dxa"/>
            <w:shd w:val="clear" w:color="auto" w:fill="2E74B5" w:themeFill="accent1" w:themeFillShade="BF"/>
            <w:noWrap/>
            <w:vAlign w:val="bottom"/>
            <w:hideMark/>
          </w:tcPr>
          <w:p w:rsidR="006A1EB6" w:rsidRPr="00A01AFC" w:rsidRDefault="006A1EB6" w:rsidP="006A1EB6">
            <w:pPr>
              <w:tabs>
                <w:tab w:val="clear" w:pos="851"/>
              </w:tabs>
              <w:spacing w:after="0"/>
              <w:ind w:left="0"/>
              <w:jc w:val="left"/>
              <w:rPr>
                <w:rFonts w:cs="Arial"/>
                <w:b/>
                <w:color w:val="FFFFFF" w:themeColor="background1"/>
                <w:sz w:val="16"/>
                <w:szCs w:val="16"/>
              </w:rPr>
            </w:pPr>
            <w:r w:rsidRPr="00A01AFC">
              <w:rPr>
                <w:rFonts w:cs="Arial"/>
                <w:b/>
                <w:color w:val="FFFFFF" w:themeColor="background1"/>
                <w:sz w:val="16"/>
                <w:szCs w:val="16"/>
              </w:rPr>
              <w:t>Average PR19 bill</w:t>
            </w:r>
          </w:p>
        </w:tc>
        <w:tc>
          <w:tcPr>
            <w:tcW w:w="960" w:type="dxa"/>
            <w:shd w:val="clear" w:color="auto" w:fill="2E74B5" w:themeFill="accent1" w:themeFillShade="BF"/>
            <w:noWrap/>
            <w:vAlign w:val="bottom"/>
            <w:hideMark/>
          </w:tcPr>
          <w:p w:rsidR="006A1EB6" w:rsidRPr="00A01AFC" w:rsidRDefault="0089460D" w:rsidP="006A1EB6">
            <w:pPr>
              <w:tabs>
                <w:tab w:val="clear" w:pos="851"/>
              </w:tabs>
              <w:spacing w:after="0"/>
              <w:ind w:left="0"/>
              <w:jc w:val="right"/>
              <w:rPr>
                <w:rFonts w:cs="Arial"/>
                <w:b/>
                <w:color w:val="FFFFFF" w:themeColor="background1"/>
                <w:sz w:val="16"/>
                <w:szCs w:val="16"/>
              </w:rPr>
            </w:pPr>
            <w:r>
              <w:rPr>
                <w:rFonts w:cs="Arial"/>
                <w:b/>
                <w:color w:val="FFFFFF" w:themeColor="background1"/>
                <w:sz w:val="16"/>
                <w:szCs w:val="16"/>
              </w:rPr>
              <w:t>£</w:t>
            </w:r>
            <w:r w:rsidR="006A1EB6" w:rsidRPr="00A01AFC">
              <w:rPr>
                <w:rFonts w:cs="Arial"/>
                <w:b/>
                <w:color w:val="FFFFFF" w:themeColor="background1"/>
                <w:sz w:val="16"/>
                <w:szCs w:val="16"/>
              </w:rPr>
              <w:t>97.09</w:t>
            </w:r>
          </w:p>
        </w:tc>
      </w:tr>
    </w:tbl>
    <w:p w:rsidR="00F77FDC" w:rsidRDefault="00F77FDC" w:rsidP="00431326">
      <w:pPr>
        <w:spacing w:after="0"/>
      </w:pPr>
    </w:p>
    <w:p w:rsidR="00F77FDC" w:rsidRDefault="00F77FDC" w:rsidP="00A01AFC">
      <w:r>
        <w:t xml:space="preserve">Additionally we have used the Ofwat bill waterfall diagram to produce two waterfall diagrams.  This is in order to reflect appropriately, the impact of the HTWSR scheme on the Business Plan.  This £62.2m project has a significant impact on RCV, </w:t>
      </w:r>
      <w:r w:rsidR="00560B22">
        <w:t>Totex</w:t>
      </w:r>
      <w:r>
        <w:t xml:space="preserve"> and PAYG levels.  The costs are entirely recovered from the bulk supply income and therefore do not impact overall customer bills.  In the Ofwat waterfall diagram the impact of HTWSR is included in each of the separate components and therefore appears to drive significant movements.  To aid clarity and understanding we have stripped this out of the waterfall entirely to reflect the true drivers of customer bills.</w:t>
      </w:r>
      <w:r w:rsidR="000B7FF1">
        <w:t xml:space="preserve">  Larger versions of these diagrams are included in Appendix 11.1.</w:t>
      </w:r>
    </w:p>
    <w:p w:rsidR="00431326" w:rsidRPr="00431326" w:rsidRDefault="00431326" w:rsidP="00A01AFC">
      <w:pPr>
        <w:rPr>
          <w:b/>
        </w:rPr>
      </w:pPr>
      <w:r w:rsidRPr="00431326">
        <w:rPr>
          <w:b/>
        </w:rPr>
        <w:t>Bill Waterfall excluding HTWSR</w:t>
      </w:r>
      <w:r w:rsidR="00FE4F7F">
        <w:rPr>
          <w:b/>
        </w:rPr>
        <w:t xml:space="preserve"> - Adjusted</w:t>
      </w:r>
    </w:p>
    <w:p w:rsidR="00D877CF" w:rsidRDefault="00D877CF" w:rsidP="00A01AFC">
      <w:r>
        <w:t>We see from the cha</w:t>
      </w:r>
      <w:r w:rsidR="00560B22">
        <w:t>r</w:t>
      </w:r>
      <w:r>
        <w:t xml:space="preserve">t that modest increased have been driven by enhancements and a small increase in RCV run off.  However, this has been offset by larger reductions from PAYG, WACC, legacy items (primarily net ODI penalties) and </w:t>
      </w:r>
      <w:r w:rsidR="00FE4F7F">
        <w:t xml:space="preserve">higher </w:t>
      </w:r>
      <w:r>
        <w:t>customer numbers.</w:t>
      </w:r>
      <w:r w:rsidR="00541DE6">
        <w:t xml:space="preserve">  </w:t>
      </w:r>
    </w:p>
    <w:p w:rsidR="00FC4EFF" w:rsidRDefault="00FC4EFF" w:rsidP="00FC4EFF">
      <w:pPr>
        <w:jc w:val="center"/>
      </w:pPr>
      <w:r>
        <w:rPr>
          <w:noProof/>
        </w:rPr>
        <w:drawing>
          <wp:inline distT="0" distB="0" distL="0" distR="0">
            <wp:extent cx="3650776" cy="2330702"/>
            <wp:effectExtent l="0" t="0" r="6985" b="0"/>
            <wp:docPr id="8" name="Picture 8" descr="cid:image005.png@01D43F73.D41A9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43F73.D41A9D9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697892" cy="2360781"/>
                    </a:xfrm>
                    <a:prstGeom prst="rect">
                      <a:avLst/>
                    </a:prstGeom>
                    <a:noFill/>
                    <a:ln>
                      <a:noFill/>
                    </a:ln>
                  </pic:spPr>
                </pic:pic>
              </a:graphicData>
            </a:graphic>
          </wp:inline>
        </w:drawing>
      </w:r>
    </w:p>
    <w:p w:rsidR="00F77FDC" w:rsidRDefault="00431326" w:rsidP="00F77FDC">
      <w:pPr>
        <w:jc w:val="left"/>
        <w:rPr>
          <w:b/>
        </w:rPr>
      </w:pPr>
      <w:r w:rsidRPr="00431326">
        <w:rPr>
          <w:b/>
        </w:rPr>
        <w:t>Bill Waterfall including HTWSR</w:t>
      </w:r>
      <w:r w:rsidR="00FE4F7F">
        <w:rPr>
          <w:b/>
        </w:rPr>
        <w:t xml:space="preserve"> - Unadjusted</w:t>
      </w:r>
    </w:p>
    <w:p w:rsidR="009676F1" w:rsidRPr="009676F1" w:rsidRDefault="009676F1" w:rsidP="00F77FDC">
      <w:pPr>
        <w:jc w:val="left"/>
      </w:pPr>
      <w:r>
        <w:t>The costs of the HTWSR project will entirely be recovered through a bulk supply arrangement.  In the “unadjusted” model below</w:t>
      </w:r>
      <w:r w:rsidR="00FE4F7F">
        <w:t>,</w:t>
      </w:r>
      <w:r>
        <w:t xml:space="preserve"> this </w:t>
      </w:r>
      <w:r w:rsidR="00FE4F7F">
        <w:t xml:space="preserve">results in some significant gross movements through the RCV, </w:t>
      </w:r>
      <w:r w:rsidR="00560B22">
        <w:t>Totex</w:t>
      </w:r>
      <w:r w:rsidR="00FE4F7F">
        <w:t xml:space="preserve">, PAYG and Other Wholesale lines.  These are significantly impacted by the inclusion of HTWSR and, therefore, drive disproportionately large movements.  </w:t>
      </w:r>
    </w:p>
    <w:p w:rsidR="00FC4EFF" w:rsidRDefault="00FC4EFF" w:rsidP="00FC4EFF">
      <w:pPr>
        <w:jc w:val="center"/>
      </w:pPr>
      <w:r>
        <w:rPr>
          <w:noProof/>
        </w:rPr>
        <w:drawing>
          <wp:inline distT="0" distB="0" distL="0" distR="0">
            <wp:extent cx="4005618" cy="2557237"/>
            <wp:effectExtent l="0" t="0" r="0" b="0"/>
            <wp:docPr id="9" name="Picture 9" descr="cid:image005.png@01D43F73.FFF9B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43F73.FFF9B1D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4035882" cy="2576558"/>
                    </a:xfrm>
                    <a:prstGeom prst="rect">
                      <a:avLst/>
                    </a:prstGeom>
                    <a:noFill/>
                    <a:ln>
                      <a:noFill/>
                    </a:ln>
                  </pic:spPr>
                </pic:pic>
              </a:graphicData>
            </a:graphic>
          </wp:inline>
        </w:drawing>
      </w:r>
    </w:p>
    <w:p w:rsidR="00C60D6C" w:rsidRDefault="00C60D6C" w:rsidP="00C60D6C">
      <w:pPr>
        <w:pStyle w:val="Heading2"/>
      </w:pPr>
      <w:bookmarkStart w:id="263" w:name="_Toc523651340"/>
      <w:r>
        <w:t>Dividend policy</w:t>
      </w:r>
      <w:bookmarkEnd w:id="263"/>
    </w:p>
    <w:p w:rsidR="00C60D6C" w:rsidRDefault="00C60D6C" w:rsidP="00246AD9">
      <w:r>
        <w:t>The Board is committed to maintaining a fair, sustainable and transparent dividend policy which is reflective of the business performance and our delivery for customers.  The dividend policy for PR19 has been developed to take account of all relevant factors – particularly performance against our promises to customers, long-term resilience, financeability, our wider obligations and responsibilities to stakeholders.</w:t>
      </w:r>
    </w:p>
    <w:p w:rsidR="00C60D6C" w:rsidRDefault="00A01AFC" w:rsidP="00246AD9">
      <w:r>
        <w:t>O</w:t>
      </w:r>
      <w:r w:rsidR="00C60D6C">
        <w:t>ur dividend will be calculated and proposed each year based upon the following relevant factors;</w:t>
      </w:r>
    </w:p>
    <w:p w:rsidR="00C60D6C" w:rsidRDefault="00C60D6C" w:rsidP="00246AD9">
      <w:pPr>
        <w:pStyle w:val="Bullets"/>
      </w:pPr>
      <w:r>
        <w:t xml:space="preserve">For the appointed business a base level of dividend calculated using a 5% dividend yield on </w:t>
      </w:r>
      <w:r w:rsidR="00CD6D2C">
        <w:t xml:space="preserve">average </w:t>
      </w:r>
      <w:r>
        <w:t>regulatory equity value.</w:t>
      </w:r>
    </w:p>
    <w:p w:rsidR="00C60D6C" w:rsidRDefault="005115F9" w:rsidP="00246AD9">
      <w:pPr>
        <w:pStyle w:val="Bullets"/>
      </w:pPr>
      <w:r>
        <w:t>At the Board’s discretion,</w:t>
      </w:r>
      <w:r w:rsidR="00C60D6C">
        <w:t xml:space="preserve"> this base dividend will be adjusted to reflect wider performance factors such as performance in relation to service levels and ODI measures.  Should the business underperform, consideration and challenge will be given as to whether further investment is required to achieve Outcomes for customers.  This may in turn necessitate a reduction in dividend and/or further external investment.</w:t>
      </w:r>
    </w:p>
    <w:p w:rsidR="00C60D6C" w:rsidRDefault="00C60D6C" w:rsidP="00246AD9">
      <w:pPr>
        <w:pStyle w:val="Bullets"/>
      </w:pPr>
      <w:r>
        <w:t>The dividend may be increased to reflect any amounts which are paid solely to allow the servicing of intercompany debt and to the extent that such dividend will be recycled to the company in the form of interest income.</w:t>
      </w:r>
    </w:p>
    <w:p w:rsidR="00C60D6C" w:rsidRDefault="00C60D6C" w:rsidP="00246AD9">
      <w:pPr>
        <w:pStyle w:val="Bullets"/>
      </w:pPr>
      <w:r>
        <w:t>The financial performance of the non-appointed parts of the Portsmouth Water Limited may also be taken into account in determining the overall dividend at the level of the statutory entity.</w:t>
      </w:r>
    </w:p>
    <w:p w:rsidR="00C60D6C" w:rsidRDefault="00C60D6C" w:rsidP="00246AD9">
      <w:r>
        <w:t>The Board is committed to considering these factors in declaring a dividend and in setting out clearly and transparently, in each Annual Performance Report, the dividend policy, the factors that have been considered in determining the dividend and how these relate to the dividend declared.  Our explanations will also cover how the Board’s decision in relation to dividends reflects how the Company has delivered for customers.</w:t>
      </w:r>
    </w:p>
    <w:p w:rsidR="00C60D6C" w:rsidRDefault="00C60D6C" w:rsidP="00246AD9">
      <w:r>
        <w:t xml:space="preserve">In developing the dividend policy we have considered the Company’s financial metrics and overall financial resilience together with our investor’s willingness to inject additional </w:t>
      </w:r>
      <w:r w:rsidR="005115F9">
        <w:t>capital</w:t>
      </w:r>
      <w:r>
        <w:t xml:space="preserve"> to support our significant capital programme (and its positive impact on our financing) in PR19.</w:t>
      </w:r>
    </w:p>
    <w:p w:rsidR="00C60D6C" w:rsidRDefault="00C60D6C" w:rsidP="00246AD9">
      <w:r>
        <w:t xml:space="preserve">The financial metrics in the </w:t>
      </w:r>
      <w:r>
        <w:rPr>
          <w:i/>
        </w:rPr>
        <w:t>actual</w:t>
      </w:r>
      <w:r>
        <w:t xml:space="preserve"> capital structure indicate an overall negative dividend cover in PR19, primarily driven by non-cash loan indexation, which results in an overall trading loss.  This reflects the impact of both the switch in indexation from RPI to CPI and differential between actual and allowed cost of debt.  Over the medium term we expect this position to be addressed by both new </w:t>
      </w:r>
      <w:r w:rsidR="005115F9">
        <w:t>capital</w:t>
      </w:r>
      <w:r>
        <w:t xml:space="preserve"> injections (driven by our significant capital programme) and a </w:t>
      </w:r>
      <w:r w:rsidR="00AD3CFA">
        <w:t xml:space="preserve">reduction </w:t>
      </w:r>
      <w:r>
        <w:t>of our average cost of debt (as this is diluted by new debt and lower gearing).  Given that the Company has significant distributable reserves (c£69m) and adequate cash we have concluded that the dividend policy proposed remains appropriate in the context of this financial position.  In the context of overall financial resilience we note that restriction of dividend payments would remain amongst the range of appropriate responses, should a severe financial shock to the business arise.</w:t>
      </w:r>
    </w:p>
    <w:p w:rsidR="00FF69F5" w:rsidRDefault="00AE1348" w:rsidP="00D705AC">
      <w:pPr>
        <w:pStyle w:val="Heading2"/>
      </w:pPr>
      <w:bookmarkStart w:id="264" w:name="_Toc523651341"/>
      <w:r>
        <w:t xml:space="preserve">Gearing </w:t>
      </w:r>
      <w:r w:rsidR="00D705AC">
        <w:t>Outperformance Sharing Mechanism</w:t>
      </w:r>
      <w:bookmarkEnd w:id="264"/>
    </w:p>
    <w:p w:rsidR="00D705AC" w:rsidRDefault="00D705AC" w:rsidP="00D705AC">
      <w:r>
        <w:t>Although, following planned</w:t>
      </w:r>
      <w:r w:rsidR="006E20C1">
        <w:t xml:space="preserve"> new</w:t>
      </w:r>
      <w:r>
        <w:t xml:space="preserve"> injections of </w:t>
      </w:r>
      <w:r w:rsidR="005115F9">
        <w:t>capital</w:t>
      </w:r>
      <w:r>
        <w:t>, we do not anticipate gearing to vary materially from the notional gearing of 60%, we have set out our proposal for an outperformance sharing mechanism for high gearing.</w:t>
      </w:r>
    </w:p>
    <w:p w:rsidR="00D705AC" w:rsidRDefault="00D705AC" w:rsidP="00D705AC">
      <w:r>
        <w:t>We have adopted the mechanism in line with Ofwat’s illustrative mechanism as set out in the consultation “Putting the Sector Back in Balance”.</w:t>
      </w:r>
    </w:p>
    <w:p w:rsidR="00D705AC" w:rsidRPr="00D705AC" w:rsidRDefault="00D705AC" w:rsidP="00D705AC">
      <w:r>
        <w:t xml:space="preserve">As such we will apply a 10% dead-band above the notional gearing level of 60%.  We will share 50% of the difference between notional nominal cost of </w:t>
      </w:r>
      <w:r w:rsidR="005115F9">
        <w:t>capital</w:t>
      </w:r>
      <w:r>
        <w:t xml:space="preserve"> and actual nominal cost of debt for the proportion of gearing that is above a reference point of 65%.</w:t>
      </w:r>
    </w:p>
    <w:p w:rsidR="00C60D6C" w:rsidRDefault="00C60D6C" w:rsidP="00072F91">
      <w:pPr>
        <w:pStyle w:val="Heading2"/>
      </w:pPr>
      <w:bookmarkStart w:id="265" w:name="_Toc523651342"/>
      <w:r>
        <w:t>Ownership structure</w:t>
      </w:r>
      <w:bookmarkEnd w:id="265"/>
    </w:p>
    <w:p w:rsidR="00C60D6C" w:rsidRDefault="00C60D6C" w:rsidP="00C60D6C">
      <w:pPr>
        <w:rPr>
          <w:rFonts w:cs="Arial"/>
          <w:color w:val="000000" w:themeColor="text1"/>
        </w:rPr>
      </w:pPr>
      <w:r>
        <w:rPr>
          <w:rFonts w:cs="Arial"/>
          <w:noProof/>
          <w:color w:val="000000" w:themeColor="text1"/>
        </w:rPr>
        <w:drawing>
          <wp:inline distT="0" distB="0" distL="0" distR="0">
            <wp:extent cx="3765550" cy="32575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65550" cy="3257550"/>
                    </a:xfrm>
                    <a:prstGeom prst="rect">
                      <a:avLst/>
                    </a:prstGeom>
                    <a:noFill/>
                    <a:ln>
                      <a:noFill/>
                    </a:ln>
                  </pic:spPr>
                </pic:pic>
              </a:graphicData>
            </a:graphic>
          </wp:inline>
        </w:drawing>
      </w:r>
    </w:p>
    <w:p w:rsidR="00E449ED" w:rsidRPr="00E449ED" w:rsidRDefault="00E449ED" w:rsidP="00E449ED">
      <w:r w:rsidRPr="00E449ED">
        <w:t xml:space="preserve">The group is ultimately owned by funds managed by Ancala Partners LLP ("Ancala") (as set out in the group structure above). Ancala Partners LLP (“Ancala”) is a UK based infrastructure fund manager.  Its investors are primarily UK corporate and local authority pension plans. The ultimate and intermediate holding companies are incorporated in the UK. The investors in AFHL comprise a number of investment vehicles, all focused primarily on UK long-term infrastructure investment and managed by Ancala Partners LLP. </w:t>
      </w:r>
    </w:p>
    <w:p w:rsidR="00E449ED" w:rsidRDefault="00E449ED" w:rsidP="00E449ED">
      <w:r w:rsidRPr="00E449ED">
        <w:t>Portsmouth Water is currently financed primarily by a</w:t>
      </w:r>
      <w:r w:rsidR="00850C3A">
        <w:t>n</w:t>
      </w:r>
      <w:r w:rsidRPr="00E449ED">
        <w:t xml:space="preserve"> RPI indexed linked loan secured upon the assets of the Company.  This thirty year £66.5m index-linked loan was issued in June 2002 and is repayable on 30 September 2032.  It is anticipated that the PR19 capital programme will be financed by a combination £61m of new </w:t>
      </w:r>
      <w:r w:rsidR="005115F9">
        <w:t>capital</w:t>
      </w:r>
      <w:r w:rsidRPr="00E449ED">
        <w:t xml:space="preserve"> together with our current revolving credit facility and a new </w:t>
      </w:r>
      <w:r w:rsidR="00964B14">
        <w:t>Capex</w:t>
      </w:r>
      <w:r w:rsidRPr="00E449ED">
        <w:t xml:space="preserve"> facility.</w:t>
      </w:r>
    </w:p>
    <w:p w:rsidR="00C300BF" w:rsidRPr="00453F64" w:rsidRDefault="00C300BF" w:rsidP="00C300BF">
      <w:pPr>
        <w:rPr>
          <w:rFonts w:cs="Arial"/>
          <w:color w:val="2E74B5" w:themeColor="accent1" w:themeShade="BF"/>
        </w:rPr>
      </w:pPr>
      <w:r w:rsidRPr="00453F64">
        <w:rPr>
          <w:rFonts w:cs="Arial"/>
          <w:color w:val="2E74B5" w:themeColor="accent1" w:themeShade="BF"/>
        </w:rPr>
        <w:t xml:space="preserve">Appendices relevant to this </w:t>
      </w:r>
      <w:r w:rsidR="00453F64">
        <w:rPr>
          <w:rFonts w:cs="Arial"/>
          <w:color w:val="2E74B5" w:themeColor="accent1" w:themeShade="BF"/>
        </w:rPr>
        <w:t>chapter</w:t>
      </w:r>
    </w:p>
    <w:tbl>
      <w:tblPr>
        <w:tblStyle w:val="TableGrid22"/>
        <w:tblW w:w="0" w:type="auto"/>
        <w:jc w:val="center"/>
        <w:tblLook w:val="04A0" w:firstRow="1" w:lastRow="0" w:firstColumn="1" w:lastColumn="0" w:noHBand="0" w:noVBand="1"/>
      </w:tblPr>
      <w:tblGrid>
        <w:gridCol w:w="1838"/>
        <w:gridCol w:w="4173"/>
        <w:gridCol w:w="1781"/>
      </w:tblGrid>
      <w:tr w:rsidR="00C300BF" w:rsidRPr="001E0DCD" w:rsidTr="00A05BD7">
        <w:trPr>
          <w:jc w:val="center"/>
        </w:trPr>
        <w:tc>
          <w:tcPr>
            <w:tcW w:w="1838" w:type="dxa"/>
            <w:shd w:val="clear" w:color="auto" w:fill="2E74B5" w:themeFill="accent1" w:themeFillShade="BF"/>
          </w:tcPr>
          <w:p w:rsidR="00C300BF" w:rsidRPr="001E0DCD" w:rsidRDefault="00C300BF" w:rsidP="00A05BD7">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C300BF" w:rsidRPr="001E0DCD" w:rsidRDefault="00C300BF" w:rsidP="00A05BD7">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C300BF" w:rsidRPr="001E0DCD" w:rsidRDefault="00C300BF" w:rsidP="00A05BD7">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0B7FF1" w:rsidRPr="001E0DCD" w:rsidTr="00A05BD7">
        <w:trPr>
          <w:jc w:val="center"/>
        </w:trPr>
        <w:tc>
          <w:tcPr>
            <w:tcW w:w="1838" w:type="dxa"/>
          </w:tcPr>
          <w:p w:rsidR="000B7FF1" w:rsidRDefault="000B7FF1" w:rsidP="00A05BD7">
            <w:pPr>
              <w:tabs>
                <w:tab w:val="clear" w:pos="851"/>
              </w:tabs>
              <w:spacing w:after="0"/>
              <w:ind w:left="0"/>
              <w:jc w:val="left"/>
              <w:rPr>
                <w:rFonts w:cs="Arial"/>
                <w:sz w:val="16"/>
                <w:szCs w:val="16"/>
              </w:rPr>
            </w:pPr>
            <w:r>
              <w:rPr>
                <w:rFonts w:cs="Arial"/>
                <w:sz w:val="16"/>
                <w:szCs w:val="16"/>
              </w:rPr>
              <w:t>11.1</w:t>
            </w:r>
          </w:p>
        </w:tc>
        <w:tc>
          <w:tcPr>
            <w:tcW w:w="4173" w:type="dxa"/>
          </w:tcPr>
          <w:p w:rsidR="000B7FF1" w:rsidRDefault="000B7FF1" w:rsidP="00A05BD7">
            <w:pPr>
              <w:tabs>
                <w:tab w:val="clear" w:pos="851"/>
              </w:tabs>
              <w:spacing w:after="0"/>
              <w:ind w:left="0"/>
              <w:jc w:val="left"/>
              <w:rPr>
                <w:rFonts w:cs="Arial"/>
                <w:sz w:val="16"/>
                <w:szCs w:val="16"/>
              </w:rPr>
            </w:pPr>
            <w:r>
              <w:rPr>
                <w:rFonts w:cs="Arial"/>
                <w:sz w:val="16"/>
                <w:szCs w:val="16"/>
              </w:rPr>
              <w:t>Bill Waterfall Diagrams</w:t>
            </w:r>
          </w:p>
        </w:tc>
        <w:tc>
          <w:tcPr>
            <w:tcW w:w="1781" w:type="dxa"/>
          </w:tcPr>
          <w:p w:rsidR="000B7FF1" w:rsidRDefault="000B7FF1" w:rsidP="00A05BD7">
            <w:pPr>
              <w:tabs>
                <w:tab w:val="clear" w:pos="851"/>
              </w:tabs>
              <w:spacing w:after="0"/>
              <w:ind w:left="0"/>
              <w:jc w:val="left"/>
              <w:rPr>
                <w:rFonts w:cs="Arial"/>
                <w:sz w:val="16"/>
                <w:szCs w:val="16"/>
              </w:rPr>
            </w:pPr>
            <w:r>
              <w:rPr>
                <w:rFonts w:cs="Arial"/>
                <w:sz w:val="16"/>
                <w:szCs w:val="16"/>
              </w:rPr>
              <w:t>August 2018</w:t>
            </w:r>
          </w:p>
        </w:tc>
      </w:tr>
      <w:tr w:rsidR="00C300BF" w:rsidRPr="001E0DCD" w:rsidTr="00A05BD7">
        <w:trPr>
          <w:jc w:val="center"/>
        </w:trPr>
        <w:tc>
          <w:tcPr>
            <w:tcW w:w="1838" w:type="dxa"/>
          </w:tcPr>
          <w:p w:rsidR="00C300BF" w:rsidRPr="001E0DCD" w:rsidRDefault="00055FFF" w:rsidP="00A05BD7">
            <w:pPr>
              <w:tabs>
                <w:tab w:val="clear" w:pos="851"/>
              </w:tabs>
              <w:spacing w:after="0"/>
              <w:ind w:left="0"/>
              <w:jc w:val="left"/>
              <w:rPr>
                <w:rFonts w:cs="Arial"/>
                <w:sz w:val="16"/>
                <w:szCs w:val="16"/>
              </w:rPr>
            </w:pPr>
            <w:r>
              <w:rPr>
                <w:rFonts w:cs="Arial"/>
                <w:sz w:val="16"/>
                <w:szCs w:val="16"/>
              </w:rPr>
              <w:t>14.1</w:t>
            </w:r>
          </w:p>
        </w:tc>
        <w:tc>
          <w:tcPr>
            <w:tcW w:w="4173" w:type="dxa"/>
          </w:tcPr>
          <w:p w:rsidR="00C300BF" w:rsidRPr="001E0DCD" w:rsidRDefault="00055FFF" w:rsidP="00A05BD7">
            <w:pPr>
              <w:tabs>
                <w:tab w:val="clear" w:pos="851"/>
              </w:tabs>
              <w:spacing w:after="0"/>
              <w:ind w:left="0"/>
              <w:jc w:val="left"/>
              <w:rPr>
                <w:rFonts w:cs="Arial"/>
                <w:sz w:val="16"/>
                <w:szCs w:val="16"/>
              </w:rPr>
            </w:pPr>
            <w:r>
              <w:rPr>
                <w:rFonts w:cs="Arial"/>
                <w:sz w:val="16"/>
                <w:szCs w:val="16"/>
              </w:rPr>
              <w:t>Ofwat model – notional structure</w:t>
            </w:r>
          </w:p>
        </w:tc>
        <w:tc>
          <w:tcPr>
            <w:tcW w:w="1781" w:type="dxa"/>
          </w:tcPr>
          <w:p w:rsidR="00C300BF" w:rsidRPr="001E0DCD" w:rsidRDefault="00055FFF" w:rsidP="00A05BD7">
            <w:pPr>
              <w:tabs>
                <w:tab w:val="clear" w:pos="851"/>
              </w:tabs>
              <w:spacing w:after="0"/>
              <w:ind w:left="0"/>
              <w:jc w:val="left"/>
              <w:rPr>
                <w:rFonts w:cs="Arial"/>
                <w:sz w:val="16"/>
                <w:szCs w:val="16"/>
              </w:rPr>
            </w:pPr>
            <w:r>
              <w:rPr>
                <w:rFonts w:cs="Arial"/>
                <w:sz w:val="16"/>
                <w:szCs w:val="16"/>
              </w:rPr>
              <w:t>August 2018</w:t>
            </w:r>
          </w:p>
        </w:tc>
      </w:tr>
      <w:tr w:rsidR="00C300BF" w:rsidRPr="001E0DCD" w:rsidTr="00A05BD7">
        <w:trPr>
          <w:jc w:val="center"/>
        </w:trPr>
        <w:tc>
          <w:tcPr>
            <w:tcW w:w="1838" w:type="dxa"/>
          </w:tcPr>
          <w:p w:rsidR="00C300BF" w:rsidRPr="001E0DCD" w:rsidRDefault="00055FFF" w:rsidP="00A05BD7">
            <w:pPr>
              <w:tabs>
                <w:tab w:val="clear" w:pos="851"/>
              </w:tabs>
              <w:spacing w:after="0"/>
              <w:ind w:left="0"/>
              <w:jc w:val="left"/>
              <w:rPr>
                <w:rFonts w:cs="Arial"/>
                <w:sz w:val="16"/>
                <w:szCs w:val="16"/>
              </w:rPr>
            </w:pPr>
            <w:r>
              <w:rPr>
                <w:rFonts w:cs="Arial"/>
                <w:sz w:val="16"/>
                <w:szCs w:val="16"/>
              </w:rPr>
              <w:t>14.2</w:t>
            </w:r>
          </w:p>
        </w:tc>
        <w:tc>
          <w:tcPr>
            <w:tcW w:w="4173" w:type="dxa"/>
          </w:tcPr>
          <w:p w:rsidR="00C300BF" w:rsidRPr="001E0DCD" w:rsidRDefault="00055FFF" w:rsidP="00A05BD7">
            <w:pPr>
              <w:tabs>
                <w:tab w:val="clear" w:pos="851"/>
              </w:tabs>
              <w:spacing w:after="0"/>
              <w:ind w:left="0"/>
              <w:jc w:val="left"/>
              <w:rPr>
                <w:rFonts w:cs="Arial"/>
                <w:sz w:val="16"/>
                <w:szCs w:val="16"/>
              </w:rPr>
            </w:pPr>
            <w:r>
              <w:rPr>
                <w:rFonts w:cs="Arial"/>
                <w:sz w:val="16"/>
                <w:szCs w:val="16"/>
              </w:rPr>
              <w:t>Portsmouth Water financial model – tab “dashboard”, line 11</w:t>
            </w:r>
          </w:p>
        </w:tc>
        <w:tc>
          <w:tcPr>
            <w:tcW w:w="1781" w:type="dxa"/>
          </w:tcPr>
          <w:p w:rsidR="00C300BF" w:rsidRPr="001E0DCD" w:rsidRDefault="00055FFF" w:rsidP="00A05BD7">
            <w:pPr>
              <w:tabs>
                <w:tab w:val="clear" w:pos="851"/>
              </w:tabs>
              <w:spacing w:after="0"/>
              <w:ind w:left="0"/>
              <w:jc w:val="left"/>
              <w:rPr>
                <w:rFonts w:cs="Arial"/>
                <w:sz w:val="16"/>
                <w:szCs w:val="16"/>
              </w:rPr>
            </w:pPr>
            <w:r>
              <w:rPr>
                <w:rFonts w:cs="Arial"/>
                <w:sz w:val="16"/>
                <w:szCs w:val="16"/>
              </w:rPr>
              <w:t>August 2018</w:t>
            </w:r>
          </w:p>
        </w:tc>
      </w:tr>
      <w:tr w:rsidR="00C300BF" w:rsidRPr="001E0DCD" w:rsidTr="00A05BD7">
        <w:trPr>
          <w:jc w:val="center"/>
        </w:trPr>
        <w:tc>
          <w:tcPr>
            <w:tcW w:w="1838" w:type="dxa"/>
          </w:tcPr>
          <w:p w:rsidR="00C300BF" w:rsidRDefault="00055FFF" w:rsidP="00A05BD7">
            <w:pPr>
              <w:tabs>
                <w:tab w:val="clear" w:pos="851"/>
              </w:tabs>
              <w:spacing w:after="0"/>
              <w:ind w:left="0"/>
              <w:jc w:val="left"/>
              <w:rPr>
                <w:rFonts w:cs="Arial"/>
                <w:sz w:val="16"/>
                <w:szCs w:val="16"/>
              </w:rPr>
            </w:pPr>
            <w:r>
              <w:rPr>
                <w:rFonts w:cs="Arial"/>
                <w:sz w:val="16"/>
                <w:szCs w:val="16"/>
              </w:rPr>
              <w:t>14.3a</w:t>
            </w:r>
          </w:p>
        </w:tc>
        <w:tc>
          <w:tcPr>
            <w:tcW w:w="4173" w:type="dxa"/>
          </w:tcPr>
          <w:p w:rsidR="00C300BF" w:rsidRDefault="00055FFF" w:rsidP="00A05BD7">
            <w:pPr>
              <w:tabs>
                <w:tab w:val="clear" w:pos="851"/>
              </w:tabs>
              <w:spacing w:after="0"/>
              <w:ind w:left="0"/>
              <w:jc w:val="left"/>
              <w:rPr>
                <w:rFonts w:cs="Arial"/>
                <w:sz w:val="16"/>
                <w:szCs w:val="16"/>
              </w:rPr>
            </w:pPr>
            <w:r>
              <w:rPr>
                <w:rFonts w:cs="Arial"/>
                <w:sz w:val="16"/>
                <w:szCs w:val="16"/>
              </w:rPr>
              <w:t>Portsmouth Water financial model including Havant Thicket – tab “allowed revenue”, line 41 &amp; adjustment on line 21</w:t>
            </w:r>
          </w:p>
        </w:tc>
        <w:tc>
          <w:tcPr>
            <w:tcW w:w="1781" w:type="dxa"/>
          </w:tcPr>
          <w:p w:rsidR="00C300BF" w:rsidRDefault="00055FFF" w:rsidP="00A05BD7">
            <w:pPr>
              <w:tabs>
                <w:tab w:val="clear" w:pos="851"/>
              </w:tabs>
              <w:spacing w:after="0"/>
              <w:ind w:left="0"/>
              <w:jc w:val="left"/>
              <w:rPr>
                <w:rFonts w:cs="Arial"/>
                <w:sz w:val="16"/>
                <w:szCs w:val="16"/>
              </w:rPr>
            </w:pPr>
            <w:r>
              <w:rPr>
                <w:rFonts w:cs="Arial"/>
                <w:sz w:val="16"/>
                <w:szCs w:val="16"/>
              </w:rPr>
              <w:t>August 2018</w:t>
            </w:r>
          </w:p>
        </w:tc>
      </w:tr>
      <w:tr w:rsidR="00C300BF" w:rsidRPr="001E0DCD" w:rsidTr="00A05BD7">
        <w:trPr>
          <w:jc w:val="center"/>
        </w:trPr>
        <w:tc>
          <w:tcPr>
            <w:tcW w:w="1838" w:type="dxa"/>
          </w:tcPr>
          <w:p w:rsidR="00C300BF" w:rsidRDefault="00055FFF" w:rsidP="00A05BD7">
            <w:pPr>
              <w:tabs>
                <w:tab w:val="clear" w:pos="851"/>
              </w:tabs>
              <w:spacing w:after="0"/>
              <w:ind w:left="0"/>
              <w:jc w:val="left"/>
              <w:rPr>
                <w:rFonts w:cs="Arial"/>
                <w:sz w:val="16"/>
                <w:szCs w:val="16"/>
              </w:rPr>
            </w:pPr>
            <w:r>
              <w:rPr>
                <w:rFonts w:cs="Arial"/>
                <w:sz w:val="16"/>
                <w:szCs w:val="16"/>
              </w:rPr>
              <w:t>14.3b</w:t>
            </w:r>
          </w:p>
        </w:tc>
        <w:tc>
          <w:tcPr>
            <w:tcW w:w="4173" w:type="dxa"/>
          </w:tcPr>
          <w:p w:rsidR="00C300BF" w:rsidRDefault="00055FFF" w:rsidP="00A05BD7">
            <w:pPr>
              <w:tabs>
                <w:tab w:val="clear" w:pos="851"/>
              </w:tabs>
              <w:spacing w:after="0"/>
              <w:ind w:left="0"/>
              <w:jc w:val="left"/>
              <w:rPr>
                <w:rFonts w:cs="Arial"/>
                <w:sz w:val="16"/>
                <w:szCs w:val="16"/>
              </w:rPr>
            </w:pPr>
            <w:r>
              <w:rPr>
                <w:rFonts w:cs="Arial"/>
                <w:sz w:val="16"/>
                <w:szCs w:val="16"/>
              </w:rPr>
              <w:t>Portsmouth Water financial model excluding Havant Thicket – tab “allowed revenue”, line 41 &amp; adjustment on line 21</w:t>
            </w:r>
          </w:p>
        </w:tc>
        <w:tc>
          <w:tcPr>
            <w:tcW w:w="1781" w:type="dxa"/>
          </w:tcPr>
          <w:p w:rsidR="00C300BF" w:rsidRDefault="00055FFF" w:rsidP="00A05BD7">
            <w:pPr>
              <w:tabs>
                <w:tab w:val="clear" w:pos="851"/>
              </w:tabs>
              <w:spacing w:after="0"/>
              <w:ind w:left="0"/>
              <w:jc w:val="left"/>
              <w:rPr>
                <w:rFonts w:cs="Arial"/>
                <w:sz w:val="16"/>
                <w:szCs w:val="16"/>
              </w:rPr>
            </w:pPr>
            <w:r>
              <w:rPr>
                <w:rFonts w:cs="Arial"/>
                <w:sz w:val="16"/>
                <w:szCs w:val="16"/>
              </w:rPr>
              <w:t>August 2018</w:t>
            </w:r>
          </w:p>
        </w:tc>
      </w:tr>
      <w:tr w:rsidR="00C300BF" w:rsidRPr="001E0DCD" w:rsidTr="00A05BD7">
        <w:trPr>
          <w:jc w:val="center"/>
        </w:trPr>
        <w:tc>
          <w:tcPr>
            <w:tcW w:w="1838" w:type="dxa"/>
          </w:tcPr>
          <w:p w:rsidR="00C300BF" w:rsidRDefault="00055FFF" w:rsidP="00A05BD7">
            <w:pPr>
              <w:tabs>
                <w:tab w:val="clear" w:pos="851"/>
              </w:tabs>
              <w:spacing w:after="0"/>
              <w:ind w:left="0"/>
              <w:jc w:val="left"/>
              <w:rPr>
                <w:rFonts w:cs="Arial"/>
                <w:sz w:val="16"/>
                <w:szCs w:val="16"/>
              </w:rPr>
            </w:pPr>
            <w:r>
              <w:rPr>
                <w:rFonts w:cs="Arial"/>
                <w:sz w:val="16"/>
                <w:szCs w:val="16"/>
              </w:rPr>
              <w:t>14.4</w:t>
            </w:r>
          </w:p>
        </w:tc>
        <w:tc>
          <w:tcPr>
            <w:tcW w:w="4173" w:type="dxa"/>
          </w:tcPr>
          <w:p w:rsidR="00C300BF" w:rsidRDefault="00055FFF" w:rsidP="00A05BD7">
            <w:pPr>
              <w:tabs>
                <w:tab w:val="clear" w:pos="851"/>
              </w:tabs>
              <w:spacing w:after="0"/>
              <w:ind w:left="0"/>
              <w:jc w:val="left"/>
              <w:rPr>
                <w:rFonts w:cs="Arial"/>
                <w:sz w:val="16"/>
                <w:szCs w:val="16"/>
              </w:rPr>
            </w:pPr>
            <w:r>
              <w:rPr>
                <w:rFonts w:cs="Arial"/>
                <w:sz w:val="16"/>
                <w:szCs w:val="16"/>
              </w:rPr>
              <w:t>Bill waterfall – Portsmouth Water excluding Havant Thicket impact</w:t>
            </w:r>
          </w:p>
        </w:tc>
        <w:tc>
          <w:tcPr>
            <w:tcW w:w="1781" w:type="dxa"/>
          </w:tcPr>
          <w:p w:rsidR="00C300BF" w:rsidRDefault="00055FFF" w:rsidP="00A05BD7">
            <w:pPr>
              <w:tabs>
                <w:tab w:val="clear" w:pos="851"/>
              </w:tabs>
              <w:spacing w:after="0"/>
              <w:ind w:left="0"/>
              <w:jc w:val="left"/>
              <w:rPr>
                <w:rFonts w:cs="Arial"/>
                <w:sz w:val="16"/>
                <w:szCs w:val="16"/>
              </w:rPr>
            </w:pPr>
            <w:r>
              <w:rPr>
                <w:rFonts w:cs="Arial"/>
                <w:sz w:val="16"/>
                <w:szCs w:val="16"/>
              </w:rPr>
              <w:t>August 2018</w:t>
            </w:r>
          </w:p>
        </w:tc>
      </w:tr>
      <w:tr w:rsidR="00C300BF" w:rsidRPr="001E0DCD" w:rsidTr="00A05BD7">
        <w:trPr>
          <w:jc w:val="center"/>
        </w:trPr>
        <w:tc>
          <w:tcPr>
            <w:tcW w:w="1838" w:type="dxa"/>
          </w:tcPr>
          <w:p w:rsidR="00C300BF" w:rsidRDefault="00055FFF" w:rsidP="00A05BD7">
            <w:pPr>
              <w:tabs>
                <w:tab w:val="clear" w:pos="851"/>
              </w:tabs>
              <w:spacing w:after="0"/>
              <w:ind w:left="0"/>
              <w:jc w:val="left"/>
              <w:rPr>
                <w:rFonts w:cs="Arial"/>
                <w:sz w:val="16"/>
                <w:szCs w:val="16"/>
              </w:rPr>
            </w:pPr>
            <w:r>
              <w:rPr>
                <w:rFonts w:cs="Arial"/>
                <w:sz w:val="16"/>
                <w:szCs w:val="16"/>
              </w:rPr>
              <w:t>14.5</w:t>
            </w:r>
          </w:p>
        </w:tc>
        <w:tc>
          <w:tcPr>
            <w:tcW w:w="4173" w:type="dxa"/>
          </w:tcPr>
          <w:p w:rsidR="00C300BF" w:rsidRDefault="00055FFF" w:rsidP="00055FFF">
            <w:pPr>
              <w:tabs>
                <w:tab w:val="clear" w:pos="851"/>
              </w:tabs>
              <w:spacing w:after="0"/>
              <w:ind w:left="0"/>
              <w:jc w:val="left"/>
              <w:rPr>
                <w:rFonts w:cs="Arial"/>
                <w:sz w:val="16"/>
                <w:szCs w:val="16"/>
              </w:rPr>
            </w:pPr>
            <w:r>
              <w:rPr>
                <w:rFonts w:cs="Arial"/>
                <w:sz w:val="16"/>
                <w:szCs w:val="16"/>
              </w:rPr>
              <w:t>Bill waterfall – Ofwat including Havant Thicket</w:t>
            </w:r>
          </w:p>
        </w:tc>
        <w:tc>
          <w:tcPr>
            <w:tcW w:w="1781" w:type="dxa"/>
          </w:tcPr>
          <w:p w:rsidR="00C300BF" w:rsidRDefault="00055FFF" w:rsidP="00A05BD7">
            <w:pPr>
              <w:tabs>
                <w:tab w:val="clear" w:pos="851"/>
              </w:tabs>
              <w:spacing w:after="0"/>
              <w:ind w:left="0"/>
              <w:jc w:val="left"/>
              <w:rPr>
                <w:rFonts w:cs="Arial"/>
                <w:sz w:val="16"/>
                <w:szCs w:val="16"/>
              </w:rPr>
            </w:pPr>
            <w:r>
              <w:rPr>
                <w:rFonts w:cs="Arial"/>
                <w:sz w:val="16"/>
                <w:szCs w:val="16"/>
              </w:rPr>
              <w:t>August 2018</w:t>
            </w:r>
          </w:p>
        </w:tc>
      </w:tr>
      <w:tr w:rsidR="00541DE6" w:rsidRPr="001E0DCD" w:rsidTr="00A05BD7">
        <w:trPr>
          <w:jc w:val="center"/>
        </w:trPr>
        <w:tc>
          <w:tcPr>
            <w:tcW w:w="1838" w:type="dxa"/>
          </w:tcPr>
          <w:p w:rsidR="00541DE6" w:rsidRDefault="00541DE6" w:rsidP="00A05BD7">
            <w:pPr>
              <w:tabs>
                <w:tab w:val="clear" w:pos="851"/>
              </w:tabs>
              <w:spacing w:after="0"/>
              <w:ind w:left="0"/>
              <w:jc w:val="left"/>
              <w:rPr>
                <w:rFonts w:cs="Arial"/>
                <w:sz w:val="16"/>
                <w:szCs w:val="16"/>
              </w:rPr>
            </w:pPr>
            <w:r>
              <w:rPr>
                <w:rFonts w:cs="Arial"/>
                <w:sz w:val="16"/>
                <w:szCs w:val="16"/>
              </w:rPr>
              <w:t>2.26</w:t>
            </w:r>
          </w:p>
        </w:tc>
        <w:tc>
          <w:tcPr>
            <w:tcW w:w="4173" w:type="dxa"/>
          </w:tcPr>
          <w:p w:rsidR="00541DE6" w:rsidRDefault="00541DE6" w:rsidP="00055FFF">
            <w:pPr>
              <w:tabs>
                <w:tab w:val="clear" w:pos="851"/>
              </w:tabs>
              <w:spacing w:after="0"/>
              <w:ind w:left="0"/>
              <w:jc w:val="left"/>
              <w:rPr>
                <w:rFonts w:cs="Arial"/>
                <w:sz w:val="16"/>
                <w:szCs w:val="16"/>
              </w:rPr>
            </w:pPr>
            <w:r>
              <w:rPr>
                <w:rFonts w:cs="Arial"/>
                <w:sz w:val="16"/>
                <w:szCs w:val="16"/>
              </w:rPr>
              <w:t>ICS – Bill profiling and Company Specific Premium</w:t>
            </w:r>
          </w:p>
        </w:tc>
        <w:tc>
          <w:tcPr>
            <w:tcW w:w="1781" w:type="dxa"/>
          </w:tcPr>
          <w:p w:rsidR="00541DE6" w:rsidRDefault="00541DE6" w:rsidP="00A05BD7">
            <w:pPr>
              <w:tabs>
                <w:tab w:val="clear" w:pos="851"/>
              </w:tabs>
              <w:spacing w:after="0"/>
              <w:ind w:left="0"/>
              <w:jc w:val="left"/>
              <w:rPr>
                <w:rFonts w:cs="Arial"/>
                <w:sz w:val="16"/>
                <w:szCs w:val="16"/>
              </w:rPr>
            </w:pPr>
            <w:r>
              <w:rPr>
                <w:rFonts w:cs="Arial"/>
                <w:sz w:val="16"/>
                <w:szCs w:val="16"/>
              </w:rPr>
              <w:t>July 2018</w:t>
            </w:r>
          </w:p>
        </w:tc>
      </w:tr>
      <w:tr w:rsidR="00541DE6" w:rsidRPr="001E0DCD" w:rsidTr="00A05BD7">
        <w:trPr>
          <w:jc w:val="center"/>
        </w:trPr>
        <w:tc>
          <w:tcPr>
            <w:tcW w:w="1838" w:type="dxa"/>
          </w:tcPr>
          <w:p w:rsidR="00541DE6" w:rsidRDefault="00541DE6" w:rsidP="00A05BD7">
            <w:pPr>
              <w:tabs>
                <w:tab w:val="clear" w:pos="851"/>
              </w:tabs>
              <w:spacing w:after="0"/>
              <w:ind w:left="0"/>
              <w:jc w:val="left"/>
              <w:rPr>
                <w:rFonts w:cs="Arial"/>
                <w:sz w:val="16"/>
                <w:szCs w:val="16"/>
              </w:rPr>
            </w:pPr>
            <w:r>
              <w:rPr>
                <w:rFonts w:cs="Arial"/>
                <w:sz w:val="16"/>
                <w:szCs w:val="16"/>
              </w:rPr>
              <w:t>2.28</w:t>
            </w:r>
          </w:p>
        </w:tc>
        <w:tc>
          <w:tcPr>
            <w:tcW w:w="4173" w:type="dxa"/>
          </w:tcPr>
          <w:p w:rsidR="00541DE6" w:rsidRDefault="00541DE6" w:rsidP="00055FFF">
            <w:pPr>
              <w:tabs>
                <w:tab w:val="clear" w:pos="851"/>
              </w:tabs>
              <w:spacing w:after="0"/>
              <w:ind w:left="0"/>
              <w:jc w:val="left"/>
              <w:rPr>
                <w:rFonts w:cs="Arial"/>
                <w:sz w:val="16"/>
                <w:szCs w:val="16"/>
              </w:rPr>
            </w:pPr>
            <w:r>
              <w:rPr>
                <w:rFonts w:cs="Arial"/>
                <w:sz w:val="16"/>
                <w:szCs w:val="16"/>
              </w:rPr>
              <w:t>ICS – Acceptability testing</w:t>
            </w:r>
          </w:p>
        </w:tc>
        <w:tc>
          <w:tcPr>
            <w:tcW w:w="1781" w:type="dxa"/>
          </w:tcPr>
          <w:p w:rsidR="00541DE6" w:rsidRDefault="00541DE6" w:rsidP="00A05BD7">
            <w:pPr>
              <w:tabs>
                <w:tab w:val="clear" w:pos="851"/>
              </w:tabs>
              <w:spacing w:after="0"/>
              <w:ind w:left="0"/>
              <w:jc w:val="left"/>
              <w:rPr>
                <w:rFonts w:cs="Arial"/>
                <w:sz w:val="16"/>
                <w:szCs w:val="16"/>
              </w:rPr>
            </w:pPr>
            <w:r>
              <w:rPr>
                <w:rFonts w:cs="Arial"/>
                <w:sz w:val="16"/>
                <w:szCs w:val="16"/>
              </w:rPr>
              <w:t>August 2018</w:t>
            </w:r>
          </w:p>
        </w:tc>
      </w:tr>
    </w:tbl>
    <w:p w:rsidR="00312A77" w:rsidRDefault="00312A77">
      <w:pPr>
        <w:tabs>
          <w:tab w:val="clear" w:pos="851"/>
        </w:tabs>
        <w:spacing w:after="0"/>
        <w:ind w:left="0"/>
        <w:jc w:val="left"/>
      </w:pPr>
      <w:r>
        <w:br w:type="page"/>
      </w:r>
    </w:p>
    <w:p w:rsidR="00791BF9" w:rsidRDefault="00791BF9" w:rsidP="0005234B">
      <w:pPr>
        <w:pStyle w:val="Heading1"/>
      </w:pPr>
      <w:bookmarkStart w:id="266" w:name="_Toc522200048"/>
      <w:bookmarkStart w:id="267" w:name="_Toc522200145"/>
      <w:bookmarkStart w:id="268" w:name="_Toc523651343"/>
      <w:r>
        <w:t>AMP6 Performance</w:t>
      </w:r>
      <w:bookmarkEnd w:id="266"/>
      <w:bookmarkEnd w:id="267"/>
      <w:bookmarkEnd w:id="268"/>
    </w:p>
    <w:p w:rsidR="00A655D4" w:rsidRPr="00275593" w:rsidRDefault="00A655D4" w:rsidP="00A655D4">
      <w:r w:rsidRPr="00275593">
        <w:t xml:space="preserve">This </w:t>
      </w:r>
      <w:r w:rsidR="00584B77">
        <w:t xml:space="preserve">chapter allows Ofwat, our customers </w:t>
      </w:r>
      <w:r w:rsidRPr="00275593">
        <w:t>and other stakeholders to understand how we have performed in this current review period, 2015-20.  It provides comparisons against the commitments we made to our customers and quantifies how we have performed against the financial incentive mechanisms explicit in the Final Determination at PR14.</w:t>
      </w:r>
    </w:p>
    <w:p w:rsidR="00A655D4" w:rsidRPr="00275593" w:rsidRDefault="00A655D4" w:rsidP="00A655D4">
      <w:r w:rsidRPr="00275593">
        <w:t xml:space="preserve">We believe this performance is </w:t>
      </w:r>
      <w:r>
        <w:t xml:space="preserve">an important indicator </w:t>
      </w:r>
      <w:r w:rsidRPr="00275593">
        <w:t xml:space="preserve">as to how we will continue to deliver for customers </w:t>
      </w:r>
      <w:r w:rsidR="00584B77">
        <w:t xml:space="preserve">during </w:t>
      </w:r>
      <w:r w:rsidRPr="00275593">
        <w:t>2020-25</w:t>
      </w:r>
      <w:r>
        <w:t>. It also summarises how performance</w:t>
      </w:r>
      <w:r w:rsidRPr="00275593">
        <w:t xml:space="preserve"> affects revenue and RCV adjustments for 2020-25, through the incentive mechanisms set at PR14.</w:t>
      </w:r>
    </w:p>
    <w:p w:rsidR="00A655D4" w:rsidRPr="00275593" w:rsidRDefault="00A655D4" w:rsidP="00A655D4">
      <w:pPr>
        <w:pStyle w:val="Heading2"/>
        <w:rPr>
          <w:b w:val="0"/>
        </w:rPr>
      </w:pPr>
      <w:bookmarkStart w:id="269" w:name="_Toc523651344"/>
      <w:r w:rsidRPr="00275593">
        <w:t>Reconciliation for 2015-2020</w:t>
      </w:r>
      <w:bookmarkEnd w:id="269"/>
    </w:p>
    <w:p w:rsidR="00A655D4" w:rsidRPr="00275593" w:rsidRDefault="00A655D4" w:rsidP="00A655D4">
      <w:r w:rsidRPr="00275593">
        <w:t>For PR14 Ofwat published a Reconciliation Rule Book. On 13 July 2018</w:t>
      </w:r>
      <w:r>
        <w:t>,</w:t>
      </w:r>
      <w:r w:rsidRPr="00275593">
        <w:t xml:space="preserve"> we submitted our assessment of performance for the period 2015-20 in accordance with this Rule Book.  </w:t>
      </w:r>
    </w:p>
    <w:p w:rsidR="00A655D4" w:rsidRPr="00275593" w:rsidRDefault="00A655D4" w:rsidP="00A655D4">
      <w:r w:rsidRPr="00275593">
        <w:t>This is based on actual data for the first three years of the period, 2015/16-2017/18 and latest forecasts for the last two years, 2018/19 and 2019/20.  The data was submitted to Ofwat on 13 July 2018, was audited by our financial auditors KPMG, and Board assurance was provided.</w:t>
      </w:r>
    </w:p>
    <w:p w:rsidR="00A655D4" w:rsidRPr="00275593" w:rsidRDefault="00A655D4" w:rsidP="00A655D4">
      <w:r w:rsidRPr="00275593">
        <w:t>The Rule Book covers the following mechanisms, each of which are discussed below:-</w:t>
      </w:r>
    </w:p>
    <w:p w:rsidR="00A655D4" w:rsidRPr="00275593" w:rsidRDefault="00A655D4" w:rsidP="00A655D4">
      <w:pPr>
        <w:pStyle w:val="Bullets"/>
      </w:pPr>
      <w:r w:rsidRPr="00275593">
        <w:t>Outcome Delivery Incentives</w:t>
      </w:r>
    </w:p>
    <w:p w:rsidR="00A655D4" w:rsidRPr="00275593" w:rsidRDefault="00A655D4" w:rsidP="00A655D4">
      <w:pPr>
        <w:pStyle w:val="Bullets"/>
      </w:pPr>
      <w:r w:rsidRPr="00275593">
        <w:t>Wholesale total expenditure (</w:t>
      </w:r>
      <w:r w:rsidR="00560B22">
        <w:t>Totex</w:t>
      </w:r>
      <w:r w:rsidRPr="00275593">
        <w:t>) sharing</w:t>
      </w:r>
    </w:p>
    <w:p w:rsidR="00A655D4" w:rsidRPr="00275593" w:rsidRDefault="00A655D4" w:rsidP="00A655D4">
      <w:pPr>
        <w:pStyle w:val="Bullets"/>
      </w:pPr>
      <w:r w:rsidRPr="00275593">
        <w:t>Wholesale revenue forecasting incentive mechanism</w:t>
      </w:r>
    </w:p>
    <w:p w:rsidR="00A655D4" w:rsidRPr="00275593" w:rsidRDefault="00A655D4" w:rsidP="00A655D4">
      <w:pPr>
        <w:pStyle w:val="Bullets"/>
      </w:pPr>
      <w:r w:rsidRPr="00275593">
        <w:t>Water trading incentives</w:t>
      </w:r>
    </w:p>
    <w:p w:rsidR="00A655D4" w:rsidRPr="00275593" w:rsidRDefault="00A655D4" w:rsidP="00A655D4">
      <w:pPr>
        <w:pStyle w:val="Bullets"/>
      </w:pPr>
      <w:r w:rsidRPr="00275593">
        <w:t>Residential Retail</w:t>
      </w:r>
    </w:p>
    <w:p w:rsidR="00A655D4" w:rsidRPr="00275593" w:rsidRDefault="00A655D4" w:rsidP="00A655D4">
      <w:pPr>
        <w:pStyle w:val="Bullets"/>
      </w:pPr>
      <w:r w:rsidRPr="00275593">
        <w:t>2010-15 reconciliation</w:t>
      </w:r>
    </w:p>
    <w:p w:rsidR="00A655D4" w:rsidRDefault="00A655D4" w:rsidP="00A655D4">
      <w:pPr>
        <w:pStyle w:val="Bullets"/>
      </w:pPr>
      <w:r w:rsidRPr="00275593">
        <w:t xml:space="preserve">Land disposals </w:t>
      </w:r>
    </w:p>
    <w:p w:rsidR="00A655D4" w:rsidRPr="00275593" w:rsidRDefault="00A655D4" w:rsidP="00A655D4">
      <w:pPr>
        <w:pStyle w:val="Bullets"/>
        <w:numPr>
          <w:ilvl w:val="0"/>
          <w:numId w:val="0"/>
        </w:numPr>
        <w:ind w:left="1494"/>
      </w:pPr>
    </w:p>
    <w:p w:rsidR="00A655D4" w:rsidRPr="00275593" w:rsidRDefault="00A655D4" w:rsidP="00A655D4">
      <w:r w:rsidRPr="00275593">
        <w:t xml:space="preserve">In addition, we have completed and had externally assured, </w:t>
      </w:r>
      <w:r>
        <w:t>the</w:t>
      </w:r>
      <w:r w:rsidRPr="00275593">
        <w:t xml:space="preserve"> specific data tables, which report all of the numerical detail of this chapter.</w:t>
      </w:r>
    </w:p>
    <w:p w:rsidR="00A655D4" w:rsidRPr="00275593" w:rsidRDefault="00A655D4" w:rsidP="00A655D4">
      <w:pPr>
        <w:pStyle w:val="Heading3"/>
        <w:rPr>
          <w:b w:val="0"/>
        </w:rPr>
      </w:pPr>
      <w:bookmarkStart w:id="270" w:name="_Toc523651345"/>
      <w:r w:rsidRPr="00275593">
        <w:t>Outcome Delivery Incentives (ODIs)</w:t>
      </w:r>
      <w:bookmarkEnd w:id="270"/>
    </w:p>
    <w:p w:rsidR="00A655D4" w:rsidRPr="00275593" w:rsidRDefault="00A655D4" w:rsidP="00A655D4">
      <w:r w:rsidRPr="00275593">
        <w:t>Each of our current PR14 ODIs have been allocated to the appropriate PR19 price control, though it should be noted that our Survey of Developers, a reputational ODI, has been re-allocated from Retail to Network Plus as we have now exited the NHH retail market.</w:t>
      </w:r>
    </w:p>
    <w:p w:rsidR="00A655D4" w:rsidRPr="00275593" w:rsidRDefault="00A655D4" w:rsidP="00A655D4">
      <w:r w:rsidRPr="00275593">
        <w:t>The Ofwat table APP5, provides forecasts of the performance of each of the 13 ODIs and states whether we have achieved the commitment or not.  Rewards and penalties are quantified (in 2012/13 prices) for only 3 ODIs as follows:-</w:t>
      </w:r>
    </w:p>
    <w:p w:rsidR="00A655D4" w:rsidRPr="00275593" w:rsidRDefault="00A655D4" w:rsidP="00A655D4">
      <w:r w:rsidRPr="00A655D4">
        <w:rPr>
          <w:b/>
        </w:rPr>
        <w:t>Water quality contacts</w:t>
      </w:r>
      <w:r w:rsidRPr="00275593">
        <w:t xml:space="preserve"> – a penalty will accrue as a result of not achieving our target of an average of 0.421 contacts per 1000 population served.  This target is a five-year average, which we are unlikely to achieve.  </w:t>
      </w:r>
    </w:p>
    <w:p w:rsidR="00A655D4" w:rsidRPr="00275593" w:rsidRDefault="00A655D4" w:rsidP="00A655D4">
      <w:r w:rsidRPr="00275593">
        <w:t xml:space="preserve">Our target was based on our 2013 performance. However, as a result of introducing a new Customer Relationship Management System (CRM) in October 2012, we are now recording contacts more accurately, resulting in a greater number of reported contacts.  Despite this increase, we remain upper quartile for this measure for 2015-2017 as reported in the </w:t>
      </w:r>
      <w:r w:rsidR="00584B77">
        <w:t xml:space="preserve">DWI </w:t>
      </w:r>
      <w:r w:rsidRPr="00275593">
        <w:t xml:space="preserve">Chief Inspectors Report. </w:t>
      </w:r>
    </w:p>
    <w:p w:rsidR="00A655D4" w:rsidRPr="00275593" w:rsidRDefault="00A655D4" w:rsidP="00A655D4">
      <w:r w:rsidRPr="00A655D4">
        <w:rPr>
          <w:b/>
        </w:rPr>
        <w:t>Interruptions to supply</w:t>
      </w:r>
      <w:r w:rsidRPr="00275593">
        <w:t xml:space="preserve"> – a reward will accrue because of outperforming the target of 6 minutes per property.  It is a five-year target that we expect to outperform.  We expect to perform at circa 4 minutes on average. </w:t>
      </w:r>
    </w:p>
    <w:p w:rsidR="00A655D4" w:rsidRPr="00275593" w:rsidRDefault="00A655D4" w:rsidP="00A655D4">
      <w:r w:rsidRPr="00275593">
        <w:t xml:space="preserve">This is primarily because we have reviewed the way we undertaken planned renewals activity and have spent additional money on overland supplies so that the impact of any interruption </w:t>
      </w:r>
      <w:r w:rsidR="00584B77">
        <w:t>t</w:t>
      </w:r>
      <w:r w:rsidRPr="00275593">
        <w:t xml:space="preserve">o customers is reduced. This additional spend on </w:t>
      </w:r>
      <w:r w:rsidR="007D6CA6">
        <w:t xml:space="preserve">overland supplies </w:t>
      </w:r>
      <w:r w:rsidRPr="00275593">
        <w:t>has been financed by the efficiencies we have made by employing no-dig technology rather than more expensive open cut methods.</w:t>
      </w:r>
    </w:p>
    <w:p w:rsidR="00A655D4" w:rsidRPr="00275593" w:rsidRDefault="00A655D4" w:rsidP="00A655D4">
      <w:r w:rsidRPr="00A655D4">
        <w:rPr>
          <w:b/>
        </w:rPr>
        <w:t>Water quality compliance (Mean Zonal Compliance)</w:t>
      </w:r>
      <w:r w:rsidRPr="00275593">
        <w:t xml:space="preserve"> </w:t>
      </w:r>
      <w:r>
        <w:t xml:space="preserve">- </w:t>
      </w:r>
      <w:r w:rsidRPr="00275593">
        <w:t xml:space="preserve">we have had two water quality compliance failures on in 2015 and 2017, both as a result of compliance failures at customer taps for lead.  </w:t>
      </w:r>
    </w:p>
    <w:p w:rsidR="00A655D4" w:rsidRPr="00275593" w:rsidRDefault="00A655D4" w:rsidP="00A655D4">
      <w:r w:rsidRPr="00275593">
        <w:t xml:space="preserve">Given the relatively small number of samples taken for lead in any year, one or two failures on this component of the measure can have a significant impact on the result.  </w:t>
      </w:r>
      <w:r w:rsidRPr="00275593">
        <w:rPr>
          <w:lang w:val="en-US"/>
        </w:rPr>
        <w:t>Specifically in 2015 and 2017</w:t>
      </w:r>
      <w:r>
        <w:rPr>
          <w:lang w:val="en-US"/>
        </w:rPr>
        <w:t>,</w:t>
      </w:r>
      <w:r w:rsidRPr="00275593">
        <w:rPr>
          <w:lang w:val="en-US"/>
        </w:rPr>
        <w:t xml:space="preserve"> failure</w:t>
      </w:r>
      <w:r w:rsidRPr="00275593">
        <w:t xml:space="preserve"> arose as a result of lead in the customer</w:t>
      </w:r>
      <w:r>
        <w:t>-</w:t>
      </w:r>
      <w:r w:rsidRPr="00275593">
        <w:t>side supply pipes.  We worked closely with the customers effected and all customers subsequently replaced their lead supply pipe.</w:t>
      </w:r>
    </w:p>
    <w:p w:rsidR="00A655D4" w:rsidRPr="00275593" w:rsidRDefault="00A655D4" w:rsidP="00A655D4">
      <w:r w:rsidRPr="00275593">
        <w:t>The Ofwat table, APP27 quantifies the rewards and penalties that will apply at the end of th</w:t>
      </w:r>
      <w:r w:rsidR="00584B77">
        <w:t>is</w:t>
      </w:r>
      <w:r w:rsidRPr="00275593">
        <w:t xml:space="preserve"> AMP.</w:t>
      </w:r>
    </w:p>
    <w:p w:rsidR="00A655D4" w:rsidRPr="00275593" w:rsidRDefault="00A655D4" w:rsidP="00A655D4">
      <w:r w:rsidRPr="00275593">
        <w:t xml:space="preserve">The Company does not have any in period adjustments nor any that relate to adjustments to the RCV.  </w:t>
      </w:r>
    </w:p>
    <w:p w:rsidR="00A655D4" w:rsidRPr="00275593" w:rsidRDefault="00A655D4" w:rsidP="00A655D4">
      <w:pPr>
        <w:pStyle w:val="Bullets"/>
      </w:pPr>
      <w:r w:rsidRPr="00275593">
        <w:t>Specifically we expect to fail our water quality contact target.  This equates to a penalty of £0.380m each year.</w:t>
      </w:r>
    </w:p>
    <w:p w:rsidR="00A655D4" w:rsidRPr="00275593" w:rsidRDefault="00A655D4" w:rsidP="00A655D4">
      <w:pPr>
        <w:pStyle w:val="Bullets"/>
      </w:pPr>
      <w:r w:rsidRPr="00275593">
        <w:t>We expect to out-perform our interruptions target.  This equates to £0.007m per annum.</w:t>
      </w:r>
    </w:p>
    <w:p w:rsidR="00A655D4" w:rsidRPr="00275593" w:rsidRDefault="00A655D4" w:rsidP="00A655D4">
      <w:pPr>
        <w:pStyle w:val="Bullets"/>
      </w:pPr>
      <w:r w:rsidRPr="00275593">
        <w:t>Finally</w:t>
      </w:r>
      <w:r>
        <w:t>,</w:t>
      </w:r>
      <w:r w:rsidRPr="00275593">
        <w:t xml:space="preserve"> the two water quality compliance failures on in 2015 and 2017.  This equates to a penalty of £0.320m in each of those years.</w:t>
      </w:r>
    </w:p>
    <w:p w:rsidR="00A655D4" w:rsidRDefault="00A655D4" w:rsidP="00A655D4">
      <w:pPr>
        <w:pStyle w:val="Bullets"/>
      </w:pPr>
      <w:r w:rsidRPr="00275593">
        <w:t>We expect a reward from SIM, as discussed below.</w:t>
      </w:r>
    </w:p>
    <w:p w:rsidR="00A655D4" w:rsidRPr="00275593" w:rsidRDefault="00A655D4" w:rsidP="00A655D4">
      <w:pPr>
        <w:pStyle w:val="Bullets"/>
        <w:numPr>
          <w:ilvl w:val="0"/>
          <w:numId w:val="0"/>
        </w:numPr>
        <w:ind w:left="1494"/>
      </w:pPr>
    </w:p>
    <w:p w:rsidR="00A655D4" w:rsidRPr="00275593" w:rsidRDefault="00A655D4" w:rsidP="00A655D4">
      <w:r w:rsidRPr="00275593">
        <w:t>The total for the AMP period is a penalty of £2.505m.  All three of the wholesale rewards and penalties relate to Network plus.</w:t>
      </w:r>
    </w:p>
    <w:p w:rsidR="00A655D4" w:rsidRPr="00275593" w:rsidRDefault="00A655D4" w:rsidP="00A655D4">
      <w:pPr>
        <w:pStyle w:val="Heading3"/>
        <w:rPr>
          <w:b w:val="0"/>
        </w:rPr>
      </w:pPr>
      <w:bookmarkStart w:id="271" w:name="_Toc523651346"/>
      <w:r w:rsidRPr="00275593">
        <w:t>Service Incentive Mechanism</w:t>
      </w:r>
      <w:bookmarkEnd w:id="271"/>
      <w:r w:rsidRPr="00275593">
        <w:t xml:space="preserve"> </w:t>
      </w:r>
    </w:p>
    <w:p w:rsidR="00A655D4" w:rsidRPr="00275593" w:rsidRDefault="00A655D4" w:rsidP="00A655D4">
      <w:r w:rsidRPr="00275593">
        <w:t>We expect a reward for SIM to be applied at PR19.  We have assumed a reward of a 6% uplift to household retail revenue.  Our performance commitment at PR14 was to be upper quartile over the AMP6 period.  In the first three years we have been ranked 1</w:t>
      </w:r>
      <w:r w:rsidRPr="00275593">
        <w:rPr>
          <w:vertAlign w:val="superscript"/>
        </w:rPr>
        <w:t>st</w:t>
      </w:r>
      <w:r w:rsidRPr="00275593">
        <w:t>, 1</w:t>
      </w:r>
      <w:r w:rsidRPr="00275593">
        <w:rPr>
          <w:vertAlign w:val="superscript"/>
        </w:rPr>
        <w:t>st</w:t>
      </w:r>
      <w:r w:rsidRPr="00275593">
        <w:t xml:space="preserve"> and 2</w:t>
      </w:r>
      <w:r w:rsidRPr="00275593">
        <w:rPr>
          <w:vertAlign w:val="superscript"/>
        </w:rPr>
        <w:t>nd</w:t>
      </w:r>
      <w:r w:rsidRPr="00275593">
        <w:t xml:space="preserve"> and we are well placed from the first qualitative survey for 2018/19 for this to continue for this the last year of SIM reporting before C-Mex is introduced.   </w:t>
      </w:r>
    </w:p>
    <w:p w:rsidR="00A655D4" w:rsidRPr="00275593" w:rsidRDefault="00A655D4" w:rsidP="00A655D4">
      <w:r w:rsidRPr="00275593">
        <w:t>The feeder model indicates a reward of £0.662m and we have reported this in APP27.</w:t>
      </w:r>
    </w:p>
    <w:p w:rsidR="00A655D4" w:rsidRPr="00275593" w:rsidRDefault="00A655D4" w:rsidP="00A655D4">
      <w:r w:rsidRPr="00275593">
        <w:t xml:space="preserve">The actual quarterly SIM score is included in Ofwat Table R10 (up to and including Q1 2018/19).  The Company has assumed that the annual score remains at 4.50 for the remainder of this AMP, in line with recent performance.  </w:t>
      </w:r>
    </w:p>
    <w:p w:rsidR="00A655D4" w:rsidRPr="00275593" w:rsidRDefault="00A655D4" w:rsidP="00A655D4">
      <w:r w:rsidRPr="00275593">
        <w:t>We have assumed we will continue to achieve a reward for our SIM performance.  This equates to a reward of circa of £0.130m each year.  This is based on 6% of the average retail household bill.  It varies as the number of households and the level of the bill changes each year as shown in the table below.</w:t>
      </w:r>
    </w:p>
    <w:tbl>
      <w:tblPr>
        <w:tblStyle w:val="TableGrid69"/>
        <w:tblpPr w:leftFromText="180" w:rightFromText="180" w:vertAnchor="text" w:horzAnchor="margin" w:tblpXSpec="center" w:tblpY="389"/>
        <w:tblW w:w="7934" w:type="dxa"/>
        <w:tblLook w:val="04A0" w:firstRow="1" w:lastRow="0" w:firstColumn="1" w:lastColumn="0" w:noHBand="0" w:noVBand="1"/>
      </w:tblPr>
      <w:tblGrid>
        <w:gridCol w:w="2689"/>
        <w:gridCol w:w="851"/>
        <w:gridCol w:w="850"/>
        <w:gridCol w:w="993"/>
        <w:gridCol w:w="850"/>
        <w:gridCol w:w="992"/>
        <w:gridCol w:w="709"/>
      </w:tblGrid>
      <w:tr w:rsidR="00A655D4" w:rsidRPr="00A655D4" w:rsidTr="00016358">
        <w:tc>
          <w:tcPr>
            <w:tcW w:w="2689" w:type="dxa"/>
            <w:shd w:val="clear" w:color="auto" w:fill="2E74B5" w:themeFill="accent1" w:themeFillShade="BF"/>
            <w:vAlign w:val="center"/>
          </w:tcPr>
          <w:p w:rsidR="00A655D4" w:rsidRPr="00A655D4" w:rsidRDefault="00A655D4" w:rsidP="00A655D4">
            <w:pPr>
              <w:tabs>
                <w:tab w:val="clear" w:pos="851"/>
              </w:tabs>
              <w:spacing w:after="0"/>
              <w:ind w:left="0"/>
              <w:jc w:val="left"/>
              <w:rPr>
                <w:rFonts w:cs="Arial"/>
                <w:b/>
                <w:color w:val="FFFFFF"/>
                <w:sz w:val="16"/>
                <w:szCs w:val="16"/>
              </w:rPr>
            </w:pPr>
          </w:p>
          <w:p w:rsidR="00A655D4" w:rsidRPr="00A655D4" w:rsidRDefault="00A655D4" w:rsidP="00A655D4">
            <w:pPr>
              <w:tabs>
                <w:tab w:val="clear" w:pos="851"/>
              </w:tabs>
              <w:spacing w:after="0"/>
              <w:ind w:left="0"/>
              <w:jc w:val="left"/>
              <w:rPr>
                <w:rFonts w:cs="Arial"/>
                <w:b/>
                <w:color w:val="FFFFFF"/>
                <w:sz w:val="16"/>
                <w:szCs w:val="16"/>
              </w:rPr>
            </w:pPr>
          </w:p>
        </w:tc>
        <w:tc>
          <w:tcPr>
            <w:tcW w:w="851" w:type="dxa"/>
            <w:shd w:val="clear" w:color="auto" w:fill="2E74B5" w:themeFill="accent1" w:themeFillShade="BF"/>
            <w:vAlign w:val="center"/>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2015/16</w:t>
            </w:r>
          </w:p>
        </w:tc>
        <w:tc>
          <w:tcPr>
            <w:tcW w:w="850" w:type="dxa"/>
            <w:shd w:val="clear" w:color="auto" w:fill="2E74B5" w:themeFill="accent1" w:themeFillShade="BF"/>
            <w:vAlign w:val="center"/>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2016/17</w:t>
            </w:r>
          </w:p>
        </w:tc>
        <w:tc>
          <w:tcPr>
            <w:tcW w:w="993" w:type="dxa"/>
            <w:shd w:val="clear" w:color="auto" w:fill="2E74B5" w:themeFill="accent1" w:themeFillShade="BF"/>
            <w:vAlign w:val="center"/>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2017/18</w:t>
            </w:r>
          </w:p>
        </w:tc>
        <w:tc>
          <w:tcPr>
            <w:tcW w:w="850" w:type="dxa"/>
            <w:shd w:val="clear" w:color="auto" w:fill="2E74B5" w:themeFill="accent1" w:themeFillShade="BF"/>
            <w:vAlign w:val="center"/>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2018/19</w:t>
            </w:r>
          </w:p>
        </w:tc>
        <w:tc>
          <w:tcPr>
            <w:tcW w:w="992" w:type="dxa"/>
            <w:shd w:val="clear" w:color="auto" w:fill="2E74B5" w:themeFill="accent1" w:themeFillShade="BF"/>
            <w:vAlign w:val="center"/>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2019/20</w:t>
            </w:r>
          </w:p>
        </w:tc>
        <w:tc>
          <w:tcPr>
            <w:tcW w:w="709" w:type="dxa"/>
            <w:shd w:val="clear" w:color="auto" w:fill="2E74B5" w:themeFill="accent1" w:themeFillShade="BF"/>
            <w:vAlign w:val="center"/>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Total</w:t>
            </w:r>
          </w:p>
        </w:tc>
      </w:tr>
      <w:tr w:rsidR="00A655D4" w:rsidRPr="00A655D4" w:rsidTr="00A655D4">
        <w:trPr>
          <w:trHeight w:val="340"/>
        </w:trPr>
        <w:tc>
          <w:tcPr>
            <w:tcW w:w="2689" w:type="dxa"/>
            <w:vAlign w:val="center"/>
          </w:tcPr>
          <w:p w:rsidR="00A655D4" w:rsidRPr="00A655D4" w:rsidRDefault="00A655D4" w:rsidP="00A655D4">
            <w:pPr>
              <w:tabs>
                <w:tab w:val="clear" w:pos="851"/>
              </w:tabs>
              <w:spacing w:after="0"/>
              <w:ind w:left="0"/>
              <w:jc w:val="left"/>
              <w:rPr>
                <w:rFonts w:cs="Arial"/>
                <w:sz w:val="16"/>
                <w:szCs w:val="16"/>
              </w:rPr>
            </w:pPr>
            <w:r w:rsidRPr="00A655D4">
              <w:rPr>
                <w:rFonts w:cs="Arial"/>
                <w:sz w:val="16"/>
                <w:szCs w:val="16"/>
              </w:rPr>
              <w:t>Household bill (£, 2017/18 prices)</w:t>
            </w:r>
          </w:p>
        </w:tc>
        <w:tc>
          <w:tcPr>
            <w:tcW w:w="851"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102.37</w:t>
            </w:r>
          </w:p>
        </w:tc>
        <w:tc>
          <w:tcPr>
            <w:tcW w:w="850"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103.84</w:t>
            </w:r>
          </w:p>
        </w:tc>
        <w:tc>
          <w:tcPr>
            <w:tcW w:w="993"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101.82</w:t>
            </w:r>
          </w:p>
        </w:tc>
        <w:tc>
          <w:tcPr>
            <w:tcW w:w="850"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98.95</w:t>
            </w:r>
          </w:p>
        </w:tc>
        <w:tc>
          <w:tcPr>
            <w:tcW w:w="992"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99.73</w:t>
            </w:r>
          </w:p>
        </w:tc>
        <w:tc>
          <w:tcPr>
            <w:tcW w:w="709" w:type="dxa"/>
            <w:vAlign w:val="center"/>
          </w:tcPr>
          <w:p w:rsidR="00A655D4" w:rsidRPr="00A655D4" w:rsidRDefault="00A655D4" w:rsidP="00A655D4">
            <w:pPr>
              <w:tabs>
                <w:tab w:val="clear" w:pos="851"/>
              </w:tabs>
              <w:spacing w:after="0"/>
              <w:ind w:left="0"/>
              <w:jc w:val="center"/>
              <w:rPr>
                <w:rFonts w:cs="Arial"/>
                <w:sz w:val="16"/>
                <w:szCs w:val="16"/>
              </w:rPr>
            </w:pPr>
          </w:p>
        </w:tc>
      </w:tr>
      <w:tr w:rsidR="00A655D4" w:rsidRPr="00A655D4" w:rsidTr="00A655D4">
        <w:trPr>
          <w:trHeight w:val="340"/>
        </w:trPr>
        <w:tc>
          <w:tcPr>
            <w:tcW w:w="2689" w:type="dxa"/>
            <w:vAlign w:val="center"/>
          </w:tcPr>
          <w:p w:rsidR="00A655D4" w:rsidRPr="00A655D4" w:rsidRDefault="00A655D4" w:rsidP="00A655D4">
            <w:pPr>
              <w:tabs>
                <w:tab w:val="clear" w:pos="851"/>
              </w:tabs>
              <w:spacing w:after="0"/>
              <w:ind w:left="0"/>
              <w:jc w:val="left"/>
              <w:rPr>
                <w:rFonts w:cs="Arial"/>
                <w:sz w:val="16"/>
                <w:szCs w:val="16"/>
              </w:rPr>
            </w:pPr>
            <w:r w:rsidRPr="00A655D4">
              <w:rPr>
                <w:rFonts w:cs="Arial"/>
                <w:sz w:val="16"/>
                <w:szCs w:val="16"/>
              </w:rPr>
              <w:t>Household bill (£, 2012/13 prices)</w:t>
            </w:r>
          </w:p>
        </w:tc>
        <w:tc>
          <w:tcPr>
            <w:tcW w:w="851"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91.12</w:t>
            </w:r>
          </w:p>
        </w:tc>
        <w:tc>
          <w:tcPr>
            <w:tcW w:w="850"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92.43</w:t>
            </w:r>
          </w:p>
        </w:tc>
        <w:tc>
          <w:tcPr>
            <w:tcW w:w="993"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90.63</w:t>
            </w:r>
          </w:p>
        </w:tc>
        <w:tc>
          <w:tcPr>
            <w:tcW w:w="850"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88.08</w:t>
            </w:r>
          </w:p>
        </w:tc>
        <w:tc>
          <w:tcPr>
            <w:tcW w:w="992"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88.77</w:t>
            </w:r>
          </w:p>
        </w:tc>
        <w:tc>
          <w:tcPr>
            <w:tcW w:w="709" w:type="dxa"/>
            <w:vAlign w:val="center"/>
          </w:tcPr>
          <w:p w:rsidR="00A655D4" w:rsidRPr="00A655D4" w:rsidRDefault="00A655D4" w:rsidP="00A655D4">
            <w:pPr>
              <w:tabs>
                <w:tab w:val="clear" w:pos="851"/>
              </w:tabs>
              <w:spacing w:after="0"/>
              <w:ind w:left="0"/>
              <w:jc w:val="center"/>
              <w:rPr>
                <w:rFonts w:cs="Arial"/>
                <w:sz w:val="16"/>
                <w:szCs w:val="16"/>
              </w:rPr>
            </w:pPr>
          </w:p>
        </w:tc>
      </w:tr>
      <w:tr w:rsidR="00A655D4" w:rsidRPr="00A655D4" w:rsidTr="00A655D4">
        <w:trPr>
          <w:trHeight w:val="340"/>
        </w:trPr>
        <w:tc>
          <w:tcPr>
            <w:tcW w:w="2689" w:type="dxa"/>
            <w:vAlign w:val="center"/>
          </w:tcPr>
          <w:p w:rsidR="00A655D4" w:rsidRPr="00A655D4" w:rsidRDefault="00A655D4" w:rsidP="00A655D4">
            <w:pPr>
              <w:tabs>
                <w:tab w:val="clear" w:pos="851"/>
              </w:tabs>
              <w:spacing w:after="0"/>
              <w:ind w:left="0"/>
              <w:jc w:val="left"/>
              <w:rPr>
                <w:rFonts w:cs="Arial"/>
                <w:sz w:val="16"/>
                <w:szCs w:val="16"/>
              </w:rPr>
            </w:pPr>
            <w:r w:rsidRPr="00A655D4">
              <w:rPr>
                <w:rFonts w:cs="Arial"/>
                <w:sz w:val="16"/>
                <w:szCs w:val="16"/>
              </w:rPr>
              <w:t>Average no. of billed households (000s)</w:t>
            </w:r>
          </w:p>
        </w:tc>
        <w:tc>
          <w:tcPr>
            <w:tcW w:w="851"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288.665</w:t>
            </w:r>
          </w:p>
        </w:tc>
        <w:tc>
          <w:tcPr>
            <w:tcW w:w="850"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291.409</w:t>
            </w:r>
          </w:p>
        </w:tc>
        <w:tc>
          <w:tcPr>
            <w:tcW w:w="993"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293.450</w:t>
            </w:r>
          </w:p>
        </w:tc>
        <w:tc>
          <w:tcPr>
            <w:tcW w:w="850"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295.950</w:t>
            </w:r>
          </w:p>
        </w:tc>
        <w:tc>
          <w:tcPr>
            <w:tcW w:w="992"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298.450</w:t>
            </w:r>
          </w:p>
        </w:tc>
        <w:tc>
          <w:tcPr>
            <w:tcW w:w="709" w:type="dxa"/>
            <w:vAlign w:val="center"/>
          </w:tcPr>
          <w:p w:rsidR="00A655D4" w:rsidRPr="00A655D4" w:rsidRDefault="00A655D4" w:rsidP="00A655D4">
            <w:pPr>
              <w:tabs>
                <w:tab w:val="clear" w:pos="851"/>
              </w:tabs>
              <w:spacing w:after="0"/>
              <w:ind w:left="0"/>
              <w:jc w:val="center"/>
              <w:rPr>
                <w:rFonts w:cs="Arial"/>
                <w:sz w:val="16"/>
                <w:szCs w:val="16"/>
              </w:rPr>
            </w:pPr>
          </w:p>
        </w:tc>
      </w:tr>
      <w:tr w:rsidR="00A655D4" w:rsidRPr="00A655D4" w:rsidTr="00A655D4">
        <w:trPr>
          <w:trHeight w:val="340"/>
        </w:trPr>
        <w:tc>
          <w:tcPr>
            <w:tcW w:w="2689" w:type="dxa"/>
            <w:vAlign w:val="center"/>
          </w:tcPr>
          <w:p w:rsidR="00A655D4" w:rsidRPr="00A655D4" w:rsidRDefault="00A655D4" w:rsidP="00A655D4">
            <w:pPr>
              <w:tabs>
                <w:tab w:val="clear" w:pos="851"/>
              </w:tabs>
              <w:spacing w:after="0"/>
              <w:ind w:left="0"/>
              <w:jc w:val="left"/>
              <w:rPr>
                <w:rFonts w:cs="Arial"/>
                <w:sz w:val="16"/>
                <w:szCs w:val="16"/>
              </w:rPr>
            </w:pPr>
            <w:r w:rsidRPr="00A655D4">
              <w:rPr>
                <w:rFonts w:cs="Arial"/>
                <w:sz w:val="16"/>
                <w:szCs w:val="16"/>
              </w:rPr>
              <w:t>SIM reward (£m, 2012/13 prices)</w:t>
            </w:r>
          </w:p>
        </w:tc>
        <w:tc>
          <w:tcPr>
            <w:tcW w:w="851"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0.132</w:t>
            </w:r>
          </w:p>
        </w:tc>
        <w:tc>
          <w:tcPr>
            <w:tcW w:w="850"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0.135</w:t>
            </w:r>
          </w:p>
        </w:tc>
        <w:tc>
          <w:tcPr>
            <w:tcW w:w="993"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0.133</w:t>
            </w:r>
          </w:p>
        </w:tc>
        <w:tc>
          <w:tcPr>
            <w:tcW w:w="850"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0.130</w:t>
            </w:r>
          </w:p>
        </w:tc>
        <w:tc>
          <w:tcPr>
            <w:tcW w:w="992"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0.132</w:t>
            </w:r>
          </w:p>
        </w:tc>
        <w:tc>
          <w:tcPr>
            <w:tcW w:w="709" w:type="dxa"/>
            <w:vAlign w:val="center"/>
          </w:tcPr>
          <w:p w:rsidR="00A655D4" w:rsidRPr="00A655D4" w:rsidRDefault="00A655D4" w:rsidP="00A655D4">
            <w:pPr>
              <w:tabs>
                <w:tab w:val="clear" w:pos="851"/>
              </w:tabs>
              <w:spacing w:after="0"/>
              <w:ind w:left="0"/>
              <w:jc w:val="center"/>
              <w:rPr>
                <w:rFonts w:cs="Arial"/>
                <w:sz w:val="16"/>
                <w:szCs w:val="16"/>
              </w:rPr>
            </w:pPr>
            <w:r w:rsidRPr="00A655D4">
              <w:rPr>
                <w:rFonts w:cs="Arial"/>
                <w:sz w:val="16"/>
                <w:szCs w:val="16"/>
              </w:rPr>
              <w:t>0.662</w:t>
            </w:r>
          </w:p>
        </w:tc>
      </w:tr>
    </w:tbl>
    <w:p w:rsidR="00A655D4" w:rsidRPr="00275593" w:rsidRDefault="00A655D4" w:rsidP="00A655D4">
      <w:pPr>
        <w:spacing w:line="276" w:lineRule="auto"/>
        <w:rPr>
          <w:rFonts w:cs="Arial"/>
          <w:b/>
          <w:sz w:val="22"/>
          <w:szCs w:val="22"/>
        </w:rPr>
      </w:pPr>
      <w:r w:rsidRPr="00275593">
        <w:rPr>
          <w:rFonts w:cs="Arial"/>
          <w:b/>
          <w:sz w:val="22"/>
          <w:szCs w:val="22"/>
        </w:rPr>
        <w:t>Derivation of SIM Reward</w:t>
      </w:r>
    </w:p>
    <w:p w:rsidR="00A655D4" w:rsidRDefault="00A655D4" w:rsidP="00A655D4">
      <w:pPr>
        <w:rPr>
          <w:rFonts w:cs="Arial"/>
          <w:sz w:val="22"/>
          <w:szCs w:val="22"/>
        </w:rPr>
      </w:pPr>
    </w:p>
    <w:p w:rsidR="00A655D4" w:rsidRDefault="00A655D4" w:rsidP="00A655D4">
      <w:pPr>
        <w:rPr>
          <w:rFonts w:cs="Arial"/>
          <w:sz w:val="22"/>
          <w:szCs w:val="22"/>
        </w:rPr>
      </w:pPr>
    </w:p>
    <w:p w:rsidR="00A655D4" w:rsidRDefault="00A655D4" w:rsidP="00A655D4">
      <w:pPr>
        <w:rPr>
          <w:rFonts w:cs="Arial"/>
          <w:sz w:val="22"/>
          <w:szCs w:val="22"/>
        </w:rPr>
      </w:pPr>
    </w:p>
    <w:p w:rsidR="00A655D4" w:rsidRDefault="00A655D4" w:rsidP="00A655D4">
      <w:pPr>
        <w:rPr>
          <w:rFonts w:cs="Arial"/>
          <w:sz w:val="22"/>
          <w:szCs w:val="22"/>
        </w:rPr>
      </w:pPr>
    </w:p>
    <w:p w:rsidR="00A655D4" w:rsidRPr="00275593" w:rsidRDefault="00A655D4" w:rsidP="00A655D4">
      <w:r w:rsidRPr="00275593">
        <w:t>The total for the AMP is a reward of £0.662m in 2012/13 prices and £0.678m in 2017/18 CPIH prices.  The SIM adjustment applies to Household Retail revenue.</w:t>
      </w:r>
    </w:p>
    <w:p w:rsidR="00A655D4" w:rsidRPr="00275593" w:rsidRDefault="00A655D4" w:rsidP="00A655D4">
      <w:pPr>
        <w:pStyle w:val="Heading3"/>
      </w:pPr>
      <w:bookmarkStart w:id="272" w:name="_Toc523651347"/>
      <w:r w:rsidRPr="00275593">
        <w:t>Wholesale total expenditure (</w:t>
      </w:r>
      <w:r w:rsidR="00560B22">
        <w:t>Totex</w:t>
      </w:r>
      <w:r w:rsidRPr="00275593">
        <w:t>) sharing</w:t>
      </w:r>
      <w:bookmarkEnd w:id="272"/>
    </w:p>
    <w:p w:rsidR="00A655D4" w:rsidRPr="00275593" w:rsidRDefault="00A655D4" w:rsidP="00A655D4">
      <w:r w:rsidRPr="00275593">
        <w:t xml:space="preserve">Table WS15 shows the performance of the Company against the allowed </w:t>
      </w:r>
      <w:r w:rsidR="00560B22">
        <w:t>Totex</w:t>
      </w:r>
      <w:r w:rsidRPr="00275593">
        <w:t xml:space="preserve"> at PR14.  The historic data (up to and including 2017/18) is from our Annual Performance Reviews.  </w:t>
      </w:r>
    </w:p>
    <w:tbl>
      <w:tblPr>
        <w:tblpPr w:leftFromText="180" w:rightFromText="180" w:vertAnchor="text" w:horzAnchor="margin" w:tblpXSpec="right" w:tblpY="745"/>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439"/>
        <w:gridCol w:w="1156"/>
        <w:gridCol w:w="857"/>
        <w:gridCol w:w="853"/>
        <w:gridCol w:w="849"/>
        <w:gridCol w:w="846"/>
        <w:gridCol w:w="842"/>
        <w:gridCol w:w="838"/>
      </w:tblGrid>
      <w:tr w:rsidR="00A655D4" w:rsidRPr="00A655D4" w:rsidTr="00016358">
        <w:trPr>
          <w:trHeight w:val="288"/>
        </w:trPr>
        <w:tc>
          <w:tcPr>
            <w:tcW w:w="1796" w:type="dxa"/>
            <w:shd w:val="clear" w:color="auto" w:fill="2E74B5" w:themeFill="accent1" w:themeFillShade="BF"/>
            <w:noWrap/>
            <w:vAlign w:val="center"/>
            <w:hideMark/>
          </w:tcPr>
          <w:p w:rsidR="00A655D4" w:rsidRPr="00A655D4" w:rsidRDefault="00FE42E8" w:rsidP="00A655D4">
            <w:pPr>
              <w:tabs>
                <w:tab w:val="clear" w:pos="851"/>
              </w:tabs>
              <w:spacing w:after="0"/>
              <w:ind w:left="0"/>
              <w:jc w:val="left"/>
              <w:rPr>
                <w:rFonts w:cs="Arial"/>
                <w:b/>
                <w:color w:val="FFFFFF"/>
                <w:sz w:val="16"/>
                <w:szCs w:val="16"/>
              </w:rPr>
            </w:pPr>
            <w:r>
              <w:rPr>
                <w:rFonts w:cs="Arial"/>
                <w:b/>
                <w:color w:val="FFFFFF"/>
                <w:sz w:val="16"/>
                <w:szCs w:val="16"/>
              </w:rPr>
              <w:t>Totex</w:t>
            </w:r>
          </w:p>
        </w:tc>
        <w:tc>
          <w:tcPr>
            <w:tcW w:w="439" w:type="dxa"/>
            <w:shd w:val="clear" w:color="auto" w:fill="2E74B5" w:themeFill="accent1" w:themeFillShade="BF"/>
            <w:noWrap/>
            <w:vAlign w:val="center"/>
            <w:hideMark/>
          </w:tcPr>
          <w:p w:rsidR="00A655D4" w:rsidRPr="00A655D4" w:rsidRDefault="00A655D4" w:rsidP="00A655D4">
            <w:pPr>
              <w:tabs>
                <w:tab w:val="clear" w:pos="851"/>
              </w:tabs>
              <w:spacing w:after="0"/>
              <w:ind w:left="0"/>
              <w:jc w:val="left"/>
              <w:rPr>
                <w:rFonts w:cs="Arial"/>
                <w:b/>
                <w:color w:val="FFFFFF"/>
                <w:sz w:val="16"/>
                <w:szCs w:val="16"/>
              </w:rPr>
            </w:pPr>
            <w:r w:rsidRPr="00A655D4">
              <w:rPr>
                <w:rFonts w:cs="Arial"/>
                <w:b/>
                <w:color w:val="FFFFFF"/>
                <w:sz w:val="16"/>
                <w:szCs w:val="16"/>
              </w:rPr>
              <w:t> </w:t>
            </w:r>
          </w:p>
        </w:tc>
        <w:tc>
          <w:tcPr>
            <w:tcW w:w="1156" w:type="dxa"/>
            <w:shd w:val="clear" w:color="auto" w:fill="2E74B5" w:themeFill="accent1" w:themeFillShade="BF"/>
            <w:noWrap/>
            <w:vAlign w:val="center"/>
            <w:hideMark/>
          </w:tcPr>
          <w:p w:rsidR="00A655D4" w:rsidRPr="00A655D4" w:rsidRDefault="00A655D4" w:rsidP="00A655D4">
            <w:pPr>
              <w:tabs>
                <w:tab w:val="clear" w:pos="851"/>
              </w:tabs>
              <w:spacing w:after="0"/>
              <w:ind w:left="0"/>
              <w:jc w:val="left"/>
              <w:rPr>
                <w:rFonts w:cs="Arial"/>
                <w:b/>
                <w:color w:val="FFFFFF"/>
                <w:sz w:val="16"/>
                <w:szCs w:val="16"/>
              </w:rPr>
            </w:pPr>
            <w:r w:rsidRPr="00A655D4">
              <w:rPr>
                <w:rFonts w:cs="Arial"/>
                <w:b/>
                <w:color w:val="FFFFFF"/>
                <w:sz w:val="16"/>
                <w:szCs w:val="16"/>
              </w:rPr>
              <w:t> </w:t>
            </w:r>
          </w:p>
        </w:tc>
        <w:tc>
          <w:tcPr>
            <w:tcW w:w="857" w:type="dxa"/>
            <w:shd w:val="clear" w:color="auto" w:fill="2E74B5" w:themeFill="accent1" w:themeFillShade="BF"/>
            <w:noWrap/>
            <w:vAlign w:val="center"/>
            <w:hideMark/>
          </w:tcPr>
          <w:p w:rsidR="00A655D4" w:rsidRPr="00A655D4" w:rsidRDefault="00A655D4" w:rsidP="00A655D4">
            <w:pPr>
              <w:tabs>
                <w:tab w:val="clear" w:pos="851"/>
              </w:tabs>
              <w:spacing w:after="0"/>
              <w:ind w:left="0"/>
              <w:jc w:val="left"/>
              <w:rPr>
                <w:rFonts w:cs="Arial"/>
                <w:b/>
                <w:color w:val="FFFFFF"/>
                <w:sz w:val="16"/>
                <w:szCs w:val="16"/>
              </w:rPr>
            </w:pPr>
            <w:r w:rsidRPr="00A655D4">
              <w:rPr>
                <w:rFonts w:cs="Arial"/>
                <w:b/>
                <w:color w:val="FFFFFF"/>
                <w:sz w:val="16"/>
                <w:szCs w:val="16"/>
              </w:rPr>
              <w:t>2015/16</w:t>
            </w:r>
          </w:p>
        </w:tc>
        <w:tc>
          <w:tcPr>
            <w:tcW w:w="853" w:type="dxa"/>
            <w:shd w:val="clear" w:color="auto" w:fill="2E74B5" w:themeFill="accent1" w:themeFillShade="BF"/>
            <w:noWrap/>
            <w:vAlign w:val="center"/>
            <w:hideMark/>
          </w:tcPr>
          <w:p w:rsidR="00A655D4" w:rsidRPr="00A655D4" w:rsidRDefault="00A655D4" w:rsidP="00A655D4">
            <w:pPr>
              <w:tabs>
                <w:tab w:val="clear" w:pos="851"/>
              </w:tabs>
              <w:spacing w:after="0"/>
              <w:ind w:left="0"/>
              <w:jc w:val="left"/>
              <w:rPr>
                <w:rFonts w:cs="Arial"/>
                <w:b/>
                <w:color w:val="FFFFFF"/>
                <w:sz w:val="16"/>
                <w:szCs w:val="16"/>
              </w:rPr>
            </w:pPr>
            <w:r w:rsidRPr="00A655D4">
              <w:rPr>
                <w:rFonts w:cs="Arial"/>
                <w:b/>
                <w:color w:val="FFFFFF"/>
                <w:sz w:val="16"/>
                <w:szCs w:val="16"/>
              </w:rPr>
              <w:t>2016/17</w:t>
            </w:r>
          </w:p>
        </w:tc>
        <w:tc>
          <w:tcPr>
            <w:tcW w:w="849" w:type="dxa"/>
            <w:shd w:val="clear" w:color="auto" w:fill="2E74B5" w:themeFill="accent1" w:themeFillShade="BF"/>
            <w:noWrap/>
            <w:vAlign w:val="center"/>
            <w:hideMark/>
          </w:tcPr>
          <w:p w:rsidR="00A655D4" w:rsidRPr="00A655D4" w:rsidRDefault="00A655D4" w:rsidP="00A655D4">
            <w:pPr>
              <w:tabs>
                <w:tab w:val="clear" w:pos="851"/>
              </w:tabs>
              <w:spacing w:after="0"/>
              <w:ind w:left="0"/>
              <w:jc w:val="left"/>
              <w:rPr>
                <w:rFonts w:cs="Arial"/>
                <w:b/>
                <w:color w:val="FFFFFF"/>
                <w:sz w:val="16"/>
                <w:szCs w:val="16"/>
              </w:rPr>
            </w:pPr>
            <w:r w:rsidRPr="00A655D4">
              <w:rPr>
                <w:rFonts w:cs="Arial"/>
                <w:b/>
                <w:color w:val="FFFFFF"/>
                <w:sz w:val="16"/>
                <w:szCs w:val="16"/>
              </w:rPr>
              <w:t>2017/18</w:t>
            </w:r>
          </w:p>
        </w:tc>
        <w:tc>
          <w:tcPr>
            <w:tcW w:w="846" w:type="dxa"/>
            <w:shd w:val="clear" w:color="auto" w:fill="2E74B5" w:themeFill="accent1" w:themeFillShade="BF"/>
            <w:noWrap/>
            <w:vAlign w:val="center"/>
            <w:hideMark/>
          </w:tcPr>
          <w:p w:rsidR="00A655D4" w:rsidRPr="00A655D4" w:rsidRDefault="00A655D4" w:rsidP="00A655D4">
            <w:pPr>
              <w:tabs>
                <w:tab w:val="clear" w:pos="851"/>
              </w:tabs>
              <w:spacing w:after="0"/>
              <w:ind w:left="0"/>
              <w:jc w:val="left"/>
              <w:rPr>
                <w:rFonts w:cs="Arial"/>
                <w:b/>
                <w:color w:val="FFFFFF"/>
                <w:sz w:val="16"/>
                <w:szCs w:val="16"/>
              </w:rPr>
            </w:pPr>
            <w:r w:rsidRPr="00A655D4">
              <w:rPr>
                <w:rFonts w:cs="Arial"/>
                <w:b/>
                <w:color w:val="FFFFFF"/>
                <w:sz w:val="16"/>
                <w:szCs w:val="16"/>
              </w:rPr>
              <w:t>2018/19</w:t>
            </w:r>
          </w:p>
        </w:tc>
        <w:tc>
          <w:tcPr>
            <w:tcW w:w="842" w:type="dxa"/>
            <w:shd w:val="clear" w:color="auto" w:fill="2E74B5" w:themeFill="accent1" w:themeFillShade="BF"/>
            <w:noWrap/>
            <w:vAlign w:val="center"/>
            <w:hideMark/>
          </w:tcPr>
          <w:p w:rsidR="00A655D4" w:rsidRPr="00A655D4" w:rsidRDefault="00A655D4" w:rsidP="00A655D4">
            <w:pPr>
              <w:tabs>
                <w:tab w:val="clear" w:pos="851"/>
              </w:tabs>
              <w:spacing w:after="0"/>
              <w:ind w:left="0"/>
              <w:jc w:val="left"/>
              <w:rPr>
                <w:rFonts w:cs="Arial"/>
                <w:b/>
                <w:color w:val="FFFFFF"/>
                <w:sz w:val="16"/>
                <w:szCs w:val="16"/>
              </w:rPr>
            </w:pPr>
            <w:r w:rsidRPr="00A655D4">
              <w:rPr>
                <w:rFonts w:cs="Arial"/>
                <w:b/>
                <w:color w:val="FFFFFF"/>
                <w:sz w:val="16"/>
                <w:szCs w:val="16"/>
              </w:rPr>
              <w:t>2019/20</w:t>
            </w:r>
          </w:p>
        </w:tc>
        <w:tc>
          <w:tcPr>
            <w:tcW w:w="838" w:type="dxa"/>
            <w:shd w:val="clear" w:color="auto" w:fill="2E74B5" w:themeFill="accent1" w:themeFillShade="BF"/>
            <w:noWrap/>
            <w:vAlign w:val="center"/>
            <w:hideMark/>
          </w:tcPr>
          <w:p w:rsidR="00A655D4" w:rsidRPr="00A655D4" w:rsidRDefault="00A655D4" w:rsidP="00A655D4">
            <w:pPr>
              <w:tabs>
                <w:tab w:val="clear" w:pos="851"/>
              </w:tabs>
              <w:spacing w:after="0"/>
              <w:ind w:left="0"/>
              <w:jc w:val="left"/>
              <w:rPr>
                <w:rFonts w:cs="Arial"/>
                <w:b/>
                <w:color w:val="FFFFFF"/>
                <w:sz w:val="16"/>
                <w:szCs w:val="16"/>
              </w:rPr>
            </w:pPr>
            <w:r w:rsidRPr="00A655D4">
              <w:rPr>
                <w:rFonts w:cs="Arial"/>
                <w:b/>
                <w:color w:val="FFFFFF"/>
                <w:sz w:val="16"/>
                <w:szCs w:val="16"/>
              </w:rPr>
              <w:t>TOTAL</w:t>
            </w:r>
          </w:p>
        </w:tc>
      </w:tr>
      <w:tr w:rsidR="00A655D4" w:rsidRPr="00A655D4" w:rsidTr="00A655D4">
        <w:trPr>
          <w:trHeight w:val="408"/>
        </w:trPr>
        <w:tc>
          <w:tcPr>
            <w:tcW w:w="1796" w:type="dxa"/>
            <w:shd w:val="clear" w:color="000000" w:fill="FFFFFF"/>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 xml:space="preserve">Water: FD allowed </w:t>
            </w:r>
            <w:r w:rsidR="00560B22">
              <w:rPr>
                <w:rFonts w:cs="Arial"/>
                <w:color w:val="000000"/>
                <w:sz w:val="16"/>
                <w:szCs w:val="16"/>
              </w:rPr>
              <w:t>Totex</w:t>
            </w:r>
          </w:p>
        </w:tc>
        <w:tc>
          <w:tcPr>
            <w:tcW w:w="439" w:type="dxa"/>
            <w:shd w:val="clear" w:color="000000" w:fill="FFFFFF"/>
            <w:noWrap/>
            <w:vAlign w:val="center"/>
            <w:hideMark/>
          </w:tcPr>
          <w:p w:rsidR="00A655D4" w:rsidRPr="00A655D4" w:rsidRDefault="00A655D4" w:rsidP="00A655D4">
            <w:pPr>
              <w:tabs>
                <w:tab w:val="clear" w:pos="851"/>
              </w:tabs>
              <w:spacing w:after="0"/>
              <w:ind w:left="0"/>
              <w:jc w:val="center"/>
              <w:rPr>
                <w:rFonts w:cs="Arial"/>
                <w:color w:val="000000"/>
                <w:sz w:val="16"/>
                <w:szCs w:val="16"/>
              </w:rPr>
            </w:pPr>
            <w:r w:rsidRPr="00A655D4">
              <w:rPr>
                <w:rFonts w:cs="Arial"/>
                <w:color w:val="000000"/>
                <w:sz w:val="16"/>
                <w:szCs w:val="16"/>
              </w:rPr>
              <w:t>£m</w:t>
            </w:r>
          </w:p>
        </w:tc>
        <w:tc>
          <w:tcPr>
            <w:tcW w:w="1156" w:type="dxa"/>
            <w:shd w:val="clear" w:color="000000" w:fill="FFFFFF"/>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2012-13 FYA (RPI)</w:t>
            </w:r>
          </w:p>
        </w:tc>
        <w:tc>
          <w:tcPr>
            <w:tcW w:w="857"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26.556</w:t>
            </w:r>
          </w:p>
        </w:tc>
        <w:tc>
          <w:tcPr>
            <w:tcW w:w="853"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28.833</w:t>
            </w:r>
          </w:p>
        </w:tc>
        <w:tc>
          <w:tcPr>
            <w:tcW w:w="849"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28.838</w:t>
            </w:r>
          </w:p>
        </w:tc>
        <w:tc>
          <w:tcPr>
            <w:tcW w:w="846"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27.380</w:t>
            </w:r>
          </w:p>
        </w:tc>
        <w:tc>
          <w:tcPr>
            <w:tcW w:w="842"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26.077</w:t>
            </w:r>
          </w:p>
        </w:tc>
        <w:tc>
          <w:tcPr>
            <w:tcW w:w="838"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137.684</w:t>
            </w:r>
          </w:p>
        </w:tc>
      </w:tr>
      <w:tr w:rsidR="00A655D4" w:rsidRPr="00A655D4" w:rsidTr="00A655D4">
        <w:trPr>
          <w:trHeight w:val="408"/>
        </w:trPr>
        <w:tc>
          <w:tcPr>
            <w:tcW w:w="1796" w:type="dxa"/>
            <w:shd w:val="clear" w:color="000000" w:fill="FFFFFF"/>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 xml:space="preserve">Water: FD allowed </w:t>
            </w:r>
            <w:r w:rsidR="00560B22">
              <w:rPr>
                <w:rFonts w:cs="Arial"/>
                <w:color w:val="000000"/>
                <w:sz w:val="16"/>
                <w:szCs w:val="16"/>
              </w:rPr>
              <w:t>Totex</w:t>
            </w:r>
          </w:p>
        </w:tc>
        <w:tc>
          <w:tcPr>
            <w:tcW w:w="439" w:type="dxa"/>
            <w:shd w:val="clear" w:color="000000" w:fill="FFFFFF"/>
            <w:noWrap/>
            <w:vAlign w:val="center"/>
            <w:hideMark/>
          </w:tcPr>
          <w:p w:rsidR="00A655D4" w:rsidRPr="00A655D4" w:rsidRDefault="00A655D4" w:rsidP="00A655D4">
            <w:pPr>
              <w:tabs>
                <w:tab w:val="clear" w:pos="851"/>
              </w:tabs>
              <w:spacing w:after="0"/>
              <w:ind w:left="0"/>
              <w:jc w:val="center"/>
              <w:rPr>
                <w:rFonts w:cs="Arial"/>
                <w:color w:val="000000"/>
                <w:sz w:val="16"/>
                <w:szCs w:val="16"/>
              </w:rPr>
            </w:pPr>
            <w:r w:rsidRPr="00A655D4">
              <w:rPr>
                <w:rFonts w:cs="Arial"/>
                <w:color w:val="000000"/>
                <w:sz w:val="16"/>
                <w:szCs w:val="16"/>
              </w:rPr>
              <w:t>£m</w:t>
            </w:r>
          </w:p>
        </w:tc>
        <w:tc>
          <w:tcPr>
            <w:tcW w:w="1156" w:type="dxa"/>
            <w:shd w:val="clear" w:color="000000" w:fill="FFFFFF"/>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Outturn (nominal)</w:t>
            </w:r>
          </w:p>
        </w:tc>
        <w:tc>
          <w:tcPr>
            <w:tcW w:w="857"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28.153</w:t>
            </w:r>
          </w:p>
        </w:tc>
        <w:tc>
          <w:tcPr>
            <w:tcW w:w="853"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31.227</w:t>
            </w:r>
          </w:p>
        </w:tc>
        <w:tc>
          <w:tcPr>
            <w:tcW w:w="849"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32.401</w:t>
            </w:r>
          </w:p>
        </w:tc>
        <w:tc>
          <w:tcPr>
            <w:tcW w:w="846"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31.686</w:t>
            </w:r>
          </w:p>
        </w:tc>
        <w:tc>
          <w:tcPr>
            <w:tcW w:w="842"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31.083</w:t>
            </w:r>
          </w:p>
        </w:tc>
        <w:tc>
          <w:tcPr>
            <w:tcW w:w="838"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154.549</w:t>
            </w:r>
          </w:p>
        </w:tc>
      </w:tr>
      <w:tr w:rsidR="00A655D4" w:rsidRPr="00A655D4" w:rsidTr="00A655D4">
        <w:trPr>
          <w:trHeight w:val="408"/>
        </w:trPr>
        <w:tc>
          <w:tcPr>
            <w:tcW w:w="1796" w:type="dxa"/>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 xml:space="preserve">Water: Actual </w:t>
            </w:r>
            <w:r w:rsidR="00560B22">
              <w:rPr>
                <w:rFonts w:cs="Arial"/>
                <w:color w:val="000000"/>
                <w:sz w:val="16"/>
                <w:szCs w:val="16"/>
              </w:rPr>
              <w:t>Totex</w:t>
            </w:r>
          </w:p>
        </w:tc>
        <w:tc>
          <w:tcPr>
            <w:tcW w:w="439" w:type="dxa"/>
            <w:shd w:val="clear" w:color="000000" w:fill="FFFFFF"/>
            <w:noWrap/>
            <w:vAlign w:val="center"/>
            <w:hideMark/>
          </w:tcPr>
          <w:p w:rsidR="00A655D4" w:rsidRPr="00A655D4" w:rsidRDefault="00A655D4" w:rsidP="00A655D4">
            <w:pPr>
              <w:tabs>
                <w:tab w:val="clear" w:pos="851"/>
              </w:tabs>
              <w:spacing w:after="0"/>
              <w:ind w:left="0"/>
              <w:jc w:val="center"/>
              <w:rPr>
                <w:rFonts w:cs="Arial"/>
                <w:color w:val="000000"/>
                <w:sz w:val="16"/>
                <w:szCs w:val="16"/>
              </w:rPr>
            </w:pPr>
            <w:r w:rsidRPr="00A655D4">
              <w:rPr>
                <w:rFonts w:cs="Arial"/>
                <w:color w:val="000000"/>
                <w:sz w:val="16"/>
                <w:szCs w:val="16"/>
              </w:rPr>
              <w:t>£m</w:t>
            </w:r>
          </w:p>
        </w:tc>
        <w:tc>
          <w:tcPr>
            <w:tcW w:w="1156" w:type="dxa"/>
            <w:shd w:val="clear" w:color="000000" w:fill="FFFFFF"/>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Outturn (nominal)</w:t>
            </w:r>
          </w:p>
        </w:tc>
        <w:tc>
          <w:tcPr>
            <w:tcW w:w="857"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26.551</w:t>
            </w:r>
          </w:p>
        </w:tc>
        <w:tc>
          <w:tcPr>
            <w:tcW w:w="853"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30.743</w:t>
            </w:r>
          </w:p>
        </w:tc>
        <w:tc>
          <w:tcPr>
            <w:tcW w:w="849"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25.540</w:t>
            </w:r>
          </w:p>
        </w:tc>
        <w:tc>
          <w:tcPr>
            <w:tcW w:w="846"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35.412</w:t>
            </w:r>
          </w:p>
        </w:tc>
        <w:tc>
          <w:tcPr>
            <w:tcW w:w="842"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36.272</w:t>
            </w:r>
          </w:p>
        </w:tc>
        <w:tc>
          <w:tcPr>
            <w:tcW w:w="838"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154.518</w:t>
            </w:r>
          </w:p>
        </w:tc>
      </w:tr>
      <w:tr w:rsidR="00A655D4" w:rsidRPr="00A655D4" w:rsidTr="00A655D4">
        <w:trPr>
          <w:trHeight w:val="288"/>
        </w:trPr>
        <w:tc>
          <w:tcPr>
            <w:tcW w:w="1796" w:type="dxa"/>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Variance to FD</w:t>
            </w:r>
          </w:p>
        </w:tc>
        <w:tc>
          <w:tcPr>
            <w:tcW w:w="439" w:type="dxa"/>
            <w:shd w:val="clear" w:color="000000" w:fill="FFFFFF"/>
            <w:noWrap/>
            <w:vAlign w:val="center"/>
            <w:hideMark/>
          </w:tcPr>
          <w:p w:rsidR="00A655D4" w:rsidRPr="00A655D4" w:rsidRDefault="00A655D4" w:rsidP="00A655D4">
            <w:pPr>
              <w:tabs>
                <w:tab w:val="clear" w:pos="851"/>
              </w:tabs>
              <w:spacing w:after="0"/>
              <w:ind w:left="0"/>
              <w:jc w:val="center"/>
              <w:rPr>
                <w:rFonts w:cs="Arial"/>
                <w:color w:val="000000"/>
                <w:sz w:val="16"/>
                <w:szCs w:val="16"/>
              </w:rPr>
            </w:pPr>
            <w:r w:rsidRPr="00A655D4">
              <w:rPr>
                <w:rFonts w:cs="Arial"/>
                <w:color w:val="000000"/>
                <w:sz w:val="16"/>
                <w:szCs w:val="16"/>
              </w:rPr>
              <w:t>£m</w:t>
            </w:r>
          </w:p>
        </w:tc>
        <w:tc>
          <w:tcPr>
            <w:tcW w:w="1156" w:type="dxa"/>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 </w:t>
            </w:r>
          </w:p>
        </w:tc>
        <w:tc>
          <w:tcPr>
            <w:tcW w:w="857"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(1.602)</w:t>
            </w:r>
          </w:p>
        </w:tc>
        <w:tc>
          <w:tcPr>
            <w:tcW w:w="853"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(0.484)</w:t>
            </w:r>
          </w:p>
        </w:tc>
        <w:tc>
          <w:tcPr>
            <w:tcW w:w="849"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(6.861)</w:t>
            </w:r>
          </w:p>
        </w:tc>
        <w:tc>
          <w:tcPr>
            <w:tcW w:w="846"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3.726</w:t>
            </w:r>
          </w:p>
        </w:tc>
        <w:tc>
          <w:tcPr>
            <w:tcW w:w="842"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5.189</w:t>
            </w:r>
          </w:p>
        </w:tc>
        <w:tc>
          <w:tcPr>
            <w:tcW w:w="838" w:type="dxa"/>
            <w:shd w:val="clear" w:color="000000" w:fill="FFFFFF"/>
            <w:noWrap/>
            <w:vAlign w:val="center"/>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(0.031)</w:t>
            </w:r>
          </w:p>
        </w:tc>
      </w:tr>
    </w:tbl>
    <w:p w:rsidR="00A655D4" w:rsidRPr="00275593" w:rsidRDefault="00A655D4" w:rsidP="00A655D4">
      <w:r w:rsidRPr="00275593">
        <w:t xml:space="preserve">The Company expects </w:t>
      </w:r>
      <w:r w:rsidR="00560B22">
        <w:t>Totex</w:t>
      </w:r>
      <w:r>
        <w:t xml:space="preserve"> </w:t>
      </w:r>
      <w:r w:rsidRPr="00275593">
        <w:t xml:space="preserve">to </w:t>
      </w:r>
      <w:r>
        <w:t xml:space="preserve">be </w:t>
      </w:r>
      <w:r w:rsidRPr="00275593">
        <w:t xml:space="preserve">almost precisely in line with the FD allowed </w:t>
      </w:r>
      <w:r w:rsidR="00560B22">
        <w:t>Totex</w:t>
      </w:r>
      <w:r w:rsidRPr="00275593">
        <w:t>. See table below.</w:t>
      </w:r>
    </w:p>
    <w:p w:rsidR="00A655D4" w:rsidRPr="00275593" w:rsidRDefault="00A655D4" w:rsidP="00A655D4">
      <w:pPr>
        <w:rPr>
          <w:rFonts w:cs="Arial"/>
          <w:sz w:val="22"/>
          <w:szCs w:val="22"/>
        </w:rPr>
      </w:pPr>
    </w:p>
    <w:p w:rsidR="00A655D4" w:rsidRDefault="00A655D4" w:rsidP="00A655D4">
      <w:pPr>
        <w:rPr>
          <w:rFonts w:cs="Arial"/>
          <w:sz w:val="22"/>
          <w:szCs w:val="22"/>
        </w:rPr>
      </w:pPr>
    </w:p>
    <w:p w:rsidR="00A655D4" w:rsidRDefault="00A655D4" w:rsidP="00A655D4">
      <w:pPr>
        <w:rPr>
          <w:rFonts w:cs="Arial"/>
          <w:sz w:val="22"/>
          <w:szCs w:val="22"/>
        </w:rPr>
      </w:pPr>
    </w:p>
    <w:p w:rsidR="00A655D4" w:rsidRDefault="00A655D4" w:rsidP="00A655D4">
      <w:pPr>
        <w:rPr>
          <w:rFonts w:cs="Arial"/>
          <w:sz w:val="22"/>
          <w:szCs w:val="22"/>
        </w:rPr>
      </w:pPr>
    </w:p>
    <w:p w:rsidR="00A655D4" w:rsidRPr="00275593" w:rsidRDefault="00A655D4" w:rsidP="00A655D4">
      <w:r w:rsidRPr="00275593">
        <w:t xml:space="preserve">Details of our forecast </w:t>
      </w:r>
      <w:r w:rsidR="00560B22">
        <w:t>Totex</w:t>
      </w:r>
      <w:r w:rsidRPr="00275593">
        <w:t xml:space="preserve"> for 2018/19 and 2019/20 is shown below.  A significant new item in this forecast is the preparatory work for the Havant Thicket Winter Storage Reservoir.  </w:t>
      </w:r>
    </w:p>
    <w:p w:rsidR="00A655D4" w:rsidRPr="00275593" w:rsidRDefault="00A655D4" w:rsidP="00A655D4">
      <w:r w:rsidRPr="00275593">
        <w:t xml:space="preserve">We have taken the decision to invest out </w:t>
      </w:r>
      <w:r w:rsidR="00FE42E8">
        <w:t>Totex</w:t>
      </w:r>
      <w:r w:rsidRPr="00275593">
        <w:t xml:space="preserve"> performance in this activity in order to de-risk the ambitious delivery timetable.</w:t>
      </w:r>
    </w:p>
    <w:tbl>
      <w:tblPr>
        <w:tblW w:w="6659" w:type="dxa"/>
        <w:tblInd w:w="1496" w:type="dxa"/>
        <w:tblLook w:val="04A0" w:firstRow="1" w:lastRow="0" w:firstColumn="1" w:lastColumn="0" w:noHBand="0" w:noVBand="1"/>
      </w:tblPr>
      <w:tblGrid>
        <w:gridCol w:w="3119"/>
        <w:gridCol w:w="1180"/>
        <w:gridCol w:w="1180"/>
        <w:gridCol w:w="1180"/>
      </w:tblGrid>
      <w:tr w:rsidR="00A655D4" w:rsidRPr="00A655D4" w:rsidTr="00A655D4">
        <w:trPr>
          <w:trHeight w:val="288"/>
        </w:trPr>
        <w:tc>
          <w:tcPr>
            <w:tcW w:w="3119"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sidRPr="00A655D4">
              <w:rPr>
                <w:rFonts w:cs="Arial"/>
                <w:color w:val="000000"/>
                <w:sz w:val="20"/>
                <w:szCs w:val="20"/>
              </w:rPr>
              <w:t> £m</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bCs/>
                <w:color w:val="000000"/>
                <w:sz w:val="20"/>
                <w:szCs w:val="20"/>
              </w:rPr>
            </w:pPr>
            <w:r w:rsidRPr="00A655D4">
              <w:rPr>
                <w:rFonts w:cs="Arial"/>
                <w:b/>
                <w:bCs/>
                <w:color w:val="000000"/>
                <w:sz w:val="20"/>
                <w:szCs w:val="20"/>
              </w:rPr>
              <w:t>2017/18</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bCs/>
                <w:color w:val="000000"/>
                <w:sz w:val="20"/>
                <w:szCs w:val="20"/>
              </w:rPr>
            </w:pPr>
            <w:r w:rsidRPr="00A655D4">
              <w:rPr>
                <w:rFonts w:cs="Arial"/>
                <w:b/>
                <w:bCs/>
                <w:color w:val="000000"/>
                <w:sz w:val="20"/>
                <w:szCs w:val="20"/>
              </w:rPr>
              <w:t>2018/19</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bCs/>
                <w:color w:val="000000"/>
                <w:sz w:val="20"/>
                <w:szCs w:val="20"/>
              </w:rPr>
            </w:pPr>
            <w:r w:rsidRPr="00A655D4">
              <w:rPr>
                <w:rFonts w:cs="Arial"/>
                <w:b/>
                <w:bCs/>
                <w:color w:val="000000"/>
                <w:sz w:val="20"/>
                <w:szCs w:val="20"/>
              </w:rPr>
              <w:t>2019/20</w:t>
            </w:r>
          </w:p>
        </w:tc>
      </w:tr>
      <w:tr w:rsidR="00A655D4" w:rsidRPr="00A655D4" w:rsidTr="00A655D4">
        <w:trPr>
          <w:trHeight w:val="288"/>
        </w:trPr>
        <w:tc>
          <w:tcPr>
            <w:tcW w:w="3119" w:type="dxa"/>
            <w:shd w:val="clear" w:color="000000" w:fill="FFFFFF"/>
            <w:noWrap/>
            <w:vAlign w:val="bottom"/>
            <w:hideMark/>
          </w:tcPr>
          <w:p w:rsidR="00A655D4" w:rsidRPr="00A655D4" w:rsidRDefault="00964B1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b/>
                <w:color w:val="000000"/>
                <w:sz w:val="20"/>
                <w:szCs w:val="20"/>
              </w:rPr>
            </w:pPr>
            <w:r>
              <w:rPr>
                <w:rFonts w:cs="Arial"/>
                <w:b/>
                <w:color w:val="000000"/>
                <w:sz w:val="20"/>
                <w:szCs w:val="20"/>
              </w:rPr>
              <w:t>Opex</w:t>
            </w:r>
            <w:r w:rsidR="00A655D4" w:rsidRPr="00A655D4">
              <w:rPr>
                <w:rFonts w:cs="Arial"/>
                <w:b/>
                <w:color w:val="000000"/>
                <w:sz w:val="20"/>
                <w:szCs w:val="20"/>
              </w:rPr>
              <w:t xml:space="preserve">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color w:val="000000"/>
                <w:sz w:val="20"/>
                <w:szCs w:val="20"/>
              </w:rPr>
            </w:pPr>
            <w:r w:rsidRPr="00A655D4">
              <w:rPr>
                <w:rFonts w:cs="Arial"/>
                <w:b/>
                <w:color w:val="000000"/>
                <w:sz w:val="20"/>
                <w:szCs w:val="20"/>
              </w:rPr>
              <w:t xml:space="preserve">18.629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color w:val="000000"/>
                <w:sz w:val="20"/>
                <w:szCs w:val="20"/>
              </w:rPr>
            </w:pPr>
            <w:r w:rsidRPr="00A655D4">
              <w:rPr>
                <w:rFonts w:cs="Arial"/>
                <w:b/>
                <w:color w:val="000000"/>
                <w:sz w:val="20"/>
                <w:szCs w:val="20"/>
              </w:rPr>
              <w:t xml:space="preserve">19.840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color w:val="000000"/>
                <w:sz w:val="20"/>
                <w:szCs w:val="20"/>
              </w:rPr>
            </w:pPr>
            <w:r w:rsidRPr="00A655D4">
              <w:rPr>
                <w:rFonts w:cs="Arial"/>
                <w:b/>
                <w:color w:val="000000"/>
                <w:sz w:val="20"/>
                <w:szCs w:val="20"/>
              </w:rPr>
              <w:t xml:space="preserve">19.188 </w:t>
            </w:r>
          </w:p>
        </w:tc>
      </w:tr>
      <w:tr w:rsidR="00A655D4" w:rsidRPr="00A655D4" w:rsidTr="00A655D4">
        <w:trPr>
          <w:trHeight w:val="288"/>
        </w:trPr>
        <w:tc>
          <w:tcPr>
            <w:tcW w:w="3119"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sidRPr="00A655D4">
              <w:rPr>
                <w:rFonts w:cs="Arial"/>
                <w:color w:val="000000"/>
                <w:sz w:val="20"/>
                <w:szCs w:val="20"/>
              </w:rPr>
              <w:t>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w:t>
            </w:r>
          </w:p>
        </w:tc>
      </w:tr>
      <w:tr w:rsidR="00A655D4" w:rsidRPr="00A655D4" w:rsidTr="00A655D4">
        <w:trPr>
          <w:trHeight w:val="288"/>
        </w:trPr>
        <w:tc>
          <w:tcPr>
            <w:tcW w:w="3119"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sidRPr="00A655D4">
              <w:rPr>
                <w:rFonts w:cs="Arial"/>
                <w:color w:val="000000"/>
                <w:sz w:val="20"/>
                <w:szCs w:val="20"/>
              </w:rPr>
              <w:t xml:space="preserve">Renewals in </w:t>
            </w:r>
            <w:r w:rsidR="00964B14">
              <w:rPr>
                <w:rFonts w:cs="Arial"/>
                <w:color w:val="000000"/>
                <w:sz w:val="20"/>
                <w:szCs w:val="20"/>
              </w:rPr>
              <w:t>Opex</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2.851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3.680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3.825 </w:t>
            </w:r>
          </w:p>
        </w:tc>
      </w:tr>
      <w:tr w:rsidR="00A655D4" w:rsidRPr="00A655D4" w:rsidTr="00A655D4">
        <w:trPr>
          <w:trHeight w:val="288"/>
        </w:trPr>
        <w:tc>
          <w:tcPr>
            <w:tcW w:w="3119"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sidRPr="00A655D4">
              <w:rPr>
                <w:rFonts w:cs="Arial"/>
                <w:color w:val="000000"/>
                <w:sz w:val="20"/>
                <w:szCs w:val="20"/>
              </w:rPr>
              <w:t xml:space="preserve">Renewals in </w:t>
            </w:r>
            <w:r w:rsidR="00964B14">
              <w:rPr>
                <w:rFonts w:cs="Arial"/>
                <w:color w:val="000000"/>
                <w:sz w:val="20"/>
                <w:szCs w:val="20"/>
              </w:rPr>
              <w:t>Capex</w:t>
            </w:r>
            <w:r w:rsidRPr="00A655D4">
              <w:rPr>
                <w:rFonts w:cs="Arial"/>
                <w:color w:val="000000"/>
                <w:sz w:val="20"/>
                <w:szCs w:val="20"/>
              </w:rPr>
              <w:t xml:space="preserve">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1.432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920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0.957 </w:t>
            </w:r>
          </w:p>
        </w:tc>
      </w:tr>
      <w:tr w:rsidR="00A655D4" w:rsidRPr="00A655D4" w:rsidTr="00A655D4">
        <w:trPr>
          <w:trHeight w:val="288"/>
        </w:trPr>
        <w:tc>
          <w:tcPr>
            <w:tcW w:w="3119" w:type="dxa"/>
            <w:shd w:val="clear" w:color="000000" w:fill="FFFFFF"/>
            <w:noWrap/>
            <w:vAlign w:val="bottom"/>
            <w:hideMark/>
          </w:tcPr>
          <w:p w:rsidR="00A655D4" w:rsidRPr="00A655D4" w:rsidRDefault="00964B1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Pr>
                <w:rFonts w:cs="Arial"/>
                <w:color w:val="000000"/>
                <w:sz w:val="20"/>
                <w:szCs w:val="20"/>
              </w:rPr>
              <w:t>Capex</w:t>
            </w:r>
            <w:r w:rsidR="00A655D4" w:rsidRPr="00A655D4">
              <w:rPr>
                <w:rFonts w:cs="Arial"/>
                <w:color w:val="000000"/>
                <w:sz w:val="20"/>
                <w:szCs w:val="20"/>
              </w:rPr>
              <w:t xml:space="preserve"> - Maintenance</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1.543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9.652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10.110 </w:t>
            </w:r>
          </w:p>
        </w:tc>
      </w:tr>
      <w:tr w:rsidR="00A655D4" w:rsidRPr="00A655D4" w:rsidTr="00A655D4">
        <w:trPr>
          <w:trHeight w:val="288"/>
        </w:trPr>
        <w:tc>
          <w:tcPr>
            <w:tcW w:w="3119" w:type="dxa"/>
            <w:shd w:val="clear" w:color="000000" w:fill="FFFFFF"/>
            <w:noWrap/>
            <w:vAlign w:val="bottom"/>
            <w:hideMark/>
          </w:tcPr>
          <w:p w:rsidR="00A655D4" w:rsidRPr="00A655D4" w:rsidRDefault="00964B1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Pr>
                <w:rFonts w:cs="Arial"/>
                <w:color w:val="000000"/>
                <w:sz w:val="20"/>
                <w:szCs w:val="20"/>
              </w:rPr>
              <w:t>Capex</w:t>
            </w:r>
            <w:r w:rsidR="00A655D4" w:rsidRPr="00A655D4">
              <w:rPr>
                <w:rFonts w:cs="Arial"/>
                <w:color w:val="000000"/>
                <w:sz w:val="20"/>
                <w:szCs w:val="20"/>
              </w:rPr>
              <w:t xml:space="preserve"> - Enhancement</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3.556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2.269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2.547 </w:t>
            </w:r>
          </w:p>
        </w:tc>
      </w:tr>
      <w:tr w:rsidR="00A655D4" w:rsidRPr="00A655D4" w:rsidTr="00A655D4">
        <w:trPr>
          <w:trHeight w:val="288"/>
        </w:trPr>
        <w:tc>
          <w:tcPr>
            <w:tcW w:w="3119"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sidRPr="00A655D4">
              <w:rPr>
                <w:rFonts w:cs="Arial"/>
                <w:color w:val="000000"/>
                <w:sz w:val="20"/>
                <w:szCs w:val="20"/>
              </w:rPr>
              <w:t xml:space="preserve">Third Party </w:t>
            </w:r>
            <w:r w:rsidR="00964B14">
              <w:rPr>
                <w:rFonts w:cs="Arial"/>
                <w:color w:val="000000"/>
                <w:sz w:val="20"/>
                <w:szCs w:val="20"/>
              </w:rPr>
              <w:t>Capex</w:t>
            </w:r>
            <w:r w:rsidRPr="00A655D4">
              <w:rPr>
                <w:rFonts w:cs="Arial"/>
                <w:color w:val="000000"/>
                <w:sz w:val="20"/>
                <w:szCs w:val="20"/>
              </w:rPr>
              <w:t xml:space="preserve">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sz w:val="20"/>
                <w:szCs w:val="20"/>
              </w:rPr>
            </w:pPr>
            <w:r w:rsidRPr="00A655D4">
              <w:rPr>
                <w:rFonts w:cs="Arial"/>
                <w:sz w:val="20"/>
                <w:szCs w:val="20"/>
              </w:rPr>
              <w:t xml:space="preserve">1.049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w:t>
            </w:r>
          </w:p>
        </w:tc>
      </w:tr>
      <w:tr w:rsidR="00A655D4" w:rsidRPr="00A655D4" w:rsidTr="00A655D4">
        <w:trPr>
          <w:trHeight w:val="288"/>
        </w:trPr>
        <w:tc>
          <w:tcPr>
            <w:tcW w:w="3119"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sidRPr="00A655D4">
              <w:rPr>
                <w:rFonts w:cs="Arial"/>
                <w:color w:val="000000"/>
                <w:sz w:val="20"/>
                <w:szCs w:val="20"/>
              </w:rPr>
              <w:t>Grants and Contributions</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(1.064)</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(1.429)</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(1.447)</w:t>
            </w:r>
          </w:p>
        </w:tc>
      </w:tr>
      <w:tr w:rsidR="00A655D4" w:rsidRPr="00A655D4" w:rsidTr="00A655D4">
        <w:trPr>
          <w:trHeight w:val="288"/>
        </w:trPr>
        <w:tc>
          <w:tcPr>
            <w:tcW w:w="3119"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b/>
                <w:color w:val="000000"/>
                <w:sz w:val="20"/>
                <w:szCs w:val="20"/>
              </w:rPr>
            </w:pPr>
            <w:r w:rsidRPr="00A655D4">
              <w:rPr>
                <w:rFonts w:cs="Arial"/>
                <w:b/>
                <w:color w:val="000000"/>
                <w:sz w:val="20"/>
                <w:szCs w:val="20"/>
              </w:rPr>
              <w:t xml:space="preserve">Capital Programme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color w:val="000000"/>
                <w:sz w:val="20"/>
                <w:szCs w:val="20"/>
              </w:rPr>
            </w:pPr>
            <w:r w:rsidRPr="00A655D4">
              <w:rPr>
                <w:rFonts w:cs="Arial"/>
                <w:b/>
                <w:color w:val="000000"/>
                <w:sz w:val="20"/>
                <w:szCs w:val="20"/>
              </w:rPr>
              <w:t xml:space="preserve">9.367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color w:val="000000"/>
                <w:sz w:val="20"/>
                <w:szCs w:val="20"/>
              </w:rPr>
            </w:pPr>
            <w:r w:rsidRPr="00A655D4">
              <w:rPr>
                <w:rFonts w:cs="Arial"/>
                <w:b/>
                <w:color w:val="000000"/>
                <w:sz w:val="20"/>
                <w:szCs w:val="20"/>
              </w:rPr>
              <w:t xml:space="preserve">15.092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color w:val="000000"/>
                <w:sz w:val="20"/>
                <w:szCs w:val="20"/>
              </w:rPr>
            </w:pPr>
            <w:r w:rsidRPr="00A655D4">
              <w:rPr>
                <w:rFonts w:cs="Arial"/>
                <w:b/>
                <w:color w:val="000000"/>
                <w:sz w:val="20"/>
                <w:szCs w:val="20"/>
              </w:rPr>
              <w:t xml:space="preserve">15.992 </w:t>
            </w:r>
          </w:p>
        </w:tc>
      </w:tr>
      <w:tr w:rsidR="00A655D4" w:rsidRPr="00A655D4" w:rsidTr="00A655D4">
        <w:trPr>
          <w:trHeight w:val="288"/>
        </w:trPr>
        <w:tc>
          <w:tcPr>
            <w:tcW w:w="3119"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sidRPr="00A655D4">
              <w:rPr>
                <w:rFonts w:cs="Arial"/>
                <w:color w:val="000000"/>
                <w:sz w:val="20"/>
                <w:szCs w:val="20"/>
              </w:rPr>
              <w:t>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w:t>
            </w:r>
          </w:p>
        </w:tc>
      </w:tr>
      <w:tr w:rsidR="00A655D4" w:rsidRPr="00A655D4" w:rsidTr="00A655D4">
        <w:trPr>
          <w:trHeight w:val="288"/>
        </w:trPr>
        <w:tc>
          <w:tcPr>
            <w:tcW w:w="3119" w:type="dxa"/>
            <w:shd w:val="clear" w:color="000000" w:fill="FFFFFF"/>
            <w:noWrap/>
            <w:vAlign w:val="center"/>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sidRPr="00A655D4">
              <w:rPr>
                <w:rFonts w:cs="Arial"/>
                <w:color w:val="000000"/>
                <w:sz w:val="20"/>
                <w:szCs w:val="20"/>
              </w:rPr>
              <w:t xml:space="preserve">Havant Thicket </w:t>
            </w:r>
          </w:p>
        </w:tc>
        <w:tc>
          <w:tcPr>
            <w:tcW w:w="1180" w:type="dxa"/>
            <w:shd w:val="clear" w:color="000000" w:fill="FFFFFF"/>
            <w:noWrap/>
            <w:vAlign w:val="center"/>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w:t>
            </w:r>
          </w:p>
        </w:tc>
        <w:tc>
          <w:tcPr>
            <w:tcW w:w="1180" w:type="dxa"/>
            <w:shd w:val="clear" w:color="000000" w:fill="FFFFFF"/>
            <w:noWrap/>
            <w:vAlign w:val="center"/>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1.793 </w:t>
            </w:r>
          </w:p>
        </w:tc>
        <w:tc>
          <w:tcPr>
            <w:tcW w:w="1180" w:type="dxa"/>
            <w:shd w:val="clear" w:color="000000" w:fill="FFFFFF"/>
            <w:noWrap/>
            <w:vAlign w:val="center"/>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xml:space="preserve">2.149 </w:t>
            </w:r>
          </w:p>
        </w:tc>
      </w:tr>
      <w:tr w:rsidR="00A655D4" w:rsidRPr="00A655D4" w:rsidTr="00A655D4">
        <w:trPr>
          <w:trHeight w:val="288"/>
        </w:trPr>
        <w:tc>
          <w:tcPr>
            <w:tcW w:w="3119"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color w:val="000000"/>
                <w:sz w:val="20"/>
                <w:szCs w:val="20"/>
              </w:rPr>
            </w:pPr>
            <w:r w:rsidRPr="00A655D4">
              <w:rPr>
                <w:rFonts w:cs="Arial"/>
                <w:color w:val="000000"/>
                <w:sz w:val="20"/>
                <w:szCs w:val="20"/>
              </w:rPr>
              <w:t> Exclusions</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(2.456)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 (1.313)</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color w:val="000000"/>
                <w:sz w:val="20"/>
                <w:szCs w:val="20"/>
              </w:rPr>
            </w:pPr>
            <w:r w:rsidRPr="00A655D4">
              <w:rPr>
                <w:rFonts w:cs="Arial"/>
                <w:color w:val="000000"/>
                <w:sz w:val="20"/>
                <w:szCs w:val="20"/>
              </w:rPr>
              <w:t>(1.057) </w:t>
            </w:r>
          </w:p>
        </w:tc>
      </w:tr>
      <w:tr w:rsidR="00A655D4" w:rsidRPr="00A655D4" w:rsidTr="00A655D4">
        <w:trPr>
          <w:trHeight w:val="288"/>
        </w:trPr>
        <w:tc>
          <w:tcPr>
            <w:tcW w:w="3119" w:type="dxa"/>
            <w:shd w:val="clear" w:color="000000" w:fill="FFFFFF"/>
            <w:noWrap/>
            <w:vAlign w:val="bottom"/>
            <w:hideMark/>
          </w:tcPr>
          <w:p w:rsidR="00A655D4" w:rsidRPr="00A655D4" w:rsidRDefault="00FE42E8"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left"/>
              <w:rPr>
                <w:rFonts w:cs="Arial"/>
                <w:b/>
                <w:bCs/>
                <w:color w:val="000000"/>
                <w:sz w:val="20"/>
                <w:szCs w:val="20"/>
              </w:rPr>
            </w:pPr>
            <w:r>
              <w:rPr>
                <w:rFonts w:cs="Arial"/>
                <w:b/>
                <w:bCs/>
                <w:color w:val="000000"/>
                <w:sz w:val="20"/>
                <w:szCs w:val="20"/>
              </w:rPr>
              <w:t>Totex</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bCs/>
                <w:color w:val="000000"/>
                <w:sz w:val="20"/>
                <w:szCs w:val="20"/>
              </w:rPr>
            </w:pPr>
            <w:r w:rsidRPr="00A655D4">
              <w:rPr>
                <w:rFonts w:cs="Arial"/>
                <w:b/>
                <w:bCs/>
                <w:color w:val="000000"/>
                <w:sz w:val="20"/>
                <w:szCs w:val="20"/>
              </w:rPr>
              <w:t xml:space="preserve">25.540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bCs/>
                <w:color w:val="000000"/>
                <w:sz w:val="20"/>
                <w:szCs w:val="20"/>
              </w:rPr>
            </w:pPr>
            <w:r w:rsidRPr="00A655D4">
              <w:rPr>
                <w:rFonts w:cs="Arial"/>
                <w:b/>
                <w:bCs/>
                <w:color w:val="000000"/>
                <w:sz w:val="20"/>
                <w:szCs w:val="20"/>
              </w:rPr>
              <w:t xml:space="preserve">35.412 </w:t>
            </w:r>
          </w:p>
        </w:tc>
        <w:tc>
          <w:tcPr>
            <w:tcW w:w="1180" w:type="dxa"/>
            <w:shd w:val="clear" w:color="000000" w:fill="FFFFFF"/>
            <w:noWrap/>
            <w:vAlign w:val="bottom"/>
            <w:hideMark/>
          </w:tcPr>
          <w:p w:rsidR="00A655D4" w:rsidRPr="00A655D4" w:rsidRDefault="00A655D4" w:rsidP="00A655D4">
            <w:pPr>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1"/>
              </w:tabs>
              <w:spacing w:after="0"/>
              <w:ind w:left="0"/>
              <w:jc w:val="center"/>
              <w:rPr>
                <w:rFonts w:cs="Arial"/>
                <w:b/>
                <w:bCs/>
                <w:color w:val="000000"/>
                <w:sz w:val="20"/>
                <w:szCs w:val="20"/>
              </w:rPr>
            </w:pPr>
            <w:r w:rsidRPr="00A655D4">
              <w:rPr>
                <w:rFonts w:cs="Arial"/>
                <w:b/>
                <w:bCs/>
                <w:color w:val="000000"/>
                <w:sz w:val="20"/>
                <w:szCs w:val="20"/>
              </w:rPr>
              <w:t xml:space="preserve">36.272 </w:t>
            </w:r>
          </w:p>
        </w:tc>
      </w:tr>
    </w:tbl>
    <w:p w:rsidR="00A655D4" w:rsidRDefault="00A655D4" w:rsidP="00A655D4">
      <w:pPr>
        <w:rPr>
          <w:rFonts w:cs="Arial"/>
          <w:sz w:val="22"/>
          <w:szCs w:val="22"/>
        </w:rPr>
      </w:pPr>
    </w:p>
    <w:p w:rsidR="00A655D4" w:rsidRPr="00275593" w:rsidRDefault="00A655D4" w:rsidP="00A655D4">
      <w:r w:rsidRPr="00275593">
        <w:t xml:space="preserve">We have entered this data into the Ofwat </w:t>
      </w:r>
      <w:r w:rsidR="00560B22">
        <w:t>Totex</w:t>
      </w:r>
      <w:r w:rsidRPr="00275593">
        <w:t xml:space="preserve"> Menu Feeder model and the output from this is shown on Table WS15, section G.  Lines 24 and 25 are the revenue and RCV adjustments from the </w:t>
      </w:r>
      <w:r w:rsidR="00560B22">
        <w:t>Totex</w:t>
      </w:r>
      <w:r w:rsidRPr="00275593">
        <w:t xml:space="preserve"> Menu Model. They come from the tab ‘</w:t>
      </w:r>
      <w:r w:rsidR="00560B22">
        <w:t>Totex</w:t>
      </w:r>
      <w:r w:rsidRPr="00275593">
        <w:t xml:space="preserve"> menu adjustments’ and are in 2012/13 prices.  Lines 26 and 27 are the corresponding outputs, in 2017/18 prices, from the RCV and Revenue adjustments models, when the numbers from lines 24 and 25 are input to them.</w:t>
      </w:r>
    </w:p>
    <w:p w:rsidR="00A655D4" w:rsidRPr="00312F3F" w:rsidRDefault="00A655D4" w:rsidP="00A655D4">
      <w:pPr>
        <w:pStyle w:val="Heading3"/>
      </w:pPr>
      <w:bookmarkStart w:id="273" w:name="_Toc523651348"/>
      <w:r w:rsidRPr="00DA4AF2">
        <w:t>PR14 Wholesale Revenue Forecast Incentive Mechanism for the water service</w:t>
      </w:r>
      <w:bookmarkEnd w:id="273"/>
      <w:r w:rsidRPr="00DA4AF2">
        <w:t xml:space="preserve"> </w:t>
      </w:r>
    </w:p>
    <w:p w:rsidR="00A655D4" w:rsidRPr="00275593" w:rsidRDefault="00A655D4" w:rsidP="00A655D4">
      <w:r w:rsidRPr="00275593">
        <w:t xml:space="preserve">The Wholesale Revenue Forecast Incentive Mechanism (WRFIM) was introduced at PR14 to incentivise companies to make accurate forecasts for wholesale revenue when setting its tariffs.  Companies are required to ensure any under </w:t>
      </w:r>
      <w:r>
        <w:t xml:space="preserve">or </w:t>
      </w:r>
      <w:r w:rsidRPr="00275593">
        <w:t xml:space="preserve">over recovery of allowed revenue adjusts the allowed revenue 2 years subsequent to this.  </w:t>
      </w:r>
    </w:p>
    <w:p w:rsidR="00A655D4" w:rsidRDefault="00A655D4" w:rsidP="00A655D4">
      <w:r w:rsidRPr="00275593">
        <w:t xml:space="preserve">Specifically, the Company has over-recovered in each of the first three years, as shown in the table below.  </w:t>
      </w:r>
      <w:r>
        <w:t xml:space="preserve">This is the result of higher than anticipated average household measured consumption and greater recovery from </w:t>
      </w:r>
      <w:r w:rsidR="00545AE9">
        <w:t>D</w:t>
      </w:r>
      <w:r>
        <w:t>evelopers than we assumed when we set the tariffs for any year.</w:t>
      </w:r>
    </w:p>
    <w:tbl>
      <w:tblPr>
        <w:tblW w:w="9029" w:type="dxa"/>
        <w:tblInd w:w="637" w:type="dxa"/>
        <w:tblLook w:val="04A0" w:firstRow="1" w:lastRow="0" w:firstColumn="1" w:lastColumn="0" w:noHBand="0" w:noVBand="1"/>
      </w:tblPr>
      <w:tblGrid>
        <w:gridCol w:w="3969"/>
        <w:gridCol w:w="1012"/>
        <w:gridCol w:w="1012"/>
        <w:gridCol w:w="1012"/>
        <w:gridCol w:w="1012"/>
        <w:gridCol w:w="1012"/>
      </w:tblGrid>
      <w:tr w:rsidR="00016358" w:rsidRPr="00A655D4" w:rsidTr="00016358">
        <w:trPr>
          <w:trHeight w:val="288"/>
        </w:trPr>
        <w:tc>
          <w:tcPr>
            <w:tcW w:w="9029" w:type="dxa"/>
            <w:gridSpan w:val="6"/>
            <w:tcBorders>
              <w:top w:val="nil"/>
              <w:left w:val="nil"/>
              <w:bottom w:val="single" w:sz="4" w:space="0" w:color="auto"/>
              <w:right w:val="nil"/>
            </w:tcBorders>
            <w:shd w:val="clear" w:color="auto" w:fill="2E74B5" w:themeFill="accent1" w:themeFillShade="BF"/>
            <w:noWrap/>
            <w:vAlign w:val="bottom"/>
            <w:hideMark/>
          </w:tcPr>
          <w:p w:rsidR="00A655D4" w:rsidRPr="00A655D4" w:rsidRDefault="00A655D4" w:rsidP="00A655D4">
            <w:pPr>
              <w:tabs>
                <w:tab w:val="clear" w:pos="851"/>
              </w:tabs>
              <w:spacing w:after="0"/>
              <w:ind w:left="0"/>
              <w:jc w:val="left"/>
              <w:rPr>
                <w:rFonts w:cs="Arial"/>
                <w:color w:val="FFFFFF" w:themeColor="background1"/>
                <w:sz w:val="22"/>
                <w:szCs w:val="22"/>
              </w:rPr>
            </w:pPr>
            <w:r w:rsidRPr="00A655D4">
              <w:rPr>
                <w:rFonts w:cs="Arial"/>
                <w:b/>
                <w:bCs/>
                <w:color w:val="FFFFFF" w:themeColor="background1"/>
                <w:sz w:val="22"/>
                <w:szCs w:val="22"/>
              </w:rPr>
              <w:t>Wholesale Revenue Forecasting Incentive Mechanism</w:t>
            </w:r>
            <w:r w:rsidRPr="00A655D4">
              <w:rPr>
                <w:rFonts w:cs="Arial"/>
                <w:color w:val="FFFFFF" w:themeColor="background1"/>
                <w:sz w:val="22"/>
                <w:szCs w:val="22"/>
              </w:rPr>
              <w:t> </w:t>
            </w:r>
          </w:p>
        </w:tc>
      </w:tr>
      <w:tr w:rsidR="00A655D4" w:rsidRPr="00A655D4" w:rsidTr="00A655D4">
        <w:trPr>
          <w:trHeight w:val="288"/>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0"/>
                <w:szCs w:val="20"/>
              </w:rPr>
            </w:pPr>
            <w:r w:rsidRPr="00A655D4">
              <w:rPr>
                <w:rFonts w:cs="Arial"/>
                <w:color w:val="000000"/>
                <w:sz w:val="20"/>
                <w:szCs w:val="20"/>
              </w:rPr>
              <w:t>Outturn prices £m</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20"/>
                <w:szCs w:val="20"/>
              </w:rPr>
            </w:pPr>
            <w:r w:rsidRPr="00A655D4">
              <w:rPr>
                <w:rFonts w:cs="Arial"/>
                <w:color w:val="000000"/>
                <w:sz w:val="20"/>
                <w:szCs w:val="20"/>
              </w:rPr>
              <w:t>2015/16</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20"/>
                <w:szCs w:val="20"/>
              </w:rPr>
            </w:pPr>
            <w:r w:rsidRPr="00A655D4">
              <w:rPr>
                <w:rFonts w:cs="Arial"/>
                <w:color w:val="000000"/>
                <w:sz w:val="20"/>
                <w:szCs w:val="20"/>
              </w:rPr>
              <w:t>2016/17</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20"/>
                <w:szCs w:val="20"/>
              </w:rPr>
            </w:pPr>
            <w:r w:rsidRPr="00A655D4">
              <w:rPr>
                <w:rFonts w:cs="Arial"/>
                <w:color w:val="000000"/>
                <w:sz w:val="20"/>
                <w:szCs w:val="20"/>
              </w:rPr>
              <w:t>2017/18</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20"/>
                <w:szCs w:val="20"/>
              </w:rPr>
            </w:pPr>
            <w:r w:rsidRPr="00A655D4">
              <w:rPr>
                <w:rFonts w:cs="Arial"/>
                <w:color w:val="000000"/>
                <w:sz w:val="20"/>
                <w:szCs w:val="20"/>
              </w:rPr>
              <w:t>2018/19</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20"/>
                <w:szCs w:val="20"/>
              </w:rPr>
            </w:pPr>
            <w:r w:rsidRPr="00A655D4">
              <w:rPr>
                <w:rFonts w:cs="Arial"/>
                <w:color w:val="000000"/>
                <w:sz w:val="20"/>
                <w:szCs w:val="20"/>
              </w:rPr>
              <w:t>2019/20</w:t>
            </w:r>
          </w:p>
        </w:tc>
      </w:tr>
      <w:tr w:rsidR="00A655D4" w:rsidRPr="00A655D4" w:rsidTr="00A655D4">
        <w:trPr>
          <w:trHeight w:val="288"/>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0"/>
                <w:szCs w:val="20"/>
              </w:rPr>
            </w:pPr>
            <w:r w:rsidRPr="00A655D4">
              <w:rPr>
                <w:rFonts w:cs="Arial"/>
                <w:color w:val="000000"/>
                <w:sz w:val="20"/>
                <w:szCs w:val="20"/>
              </w:rPr>
              <w:t>Allowed revenue from FD</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20"/>
                <w:szCs w:val="20"/>
              </w:rPr>
            </w:pPr>
            <w:r w:rsidRPr="00A655D4">
              <w:rPr>
                <w:rFonts w:cs="Arial"/>
                <w:color w:val="000000"/>
                <w:sz w:val="20"/>
                <w:szCs w:val="20"/>
              </w:rPr>
              <w:t>33.256</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20"/>
                <w:szCs w:val="20"/>
              </w:rPr>
            </w:pPr>
            <w:r w:rsidRPr="00A655D4">
              <w:rPr>
                <w:rFonts w:cs="Arial"/>
                <w:color w:val="000000"/>
                <w:sz w:val="20"/>
                <w:szCs w:val="20"/>
              </w:rPr>
              <w:t>33.918</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20"/>
                <w:szCs w:val="20"/>
              </w:rPr>
            </w:pPr>
            <w:r w:rsidRPr="00A655D4">
              <w:rPr>
                <w:rFonts w:cs="Arial"/>
                <w:color w:val="000000"/>
                <w:sz w:val="20"/>
                <w:szCs w:val="20"/>
              </w:rPr>
              <w:t>34.987</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20"/>
                <w:szCs w:val="20"/>
              </w:rPr>
            </w:pPr>
            <w:r w:rsidRPr="00A655D4">
              <w:rPr>
                <w:rFonts w:cs="Arial"/>
                <w:color w:val="000000"/>
                <w:sz w:val="20"/>
                <w:szCs w:val="20"/>
              </w:rPr>
              <w:t>36.625</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20"/>
                <w:szCs w:val="20"/>
              </w:rPr>
            </w:pPr>
            <w:r w:rsidRPr="00A655D4">
              <w:rPr>
                <w:rFonts w:cs="Arial"/>
                <w:color w:val="000000"/>
                <w:sz w:val="20"/>
                <w:szCs w:val="20"/>
              </w:rPr>
              <w:t>37.764</w:t>
            </w:r>
          </w:p>
        </w:tc>
      </w:tr>
      <w:tr w:rsidR="00A655D4" w:rsidRPr="00A655D4" w:rsidTr="00A655D4">
        <w:trPr>
          <w:trHeight w:val="288"/>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0"/>
                <w:szCs w:val="20"/>
              </w:rPr>
            </w:pPr>
            <w:r w:rsidRPr="00A655D4">
              <w:rPr>
                <w:rFonts w:cs="Arial"/>
                <w:color w:val="000000"/>
                <w:sz w:val="20"/>
                <w:szCs w:val="20"/>
              </w:rPr>
              <w:t>Over recovery</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(0.499)</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(0.880)</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(0.488)</w:t>
            </w:r>
          </w:p>
        </w:tc>
      </w:tr>
      <w:tr w:rsidR="00A655D4" w:rsidRPr="00A655D4" w:rsidTr="00A655D4">
        <w:trPr>
          <w:trHeight w:val="288"/>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0"/>
                <w:szCs w:val="20"/>
              </w:rPr>
            </w:pPr>
            <w:r w:rsidRPr="00A655D4">
              <w:rPr>
                <w:rFonts w:cs="Arial"/>
                <w:color w:val="000000"/>
                <w:sz w:val="20"/>
                <w:szCs w:val="20"/>
              </w:rPr>
              <w:t>Adjusted allowed revenue from FD</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33.256</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33.918</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34.488</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35.745</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37.276</w:t>
            </w:r>
          </w:p>
        </w:tc>
      </w:tr>
      <w:tr w:rsidR="00A655D4" w:rsidRPr="00A655D4" w:rsidTr="00A655D4">
        <w:trPr>
          <w:trHeight w:val="288"/>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0"/>
                <w:szCs w:val="20"/>
              </w:rPr>
            </w:pPr>
            <w:r w:rsidRPr="00A655D4">
              <w:rPr>
                <w:rFonts w:cs="Arial"/>
                <w:color w:val="000000"/>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r>
      <w:tr w:rsidR="00A655D4" w:rsidRPr="00A655D4" w:rsidTr="00A655D4">
        <w:trPr>
          <w:trHeight w:val="288"/>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0"/>
                <w:szCs w:val="20"/>
              </w:rPr>
            </w:pPr>
            <w:r w:rsidRPr="00A655D4">
              <w:rPr>
                <w:rFonts w:cs="Arial"/>
                <w:color w:val="000000"/>
                <w:sz w:val="20"/>
                <w:szCs w:val="20"/>
              </w:rPr>
              <w:t>Actual revenue recovered</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33.705</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34.682</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34.911</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35.745</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37.276</w:t>
            </w:r>
          </w:p>
        </w:tc>
      </w:tr>
      <w:tr w:rsidR="00A655D4" w:rsidRPr="00A655D4" w:rsidTr="00A655D4">
        <w:trPr>
          <w:trHeight w:val="288"/>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0"/>
                <w:szCs w:val="20"/>
              </w:rPr>
            </w:pPr>
            <w:r w:rsidRPr="00A655D4">
              <w:rPr>
                <w:rFonts w:cs="Arial"/>
                <w:color w:val="000000"/>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w:t>
            </w:r>
          </w:p>
        </w:tc>
      </w:tr>
      <w:tr w:rsidR="00A655D4" w:rsidRPr="00A655D4" w:rsidTr="00A655D4">
        <w:trPr>
          <w:trHeight w:val="288"/>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0"/>
                <w:szCs w:val="20"/>
              </w:rPr>
            </w:pPr>
            <w:r w:rsidRPr="00A655D4">
              <w:rPr>
                <w:rFonts w:cs="Arial"/>
                <w:color w:val="000000"/>
                <w:sz w:val="20"/>
                <w:szCs w:val="20"/>
              </w:rPr>
              <w:t>(Over)/under recovery</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(0.449)</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(0.764)</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(0.423)</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xml:space="preserve">-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 xml:space="preserve">- </w:t>
            </w:r>
          </w:p>
        </w:tc>
      </w:tr>
      <w:tr w:rsidR="00A655D4" w:rsidRPr="00A655D4" w:rsidTr="00A655D4">
        <w:trPr>
          <w:trHeight w:val="288"/>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0"/>
                <w:szCs w:val="20"/>
              </w:rPr>
            </w:pPr>
            <w:r w:rsidRPr="00A655D4">
              <w:rPr>
                <w:rFonts w:cs="Arial"/>
                <w:color w:val="000000"/>
                <w:sz w:val="20"/>
                <w:szCs w:val="20"/>
              </w:rPr>
              <w:t>*(Over)/under +financing adj + penalty</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(0.499)</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(0.880)</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right"/>
              <w:rPr>
                <w:rFonts w:cs="Arial"/>
                <w:sz w:val="20"/>
                <w:szCs w:val="20"/>
              </w:rPr>
            </w:pPr>
            <w:r w:rsidRPr="00A655D4">
              <w:rPr>
                <w:rFonts w:cs="Arial"/>
                <w:sz w:val="20"/>
                <w:szCs w:val="20"/>
              </w:rPr>
              <w:t>(0.488)</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sz w:val="20"/>
                <w:szCs w:val="20"/>
              </w:rPr>
            </w:pPr>
            <w:r w:rsidRPr="00A655D4">
              <w:rPr>
                <w:rFonts w:cs="Arial"/>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sz w:val="20"/>
                <w:szCs w:val="20"/>
              </w:rPr>
            </w:pPr>
            <w:r w:rsidRPr="00A655D4">
              <w:rPr>
                <w:rFonts w:cs="Arial"/>
                <w:sz w:val="20"/>
                <w:szCs w:val="20"/>
              </w:rPr>
              <w:t> </w:t>
            </w:r>
          </w:p>
        </w:tc>
      </w:tr>
      <w:tr w:rsidR="00A655D4" w:rsidRPr="00A655D4" w:rsidTr="00A655D4">
        <w:trPr>
          <w:trHeight w:val="288"/>
        </w:trPr>
        <w:tc>
          <w:tcPr>
            <w:tcW w:w="3969" w:type="dxa"/>
            <w:tcBorders>
              <w:top w:val="single" w:sz="4" w:space="0" w:color="auto"/>
              <w:left w:val="nil"/>
              <w:bottom w:val="nil"/>
              <w:right w:val="nil"/>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2"/>
                <w:szCs w:val="22"/>
              </w:rPr>
            </w:pPr>
          </w:p>
        </w:tc>
        <w:tc>
          <w:tcPr>
            <w:tcW w:w="1012" w:type="dxa"/>
            <w:tcBorders>
              <w:top w:val="single" w:sz="4" w:space="0" w:color="auto"/>
              <w:left w:val="nil"/>
              <w:bottom w:val="nil"/>
              <w:right w:val="nil"/>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2"/>
                <w:szCs w:val="22"/>
              </w:rPr>
            </w:pPr>
            <w:r w:rsidRPr="00A655D4">
              <w:rPr>
                <w:rFonts w:cs="Arial"/>
                <w:color w:val="000000"/>
                <w:sz w:val="22"/>
                <w:szCs w:val="22"/>
              </w:rPr>
              <w:t> </w:t>
            </w:r>
          </w:p>
        </w:tc>
        <w:tc>
          <w:tcPr>
            <w:tcW w:w="1012" w:type="dxa"/>
            <w:tcBorders>
              <w:top w:val="single" w:sz="4" w:space="0" w:color="auto"/>
              <w:left w:val="nil"/>
              <w:bottom w:val="nil"/>
              <w:right w:val="nil"/>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2"/>
                <w:szCs w:val="22"/>
              </w:rPr>
            </w:pPr>
            <w:r w:rsidRPr="00A655D4">
              <w:rPr>
                <w:rFonts w:cs="Arial"/>
                <w:color w:val="000000"/>
                <w:sz w:val="22"/>
                <w:szCs w:val="22"/>
              </w:rPr>
              <w:t> </w:t>
            </w:r>
          </w:p>
        </w:tc>
        <w:tc>
          <w:tcPr>
            <w:tcW w:w="1012" w:type="dxa"/>
            <w:tcBorders>
              <w:top w:val="single" w:sz="4" w:space="0" w:color="auto"/>
              <w:left w:val="nil"/>
              <w:bottom w:val="nil"/>
              <w:right w:val="nil"/>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2"/>
                <w:szCs w:val="22"/>
              </w:rPr>
            </w:pPr>
            <w:r w:rsidRPr="00A655D4">
              <w:rPr>
                <w:rFonts w:cs="Arial"/>
                <w:color w:val="000000"/>
                <w:sz w:val="22"/>
                <w:szCs w:val="22"/>
              </w:rPr>
              <w:t> </w:t>
            </w:r>
          </w:p>
        </w:tc>
        <w:tc>
          <w:tcPr>
            <w:tcW w:w="1012" w:type="dxa"/>
            <w:tcBorders>
              <w:top w:val="single" w:sz="4" w:space="0" w:color="auto"/>
              <w:left w:val="nil"/>
              <w:bottom w:val="nil"/>
              <w:right w:val="nil"/>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2"/>
                <w:szCs w:val="22"/>
              </w:rPr>
            </w:pPr>
            <w:r w:rsidRPr="00A655D4">
              <w:rPr>
                <w:rFonts w:cs="Arial"/>
                <w:color w:val="000000"/>
                <w:sz w:val="22"/>
                <w:szCs w:val="22"/>
              </w:rPr>
              <w:t> </w:t>
            </w:r>
          </w:p>
        </w:tc>
        <w:tc>
          <w:tcPr>
            <w:tcW w:w="1012" w:type="dxa"/>
            <w:tcBorders>
              <w:top w:val="single" w:sz="4" w:space="0" w:color="auto"/>
              <w:left w:val="nil"/>
              <w:bottom w:val="nil"/>
              <w:right w:val="nil"/>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22"/>
                <w:szCs w:val="22"/>
              </w:rPr>
            </w:pPr>
            <w:r w:rsidRPr="00A655D4">
              <w:rPr>
                <w:rFonts w:cs="Arial"/>
                <w:color w:val="000000"/>
                <w:sz w:val="22"/>
                <w:szCs w:val="22"/>
              </w:rPr>
              <w:t> </w:t>
            </w:r>
          </w:p>
        </w:tc>
      </w:tr>
      <w:tr w:rsidR="00A655D4" w:rsidRPr="00A655D4" w:rsidTr="00A655D4">
        <w:trPr>
          <w:trHeight w:val="288"/>
        </w:trPr>
        <w:tc>
          <w:tcPr>
            <w:tcW w:w="9029" w:type="dxa"/>
            <w:gridSpan w:val="6"/>
            <w:tcBorders>
              <w:top w:val="nil"/>
              <w:left w:val="nil"/>
              <w:bottom w:val="nil"/>
              <w:right w:val="nil"/>
            </w:tcBorders>
            <w:shd w:val="clear" w:color="000000" w:fill="FFFFFF"/>
            <w:noWrap/>
            <w:vAlign w:val="bottom"/>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 A penalty of £0.006m is incurred in 2016/17, as the over recovery is over the minimum threshold of 2%.</w:t>
            </w:r>
          </w:p>
        </w:tc>
      </w:tr>
    </w:tbl>
    <w:p w:rsidR="00A655D4" w:rsidRPr="00275593" w:rsidRDefault="00A655D4" w:rsidP="00A655D4">
      <w:pPr>
        <w:rPr>
          <w:rFonts w:cs="Arial"/>
          <w:sz w:val="22"/>
          <w:szCs w:val="22"/>
        </w:rPr>
      </w:pPr>
    </w:p>
    <w:p w:rsidR="00A655D4" w:rsidRPr="00275593" w:rsidRDefault="00A655D4" w:rsidP="00A655D4">
      <w:r w:rsidRPr="00275593">
        <w:t>Our revenue projections for 2018/19 and 2019/20 take account of the required WRFIM adjustments from 2016/17 and 2017/18 respectively.</w:t>
      </w:r>
      <w:r>
        <w:t xml:space="preserve">  </w:t>
      </w:r>
      <w:r w:rsidRPr="00275593">
        <w:t>We have assumed that the revenue we recover in 2018/19 and 2019/20 is in line with that recognised by Ofwat at PR14.  If there are variations to this expectation, the WRFIM mechanism will apply in 2020/21 and 2021/22.</w:t>
      </w:r>
      <w:r>
        <w:t xml:space="preserve">  </w:t>
      </w:r>
      <w:r w:rsidRPr="00275593">
        <w:t>This is shown in Table WS13.</w:t>
      </w:r>
    </w:p>
    <w:p w:rsidR="00A655D4" w:rsidRPr="00585FB3" w:rsidRDefault="00A655D4" w:rsidP="00A655D4">
      <w:pPr>
        <w:pStyle w:val="Heading3"/>
      </w:pPr>
      <w:bookmarkStart w:id="274" w:name="_Toc523651349"/>
      <w:r w:rsidRPr="00585FB3">
        <w:t>Water trading incentive reconciliation</w:t>
      </w:r>
      <w:bookmarkEnd w:id="274"/>
      <w:r w:rsidRPr="00585FB3">
        <w:t xml:space="preserve"> </w:t>
      </w:r>
    </w:p>
    <w:p w:rsidR="00A655D4" w:rsidRPr="00275593" w:rsidRDefault="00A655D4" w:rsidP="00A655D4">
      <w:r w:rsidRPr="00275593">
        <w:t xml:space="preserve">The Company has two water exports to Southern Water in AMP6 </w:t>
      </w:r>
      <w:r>
        <w:t xml:space="preserve">for </w:t>
      </w:r>
      <w:r w:rsidRPr="00275593">
        <w:t>which a Water Trading Incentive should be recognised at PR19.  We have agreed this data with Southern Water.</w:t>
      </w:r>
      <w:r>
        <w:t xml:space="preserve"> The data is reported in WS17.</w:t>
      </w:r>
    </w:p>
    <w:p w:rsidR="00A655D4" w:rsidRPr="00275593" w:rsidRDefault="00A655D4" w:rsidP="00A655D4">
      <w:r w:rsidRPr="00275593">
        <w:t>The Company have an approved Trading &amp; Procurement Code.  This was approved by Ofwat on 26 July 2018.</w:t>
      </w:r>
    </w:p>
    <w:p w:rsidR="00A655D4" w:rsidRPr="00275593" w:rsidRDefault="00A655D4" w:rsidP="00A655D4">
      <w:r>
        <w:t xml:space="preserve">Our </w:t>
      </w:r>
      <w:r w:rsidRPr="00275593">
        <w:t>report</w:t>
      </w:r>
      <w:r>
        <w:t>ed export</w:t>
      </w:r>
      <w:r w:rsidRPr="00275593">
        <w:t xml:space="preserve"> </w:t>
      </w:r>
      <w:r>
        <w:t xml:space="preserve">is to </w:t>
      </w:r>
      <w:r w:rsidRPr="00275593">
        <w:t>S</w:t>
      </w:r>
      <w:r>
        <w:t xml:space="preserve">outhern Water </w:t>
      </w:r>
      <w:r w:rsidRPr="00275593">
        <w:t xml:space="preserve">(into their Sussex North area, at Hardham).  Revenue is </w:t>
      </w:r>
      <w:r>
        <w:t xml:space="preserve">the </w:t>
      </w:r>
      <w:r w:rsidRPr="00275593">
        <w:t xml:space="preserve">actual </w:t>
      </w:r>
      <w:r>
        <w:t xml:space="preserve">volumes and values </w:t>
      </w:r>
      <w:r w:rsidRPr="00275593">
        <w:t>up to and including 2017/18 with an assumed flow of 1Ml/d at the agreed tariff of 13.1 pence per cubic meter (2012/13 prices) for the reminder of the AMP6 period.</w:t>
      </w:r>
    </w:p>
    <w:p w:rsidR="00A655D4" w:rsidRPr="00275593" w:rsidRDefault="00A655D4" w:rsidP="00A655D4">
      <w:r w:rsidRPr="00275593">
        <w:t>We also quantify the expected income the export to S</w:t>
      </w:r>
      <w:r>
        <w:t>outhern</w:t>
      </w:r>
      <w:r w:rsidR="00545AE9">
        <w:t xml:space="preserve"> Water</w:t>
      </w:r>
      <w:r>
        <w:t xml:space="preserve"> </w:t>
      </w:r>
      <w:r w:rsidRPr="00275593">
        <w:t xml:space="preserve">(into their Hampshire South area, from our River Itchen site), which </w:t>
      </w:r>
      <w:r w:rsidR="007D6CA6">
        <w:t xml:space="preserve">will become operational in </w:t>
      </w:r>
      <w:r w:rsidRPr="00275593">
        <w:t>2018.  Revenue is based on the proposed tariffs, which include a reservation charge and a usage charge.  An assumed flow of 10Ml/d in September one year in two is assumed.  However</w:t>
      </w:r>
      <w:r>
        <w:t>,</w:t>
      </w:r>
      <w:r w:rsidRPr="00275593">
        <w:t xml:space="preserve"> in formulating this charge, </w:t>
      </w:r>
      <w:r>
        <w:t xml:space="preserve">we </w:t>
      </w:r>
      <w:r w:rsidRPr="00275593">
        <w:t>did not charge any economic</w:t>
      </w:r>
      <w:r>
        <w:t xml:space="preserve"> profit</w:t>
      </w:r>
      <w:r w:rsidRPr="00275593">
        <w:t>, hence costs are equal to revenue.</w:t>
      </w:r>
    </w:p>
    <w:p w:rsidR="00A655D4" w:rsidRPr="00275593" w:rsidRDefault="00A655D4" w:rsidP="00A655D4">
      <w:r w:rsidRPr="00275593">
        <w:t>The total value of the export incentive is established by running the Ofwat feeder model.  It is split equally between water resources and network plus reflecting the fact that the supply to Sussex utilises our distribution network as well as our water resource.</w:t>
      </w:r>
      <w:r>
        <w:t xml:space="preserve">  The </w:t>
      </w:r>
      <w:r w:rsidRPr="00275593">
        <w:t xml:space="preserve">Water Trading Incentive Model, </w:t>
      </w:r>
      <w:r>
        <w:t xml:space="preserve">indicates </w:t>
      </w:r>
      <w:r w:rsidRPr="00275593">
        <w:t xml:space="preserve">a positive export incentive of £0.288m in this AMP period, split evenly between water resource and network plus and a further £0.072k in AMP7.  </w:t>
      </w:r>
    </w:p>
    <w:p w:rsidR="00A655D4" w:rsidRPr="00275593" w:rsidRDefault="00A655D4" w:rsidP="00A655D4">
      <w:pPr>
        <w:pStyle w:val="Heading3"/>
      </w:pPr>
      <w:bookmarkStart w:id="275" w:name="_Toc523651350"/>
      <w:r w:rsidRPr="00275593">
        <w:t>Reconciliation of household retail revenue</w:t>
      </w:r>
      <w:bookmarkEnd w:id="275"/>
      <w:r w:rsidRPr="00275593">
        <w:t xml:space="preserve"> </w:t>
      </w:r>
    </w:p>
    <w:p w:rsidR="00A655D4" w:rsidRPr="00275593" w:rsidRDefault="00A655D4" w:rsidP="00A655D4">
      <w:r w:rsidRPr="00275593">
        <w:t>The Rule Book states that the total revenue allowance for household retail revenue is adjusted for actual customer numbers when tariffs are set each year.</w:t>
      </w:r>
    </w:p>
    <w:p w:rsidR="00A655D4" w:rsidRPr="00275593" w:rsidRDefault="00A655D4" w:rsidP="00A655D4">
      <w:r w:rsidRPr="00275593">
        <w:t xml:space="preserve">The total number of properties served is very similar to those assumed at PR14.  However, the relative share of unmeasured and measured is different, because we have had a lower meter optant take up than anticipated.  This results in </w:t>
      </w:r>
      <w:r>
        <w:t xml:space="preserve">fewer </w:t>
      </w:r>
      <w:r w:rsidRPr="00275593">
        <w:t>customers switching to the measured charge bas</w:t>
      </w:r>
      <w:r>
        <w:t xml:space="preserve">e, therefore fewer </w:t>
      </w:r>
      <w:r w:rsidRPr="00275593">
        <w:t>measured as a result.</w:t>
      </w:r>
    </w:p>
    <w:p w:rsidR="00A655D4" w:rsidRDefault="00A655D4" w:rsidP="00A655D4">
      <w:r w:rsidRPr="00275593">
        <w:t xml:space="preserve">The table shows the property counts assumed in the Final Determination.  It also shows the </w:t>
      </w:r>
      <w:r>
        <w:t>r</w:t>
      </w:r>
      <w:r w:rsidRPr="00275593">
        <w:t xml:space="preserve">eforecast customer numbers, which were those we assumed </w:t>
      </w:r>
      <w:r>
        <w:t xml:space="preserve">in </w:t>
      </w:r>
      <w:r w:rsidRPr="00275593">
        <w:t xml:space="preserve">setting the tariffs for any year (i.e. </w:t>
      </w:r>
      <w:r>
        <w:t xml:space="preserve">an </w:t>
      </w:r>
      <w:r w:rsidRPr="00275593">
        <w:t>ex-ante assumption) and the ex post actual property counts.</w:t>
      </w:r>
    </w:p>
    <w:p w:rsidR="00A655D4" w:rsidRPr="00275593" w:rsidRDefault="00A655D4" w:rsidP="00A655D4"/>
    <w:tbl>
      <w:tblPr>
        <w:tblW w:w="8883" w:type="dxa"/>
        <w:tblInd w:w="737" w:type="dxa"/>
        <w:tblLook w:val="04A0" w:firstRow="1" w:lastRow="0" w:firstColumn="1" w:lastColumn="0" w:noHBand="0" w:noVBand="1"/>
      </w:tblPr>
      <w:tblGrid>
        <w:gridCol w:w="3823"/>
        <w:gridCol w:w="1012"/>
        <w:gridCol w:w="1012"/>
        <w:gridCol w:w="1012"/>
        <w:gridCol w:w="1012"/>
        <w:gridCol w:w="1012"/>
      </w:tblGrid>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rsidR="00A655D4" w:rsidRPr="00A655D4" w:rsidRDefault="00A655D4" w:rsidP="00A655D4">
            <w:pPr>
              <w:tabs>
                <w:tab w:val="clear" w:pos="851"/>
              </w:tabs>
              <w:spacing w:after="0"/>
              <w:ind w:left="0"/>
              <w:jc w:val="left"/>
              <w:rPr>
                <w:rFonts w:cs="Arial"/>
                <w:b/>
                <w:color w:val="FFFFFF"/>
                <w:sz w:val="16"/>
                <w:szCs w:val="16"/>
              </w:rPr>
            </w:pPr>
            <w:r w:rsidRPr="00A655D4">
              <w:rPr>
                <w:rFonts w:cs="Arial"/>
                <w:b/>
                <w:color w:val="FFFFFF"/>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2015/16</w:t>
            </w:r>
          </w:p>
        </w:tc>
        <w:tc>
          <w:tcPr>
            <w:tcW w:w="101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2016/17</w:t>
            </w:r>
          </w:p>
        </w:tc>
        <w:tc>
          <w:tcPr>
            <w:tcW w:w="101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2017/18</w:t>
            </w:r>
          </w:p>
        </w:tc>
        <w:tc>
          <w:tcPr>
            <w:tcW w:w="101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2018/19</w:t>
            </w:r>
          </w:p>
        </w:tc>
        <w:tc>
          <w:tcPr>
            <w:tcW w:w="101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A655D4" w:rsidRPr="00A655D4" w:rsidRDefault="00A655D4" w:rsidP="00A655D4">
            <w:pPr>
              <w:tabs>
                <w:tab w:val="clear" w:pos="851"/>
              </w:tabs>
              <w:spacing w:after="0"/>
              <w:ind w:left="0"/>
              <w:jc w:val="center"/>
              <w:rPr>
                <w:rFonts w:cs="Arial"/>
                <w:b/>
                <w:color w:val="FFFFFF"/>
                <w:sz w:val="16"/>
                <w:szCs w:val="16"/>
              </w:rPr>
            </w:pPr>
            <w:r w:rsidRPr="00A655D4">
              <w:rPr>
                <w:rFonts w:cs="Arial"/>
                <w:b/>
                <w:color w:val="FFFFFF"/>
                <w:sz w:val="16"/>
                <w:szCs w:val="16"/>
              </w:rPr>
              <w:t>2019/20</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b/>
                <w:color w:val="000000"/>
                <w:sz w:val="16"/>
                <w:szCs w:val="16"/>
              </w:rPr>
            </w:pPr>
            <w:r w:rsidRPr="00A655D4">
              <w:rPr>
                <w:rFonts w:cs="Arial"/>
                <w:b/>
                <w:color w:val="000000"/>
                <w:sz w:val="16"/>
                <w:szCs w:val="16"/>
              </w:rPr>
              <w:t>PR14 assumed customer numbers</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center"/>
              <w:rPr>
                <w:rFonts w:cs="Arial"/>
                <w:color w:val="000000"/>
                <w:sz w:val="16"/>
                <w:szCs w:val="16"/>
              </w:rPr>
            </w:pPr>
            <w:r w:rsidRPr="00A655D4">
              <w:rPr>
                <w:rFonts w:cs="Arial"/>
                <w:color w:val="000000"/>
                <w:sz w:val="16"/>
                <w:szCs w:val="16"/>
              </w:rPr>
              <w:t>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Unmetered water-only customer</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207,723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202,723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197,723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192,723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187,723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Metered water-only customer</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80,427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87,587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95,100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103,103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111,041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b/>
                <w:color w:val="000000"/>
                <w:sz w:val="16"/>
                <w:szCs w:val="16"/>
              </w:rPr>
            </w:pPr>
            <w:r w:rsidRPr="00A655D4">
              <w:rPr>
                <w:rFonts w:cs="Arial"/>
                <w:b/>
                <w:color w:val="000000"/>
                <w:sz w:val="16"/>
                <w:szCs w:val="16"/>
              </w:rPr>
              <w:t>Reforecast customer numbers</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Unmetered water-only customer</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207,723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202,723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202,638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201,105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197,605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Metered water-only customer</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78,285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86,760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90,168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94,720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100,720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b/>
                <w:color w:val="000000"/>
                <w:sz w:val="16"/>
                <w:szCs w:val="16"/>
              </w:rPr>
            </w:pPr>
            <w:r w:rsidRPr="00A655D4">
              <w:rPr>
                <w:rFonts w:cs="Arial"/>
                <w:b/>
                <w:color w:val="000000"/>
                <w:sz w:val="16"/>
                <w:szCs w:val="16"/>
              </w:rPr>
              <w:t>Actual customer numbers</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Unmetered water-only customer</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210,156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207,197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204,160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201,105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197,605 </w:t>
            </w:r>
          </w:p>
        </w:tc>
      </w:tr>
      <w:tr w:rsidR="00A655D4" w:rsidRPr="00A655D4" w:rsidTr="00A655D4">
        <w:trPr>
          <w:trHeight w:val="288"/>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Metered water-only customer</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78,509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84,212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89,290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94,720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 xml:space="preserve">     100,720 </w:t>
            </w:r>
          </w:p>
        </w:tc>
      </w:tr>
    </w:tbl>
    <w:p w:rsidR="00A655D4" w:rsidRPr="00275593" w:rsidRDefault="00A655D4" w:rsidP="00A655D4"/>
    <w:p w:rsidR="00A655D4" w:rsidRPr="00275593" w:rsidRDefault="00A655D4" w:rsidP="00A655D4">
      <w:r w:rsidRPr="00275593">
        <w:t>When the data is entered into the Household Retail Revenue Reconciliation Model, there is no final reward or penalty, given the 2% materiality threshold applied in the methodology.</w:t>
      </w:r>
      <w:r>
        <w:t xml:space="preserve"> </w:t>
      </w:r>
      <w:r w:rsidRPr="00275593">
        <w:t>This is shown in Table R9.</w:t>
      </w:r>
    </w:p>
    <w:p w:rsidR="00A655D4" w:rsidRPr="00312F3F" w:rsidRDefault="00A655D4" w:rsidP="00A655D4">
      <w:pPr>
        <w:pStyle w:val="Heading3"/>
      </w:pPr>
      <w:bookmarkStart w:id="276" w:name="_Toc523651351"/>
      <w:r w:rsidRPr="00DA4AF2">
        <w:t>PR14 reconciliation adjustments summary</w:t>
      </w:r>
      <w:bookmarkEnd w:id="276"/>
      <w:r w:rsidRPr="00DA4AF2">
        <w:t xml:space="preserve"> </w:t>
      </w:r>
    </w:p>
    <w:p w:rsidR="00A655D4" w:rsidRPr="00275593" w:rsidRDefault="00A655D4" w:rsidP="00A655D4">
      <w:r w:rsidRPr="00275593">
        <w:t>The PR14 reconciliation reflects the final adjustments for performance against the PR09 incentive mechanisms, to recognise the actual 2014/15 performance.  The 2014/15 “blind year” was not known at the time of setting prices for AMP6.</w:t>
      </w:r>
      <w:r>
        <w:t xml:space="preserve">  </w:t>
      </w:r>
      <w:r w:rsidRPr="00275593">
        <w:t>Specifically it reflects the adjustment for the Capital Incentive Scheme, (CIS) and the Revenue Correction Mechanism (RCM) adjustments relative to assumptions made for 2014/15 at PR14.</w:t>
      </w:r>
    </w:p>
    <w:p w:rsidR="00A655D4" w:rsidRDefault="00A655D4" w:rsidP="00A655D4">
      <w:r w:rsidRPr="00275593">
        <w:t>The Ofwat feeder models have been used to quantify any adjustments and in APP25</w:t>
      </w:r>
      <w:r>
        <w:t>,</w:t>
      </w:r>
      <w:r w:rsidRPr="00275593">
        <w:t xml:space="preserve"> we report the following adjustments.  The magnitude of the adjustments relating to CIS and RCM are small and reflect the accuracy of our 2014/15 forecast implicit in PR14.</w:t>
      </w:r>
      <w:r>
        <w:t xml:space="preserve">  </w:t>
      </w:r>
      <w:r w:rsidRPr="00275593">
        <w:t>The significant adjustment reflects a methodological change applied to all companies by Ofwat on indexation of the CIS.</w:t>
      </w:r>
      <w:r>
        <w:t xml:space="preserve">  </w:t>
      </w:r>
      <w:r w:rsidRPr="00275593">
        <w:t>This data has been applied in our financial modelling for PR19.</w:t>
      </w:r>
    </w:p>
    <w:tbl>
      <w:tblPr>
        <w:tblW w:w="6987" w:type="dxa"/>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27"/>
        <w:gridCol w:w="1560"/>
      </w:tblGrid>
      <w:tr w:rsidR="00A655D4" w:rsidRPr="00A655D4" w:rsidTr="00A655D4">
        <w:trPr>
          <w:trHeight w:val="285"/>
        </w:trPr>
        <w:tc>
          <w:tcPr>
            <w:tcW w:w="5427" w:type="dxa"/>
            <w:shd w:val="clear" w:color="auto" w:fill="2E74B5" w:themeFill="accent1" w:themeFillShade="BF"/>
            <w:noWrap/>
            <w:vAlign w:val="center"/>
          </w:tcPr>
          <w:p w:rsidR="00A655D4" w:rsidRPr="00A655D4" w:rsidRDefault="00A655D4" w:rsidP="00A655D4">
            <w:pPr>
              <w:tabs>
                <w:tab w:val="clear" w:pos="851"/>
              </w:tabs>
              <w:spacing w:after="0"/>
              <w:ind w:left="0"/>
              <w:jc w:val="left"/>
              <w:rPr>
                <w:rFonts w:cs="Arial"/>
                <w:b/>
                <w:color w:val="FFFFFF"/>
                <w:sz w:val="16"/>
                <w:szCs w:val="16"/>
              </w:rPr>
            </w:pPr>
          </w:p>
        </w:tc>
        <w:tc>
          <w:tcPr>
            <w:tcW w:w="1560" w:type="dxa"/>
            <w:shd w:val="clear" w:color="auto" w:fill="2E74B5" w:themeFill="accent1" w:themeFillShade="BF"/>
            <w:noWrap/>
            <w:vAlign w:val="center"/>
          </w:tcPr>
          <w:p w:rsidR="00A655D4" w:rsidRPr="00A655D4" w:rsidRDefault="00A655D4" w:rsidP="00A655D4">
            <w:pPr>
              <w:tabs>
                <w:tab w:val="clear" w:pos="851"/>
              </w:tabs>
              <w:spacing w:after="0"/>
              <w:ind w:left="0"/>
              <w:jc w:val="right"/>
              <w:rPr>
                <w:rFonts w:cs="Arial"/>
                <w:b/>
                <w:color w:val="FFFFFF"/>
                <w:sz w:val="16"/>
                <w:szCs w:val="16"/>
              </w:rPr>
            </w:pPr>
            <w:r w:rsidRPr="00A655D4">
              <w:rPr>
                <w:rFonts w:cs="Arial"/>
                <w:b/>
                <w:color w:val="FFFFFF"/>
                <w:sz w:val="16"/>
                <w:szCs w:val="16"/>
              </w:rPr>
              <w:t>2015-20</w:t>
            </w:r>
          </w:p>
          <w:p w:rsidR="00A655D4" w:rsidRPr="00A655D4" w:rsidRDefault="00A655D4" w:rsidP="00A655D4">
            <w:pPr>
              <w:tabs>
                <w:tab w:val="clear" w:pos="851"/>
              </w:tabs>
              <w:spacing w:after="0"/>
              <w:ind w:left="0"/>
              <w:jc w:val="right"/>
              <w:rPr>
                <w:rFonts w:cs="Arial"/>
                <w:b/>
                <w:color w:val="FFFFFF"/>
                <w:sz w:val="16"/>
                <w:szCs w:val="16"/>
              </w:rPr>
            </w:pPr>
            <w:r w:rsidRPr="00A655D4">
              <w:rPr>
                <w:rFonts w:cs="Arial"/>
                <w:b/>
                <w:color w:val="FFFFFF"/>
                <w:sz w:val="16"/>
                <w:szCs w:val="16"/>
              </w:rPr>
              <w:t>£m</w:t>
            </w:r>
          </w:p>
        </w:tc>
      </w:tr>
      <w:tr w:rsidR="00A655D4" w:rsidRPr="00A655D4" w:rsidTr="00A655D4">
        <w:trPr>
          <w:trHeight w:val="285"/>
        </w:trPr>
        <w:tc>
          <w:tcPr>
            <w:tcW w:w="5427" w:type="dxa"/>
            <w:shd w:val="clear" w:color="auto"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Total Adjustment RCV carry forward to PR19 at 2017-18 FYA CPIH deflated price base</w:t>
            </w:r>
          </w:p>
        </w:tc>
        <w:tc>
          <w:tcPr>
            <w:tcW w:w="1560" w:type="dxa"/>
            <w:shd w:val="clear" w:color="auto" w:fill="FFFFFF"/>
            <w:noWrap/>
            <w:vAlign w:val="center"/>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0.177</w:t>
            </w:r>
          </w:p>
        </w:tc>
      </w:tr>
      <w:tr w:rsidR="00A655D4" w:rsidRPr="00A655D4" w:rsidTr="00A655D4">
        <w:trPr>
          <w:trHeight w:val="285"/>
        </w:trPr>
        <w:tc>
          <w:tcPr>
            <w:tcW w:w="5427" w:type="dxa"/>
            <w:shd w:val="clear" w:color="auto"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Total Adjustment Revenue carry forward to PR19 at 2017-18 FYA CPIH deflated price base</w:t>
            </w:r>
          </w:p>
        </w:tc>
        <w:tc>
          <w:tcPr>
            <w:tcW w:w="1560" w:type="dxa"/>
            <w:shd w:val="clear" w:color="auto" w:fill="FFFFFF"/>
            <w:noWrap/>
            <w:vAlign w:val="center"/>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-0.086</w:t>
            </w:r>
          </w:p>
        </w:tc>
      </w:tr>
      <w:tr w:rsidR="00A655D4" w:rsidRPr="00A655D4" w:rsidTr="00A655D4">
        <w:trPr>
          <w:trHeight w:val="285"/>
        </w:trPr>
        <w:tc>
          <w:tcPr>
            <w:tcW w:w="5427" w:type="dxa"/>
            <w:shd w:val="clear" w:color="auto" w:fill="FFFFFF"/>
            <w:noWrap/>
            <w:vAlign w:val="center"/>
            <w:hideMark/>
          </w:tcPr>
          <w:p w:rsidR="00A655D4" w:rsidRPr="00A655D4" w:rsidRDefault="00A655D4" w:rsidP="00A655D4">
            <w:pPr>
              <w:tabs>
                <w:tab w:val="clear" w:pos="851"/>
              </w:tabs>
              <w:spacing w:after="0"/>
              <w:ind w:left="0"/>
              <w:jc w:val="left"/>
              <w:rPr>
                <w:rFonts w:cs="Arial"/>
                <w:color w:val="000000"/>
                <w:sz w:val="16"/>
                <w:szCs w:val="16"/>
              </w:rPr>
            </w:pPr>
            <w:r w:rsidRPr="00A655D4">
              <w:rPr>
                <w:rFonts w:cs="Arial"/>
                <w:color w:val="000000"/>
                <w:sz w:val="16"/>
                <w:szCs w:val="16"/>
              </w:rPr>
              <w:t>CIS RCV inflation correction at 2017-18 FYA CPIH deflated price base</w:t>
            </w:r>
          </w:p>
        </w:tc>
        <w:tc>
          <w:tcPr>
            <w:tcW w:w="1560" w:type="dxa"/>
            <w:shd w:val="clear" w:color="auto" w:fill="FFFFFF"/>
            <w:noWrap/>
            <w:vAlign w:val="center"/>
            <w:hideMark/>
          </w:tcPr>
          <w:p w:rsidR="00A655D4" w:rsidRPr="00A655D4" w:rsidRDefault="00A655D4" w:rsidP="00A655D4">
            <w:pPr>
              <w:tabs>
                <w:tab w:val="clear" w:pos="851"/>
              </w:tabs>
              <w:spacing w:after="0"/>
              <w:ind w:left="0"/>
              <w:jc w:val="right"/>
              <w:rPr>
                <w:rFonts w:cs="Arial"/>
                <w:color w:val="000000"/>
                <w:sz w:val="16"/>
                <w:szCs w:val="16"/>
              </w:rPr>
            </w:pPr>
            <w:r w:rsidRPr="00A655D4">
              <w:rPr>
                <w:rFonts w:cs="Arial"/>
                <w:color w:val="000000"/>
                <w:sz w:val="16"/>
                <w:szCs w:val="16"/>
              </w:rPr>
              <w:t>-2.445</w:t>
            </w:r>
          </w:p>
        </w:tc>
      </w:tr>
    </w:tbl>
    <w:p w:rsidR="00A655D4" w:rsidRDefault="00A655D4" w:rsidP="00A655D4"/>
    <w:p w:rsidR="00A655D4" w:rsidRPr="00275593" w:rsidRDefault="00A655D4" w:rsidP="00A655D4">
      <w:pPr>
        <w:pStyle w:val="Heading3"/>
      </w:pPr>
      <w:bookmarkStart w:id="277" w:name="_Toc523651352"/>
      <w:r w:rsidRPr="00275593">
        <w:t>Adjustments to RCV from disposals of interest in land</w:t>
      </w:r>
      <w:bookmarkEnd w:id="277"/>
      <w:r w:rsidRPr="00275593">
        <w:t xml:space="preserve"> </w:t>
      </w:r>
    </w:p>
    <w:p w:rsidR="00A655D4" w:rsidRPr="00275593" w:rsidRDefault="00A655D4" w:rsidP="00A655D4">
      <w:r w:rsidRPr="00275593">
        <w:t xml:space="preserve">The Company has not made any land sales in the period and thus this table APP9 is not populated. </w:t>
      </w:r>
    </w:p>
    <w:p w:rsidR="00A655D4" w:rsidRPr="00275593" w:rsidRDefault="00A655D4" w:rsidP="00A655D4">
      <w:pPr>
        <w:pStyle w:val="Heading3"/>
      </w:pPr>
      <w:bookmarkStart w:id="278" w:name="_Toc523651353"/>
      <w:r w:rsidRPr="00275593">
        <w:t>Business Plan Table - APP31</w:t>
      </w:r>
      <w:bookmarkEnd w:id="278"/>
    </w:p>
    <w:p w:rsidR="00A655D4" w:rsidRPr="00275593" w:rsidRDefault="00A655D4" w:rsidP="00A655D4">
      <w:r w:rsidRPr="00275593">
        <w:t>The Business Plan Table, APP31, provides detail on specific performance metrics in AMP6</w:t>
      </w:r>
      <w:r>
        <w:t>.  I</w:t>
      </w:r>
      <w:r w:rsidRPr="00275593">
        <w:t xml:space="preserve">t shows the actual number of written complaints received by </w:t>
      </w:r>
      <w:r>
        <w:t xml:space="preserve">us </w:t>
      </w:r>
      <w:r w:rsidRPr="00275593">
        <w:t>in the period up to and including 2017/18.  A forecast is given for 2018/19 and 2019/20 which keeps the level at 10 per 10,000 households, a comparison which CCWater publish annually.</w:t>
      </w:r>
      <w:r>
        <w:t xml:space="preserve">  </w:t>
      </w:r>
      <w:r w:rsidRPr="00275593">
        <w:t xml:space="preserve">Data prior to the NHH market opening includes non-household written complaints. This class of complaint no longer exists given we exited the market on 1 April 2017. </w:t>
      </w:r>
      <w:r>
        <w:t xml:space="preserve">  </w:t>
      </w:r>
      <w:r w:rsidRPr="00275593">
        <w:t>We also show the number of second level complaints, where we have failed to satisfy the customer with our first response and they reply subsequently.</w:t>
      </w:r>
      <w:r>
        <w:t xml:space="preserve">  </w:t>
      </w:r>
      <w:r w:rsidRPr="00275593">
        <w:t>Finally</w:t>
      </w:r>
      <w:r>
        <w:t>,</w:t>
      </w:r>
      <w:r w:rsidRPr="00275593">
        <w:t xml:space="preserve"> we can confirm that we have had no complaints escalated to CCWater, nor that they have investigated any complaints, nor transferred to WATRS.</w:t>
      </w:r>
    </w:p>
    <w:p w:rsidR="00A655D4" w:rsidRPr="00275593" w:rsidRDefault="00A655D4" w:rsidP="00A655D4">
      <w:r w:rsidRPr="00275593">
        <w:t>We have had only 1 major incident classified by the EA as category 1.  This was in November 2017 at a site where thieves stole diesel and in the process split the liquid, with a risk to the aquifer. The source was taken out of use for a period time, in agreement with the EA.  There was no effect on customers.  As a result</w:t>
      </w:r>
      <w:r>
        <w:t>,</w:t>
      </w:r>
      <w:r w:rsidRPr="00275593">
        <w:t xml:space="preserve"> we have tightened security at our un-manned sites.</w:t>
      </w:r>
    </w:p>
    <w:p w:rsidR="00A655D4" w:rsidRPr="00275593" w:rsidRDefault="00A655D4" w:rsidP="00A655D4">
      <w:r w:rsidRPr="00275593">
        <w:t xml:space="preserve">We have had no issues with the DWI relating to cautions or prosecutions. </w:t>
      </w:r>
    </w:p>
    <w:p w:rsidR="00A655D4" w:rsidRDefault="00A655D4" w:rsidP="00A655D4">
      <w:r w:rsidRPr="00275593">
        <w:t xml:space="preserve">We have had no issues with the Ofwat relating to enforcement action under WIA 1991 or The Competition Act. </w:t>
      </w:r>
    </w:p>
    <w:p w:rsidR="00CF2560" w:rsidRDefault="00CF2560" w:rsidP="00CF2560">
      <w:pPr>
        <w:pStyle w:val="Heading3"/>
        <w:ind w:left="851" w:hanging="851"/>
      </w:pPr>
      <w:bookmarkStart w:id="279" w:name="_Toc523651354"/>
      <w:r>
        <w:t>Customer Engagement for proposed adjustments to the 2020-2025 Price Controls</w:t>
      </w:r>
      <w:bookmarkEnd w:id="279"/>
    </w:p>
    <w:p w:rsidR="00CF2560" w:rsidRDefault="00CF2560" w:rsidP="00A655D4">
      <w:r>
        <w:t>All of the seven adjustments for AMP6 performance have been quantified.  The net impact is a reduction in customer bills.</w:t>
      </w:r>
    </w:p>
    <w:p w:rsidR="00CF2560" w:rsidRPr="00275593" w:rsidRDefault="00CF2560" w:rsidP="00A655D4">
      <w:r>
        <w:t>As part of our customer research into financial issues more generally, we included discussion on this issue.  Unsurprisingly, customers felt it was appropriate that money ‘owed’ should be returned to customers, though some commented that this could be re-invested in our assets.  See Appendix 2.26 where we explained why our bill will change over AMP7 and the feedback we had from customers.</w:t>
      </w:r>
    </w:p>
    <w:p w:rsidR="00A655D4" w:rsidRDefault="00A655D4" w:rsidP="00A655D4">
      <w:pPr>
        <w:pStyle w:val="Heading2"/>
      </w:pPr>
      <w:bookmarkStart w:id="280" w:name="_Toc523651355"/>
      <w:r>
        <w:t>Overview of our performance</w:t>
      </w:r>
      <w:bookmarkEnd w:id="280"/>
    </w:p>
    <w:p w:rsidR="00A655D4" w:rsidRDefault="00A655D4" w:rsidP="00A655D4">
      <w:r>
        <w:t>This section provides Ofwat</w:t>
      </w:r>
      <w:r w:rsidR="00584B77">
        <w:t>, our customers</w:t>
      </w:r>
      <w:r>
        <w:t xml:space="preserve"> and other stakeholders with the highlights of our performance over the first three years of this AMP, focusing on how we have been recognised by external bodies and how this builds trust and legitimacy with our customers.  It also discusses issues we have faced and how we plan to address them.  These are reported in more detail in our Annual Report &amp; Accounts each year</w:t>
      </w:r>
      <w:r w:rsidR="00483B16">
        <w:t>, and our ODI reports for 2015/16, 2016/17 and 2017/18 (see Appendices 12.1-12.3)</w:t>
      </w:r>
      <w:r>
        <w:t>.</w:t>
      </w:r>
    </w:p>
    <w:p w:rsidR="00A655D4" w:rsidRPr="00DC6403" w:rsidRDefault="00A655D4" w:rsidP="00A655D4">
      <w:pPr>
        <w:pStyle w:val="Heading3"/>
      </w:pPr>
      <w:bookmarkStart w:id="281" w:name="_Toc523651356"/>
      <w:r w:rsidRPr="00DC6403">
        <w:t xml:space="preserve">Highlights </w:t>
      </w:r>
      <w:r>
        <w:t>of</w:t>
      </w:r>
      <w:r w:rsidRPr="00DC6403">
        <w:t xml:space="preserve"> AMP6</w:t>
      </w:r>
      <w:bookmarkEnd w:id="281"/>
    </w:p>
    <w:p w:rsidR="00A655D4" w:rsidRDefault="00A655D4" w:rsidP="00A655D4">
      <w:r>
        <w:t>We invested in two significant schemes to safeguard water quality at Eastergate and Westergate water treatment works.  In years prior, we had seen an increase in the risk of poor raw water quality at these sites.  This ha</w:t>
      </w:r>
      <w:r w:rsidR="00584B77">
        <w:t>d</w:t>
      </w:r>
      <w:r>
        <w:t xml:space="preserve"> resulted in both increased levels of turbidity and increased risk of cryptosporidium.  The need for the work was supported by the Drinking Water Inspectorate and we constructed an advanced Ultra Violet treatment plant, which will kill 99.99% of micro-organisms in the water without the need to add chemicals.</w:t>
      </w:r>
    </w:p>
    <w:p w:rsidR="00A655D4" w:rsidRDefault="00A655D4" w:rsidP="00A655D4">
      <w:r>
        <w:t xml:space="preserve">We have also focused our actions in areas </w:t>
      </w:r>
      <w:r w:rsidR="00584B77">
        <w:t>at</w:t>
      </w:r>
      <w:r>
        <w:t xml:space="preserve"> risk of high nitrate pollution.  Our catchment management team has been a successful partner in a European Union Interreg project bid to trial for “eco-services” across our area of supply.  This looks at new and innovative ways of supporting farmers and landowners to change their practices and behaviours to deliver cleaner groundwater in our catchments and so avoid the need for costly new processes at our works to remove nitrates.</w:t>
      </w:r>
    </w:p>
    <w:p w:rsidR="00A655D4" w:rsidRDefault="00A655D4" w:rsidP="00A655D4">
      <w:r>
        <w:t>We completed our obligations under the National Environment Programme three years ahead of the legal requirement.  We undertook two river restoration projects on the Ems and the Hamble to improve the environment for fish and invertebrates.  This has been achieved working with landowners and was signed off by the Environment Agency in 2017.</w:t>
      </w:r>
    </w:p>
    <w:p w:rsidR="00A655D4" w:rsidRDefault="00A655D4" w:rsidP="00A655D4">
      <w:r>
        <w:t>We renewed our bulk supply contract with Southern Water and now will provide them with up to 15 million litres of water per day in their Sussex North zone.  Further, we have constructed infrastructure at our River Itchen site to provide a new bulk supply, again to Southern Water, into their Hampshire zone.  This will increase their resilience to droughts, without reducing the security of supply to our customers.  This is the first of three planned schemes over the next ten years to help meet customer demands more widely of the South East.</w:t>
      </w:r>
    </w:p>
    <w:p w:rsidR="00A655D4" w:rsidRPr="00FC653F" w:rsidRDefault="00A655D4" w:rsidP="00A655D4">
      <w:r w:rsidRPr="00FC653F">
        <w:t xml:space="preserve">We were very pleased to be recognised by the </w:t>
      </w:r>
      <w:r w:rsidR="00584B77">
        <w:t>Home B</w:t>
      </w:r>
      <w:r w:rsidRPr="00FC653F">
        <w:t xml:space="preserve">uilders Federation as the 2017 winner of the Utility Company of the Year Award.  The award was given to us because of our “forward thinking approach to a new connections policy which dispenses with street meter chambers in favour of a totally above ground on wall metering solution”. The HBF believes that it is a basic and fundamental right that all customers, including the elderly and those with disabilities, must be able to easily read their water meters. </w:t>
      </w:r>
      <w:r>
        <w:t>T</w:t>
      </w:r>
      <w:r w:rsidRPr="00FC653F">
        <w:t>his way they can better monitor their water use, detect leaks, and take appropriate action were necessary.</w:t>
      </w:r>
    </w:p>
    <w:p w:rsidR="00A655D4" w:rsidRPr="00FC653F" w:rsidRDefault="00A655D4" w:rsidP="00A655D4">
      <w:r w:rsidRPr="00FC653F">
        <w:t>Our focus on health &amp; safety remains are very important objective of the business.  In 2017</w:t>
      </w:r>
      <w:r>
        <w:t>,</w:t>
      </w:r>
      <w:r w:rsidRPr="00FC653F">
        <w:t xml:space="preserve"> we received the President’s Award from the Royal Society for the Prevention of Accidents (RoSPA) for the fourth consecutive year.  This recognises 14 consecutive years of winning 10 Gold Awards, 4 Presidents Awards and 1 Industry Sector Award.</w:t>
      </w:r>
    </w:p>
    <w:p w:rsidR="00A655D4" w:rsidRPr="00FC653F" w:rsidRDefault="00A655D4" w:rsidP="00A655D4">
      <w:r w:rsidRPr="00FC653F">
        <w:t>In May 2018</w:t>
      </w:r>
      <w:r>
        <w:t>,</w:t>
      </w:r>
      <w:r w:rsidRPr="00FC653F">
        <w:t xml:space="preserve"> </w:t>
      </w:r>
      <w:r w:rsidR="00584B77">
        <w:t xml:space="preserve">we were </w:t>
      </w:r>
      <w:r w:rsidRPr="00FC653F">
        <w:t xml:space="preserve">awarded the Institute of Customer Service ServiceMark – the National Customer Service Standard. This is great recognition of how </w:t>
      </w:r>
      <w:r>
        <w:t xml:space="preserve">we </w:t>
      </w:r>
      <w:r w:rsidRPr="00FC653F">
        <w:t xml:space="preserve">put customers at the heart of everything we do. </w:t>
      </w:r>
      <w:r w:rsidR="001231C6">
        <w:t xml:space="preserve"> </w:t>
      </w:r>
      <w:r w:rsidRPr="00FC653F">
        <w:t>It is a well-recognised award and was given to us after the Institute of Customer Services carried out a number of surveys and interviews with both customers and staff.  In the summary the assessor said:</w:t>
      </w:r>
    </w:p>
    <w:p w:rsidR="00A655D4" w:rsidRPr="001231C6" w:rsidRDefault="00A655D4" w:rsidP="001231C6">
      <w:pPr>
        <w:rPr>
          <w:i/>
          <w:color w:val="2E74B5" w:themeColor="accent1" w:themeShade="BF"/>
        </w:rPr>
      </w:pPr>
      <w:r w:rsidRPr="001231C6">
        <w:rPr>
          <w:i/>
          <w:color w:val="2E74B5" w:themeColor="accent1" w:themeShade="BF"/>
        </w:rPr>
        <w:t>“It is apparent that Portsmouth Water has had a “customer first approach” for a considerable time and this ethos seems embedded in the attitudes and behaviours of the employees I met from across all functions.  There is an inherent pride in working for Portsmouth Water.  A number spoke about the approach that has been instilled from the top that financial results will be met through paying attention to doing the “right thing” for the customer, rather than focusing primarily on hard targets.”</w:t>
      </w:r>
    </w:p>
    <w:p w:rsidR="00A655D4" w:rsidRPr="00FC653F" w:rsidRDefault="00A655D4" w:rsidP="00A655D4">
      <w:r>
        <w:t>In light of the decision to introduce retail competition for non-household customers, we chose to exit the market.  We considered we did not have the reach or experience to compete in this market on a national scale.  We entered into an agreement with Castle Water, a water retailer already operating in Scotland, to dispose of our retail business on 1 April 2017 when the market opened.  From 1 April 2016, Castle Water were responsible for management of our non-household customer accounts.  This allowed both parties, and indeed customers, a period to consider how operations in the market would apply prior to its opening.</w:t>
      </w:r>
    </w:p>
    <w:p w:rsidR="00A655D4" w:rsidRDefault="00A655D4" w:rsidP="00A655D4">
      <w:r>
        <w:t>During 2017/18 the Group</w:t>
      </w:r>
      <w:r w:rsidR="00545AE9">
        <w:t>’</w:t>
      </w:r>
      <w:r>
        <w:t>s majority owners, the South Downs Employee Benefit Trust, together with the other individual shareholders, took the decision to sell the entire share capital to funds managed by Ancala Partners LLP.  The choice of Ancala allows the Company to continue to maintain a level of independence and will support our strategy to achieve excellence for our customers.</w:t>
      </w:r>
    </w:p>
    <w:p w:rsidR="00A655D4" w:rsidRDefault="00A655D4" w:rsidP="00A655D4">
      <w:r>
        <w:t xml:space="preserve">Finally, we have started the process </w:t>
      </w:r>
      <w:r w:rsidR="00584B77">
        <w:t xml:space="preserve">to construct </w:t>
      </w:r>
      <w:r>
        <w:t>a winter storage reservoir at Havant Thicket.  This will be the first reservoir developed in the country for many years.  It will play an important part of enhancing the resilience of the region and will allow us to provide greater bulk supplies to Southern Water in particular.  Our stakeholder engagement programme shows support from stakeholders and customers alike.  This is a very important part of both our Water Resources Management Plan and this Business Plan.  Further detail is set out in Chapter 8.1</w:t>
      </w:r>
    </w:p>
    <w:p w:rsidR="00A655D4" w:rsidRPr="00DC6403" w:rsidRDefault="00A655D4" w:rsidP="00A655D4">
      <w:pPr>
        <w:pStyle w:val="Heading2"/>
      </w:pPr>
      <w:bookmarkStart w:id="282" w:name="_Toc523651357"/>
      <w:r>
        <w:t>Our promises to our customer</w:t>
      </w:r>
      <w:r w:rsidR="00B055D6">
        <w:t>s</w:t>
      </w:r>
      <w:bookmarkEnd w:id="282"/>
    </w:p>
    <w:p w:rsidR="00A655D4" w:rsidRPr="00275593" w:rsidRDefault="00A655D4" w:rsidP="00A655D4">
      <w:r>
        <w:t xml:space="preserve">At PR14 we agreed to deliver against a set of </w:t>
      </w:r>
      <w:r w:rsidR="00B24CAC">
        <w:t>P</w:t>
      </w:r>
      <w:r>
        <w:t xml:space="preserve">erformance </w:t>
      </w:r>
      <w:r w:rsidR="00B24CAC">
        <w:t>C</w:t>
      </w:r>
      <w:r>
        <w:t xml:space="preserve">ommitments.  In total we have 13 commitments covering the </w:t>
      </w:r>
      <w:r w:rsidR="00B24CAC">
        <w:t>O</w:t>
      </w:r>
      <w:r>
        <w:t>utcomes which are most important to customers.  W</w:t>
      </w:r>
      <w:r w:rsidRPr="00275593">
        <w:t>e publish a report on our performance on all of our ODIs</w:t>
      </w:r>
      <w:r>
        <w:t xml:space="preserve"> on our website each year.</w:t>
      </w:r>
      <w:r w:rsidRPr="00275593">
        <w:t xml:space="preserve">  </w:t>
      </w:r>
      <w:r>
        <w:t xml:space="preserve">It is also </w:t>
      </w:r>
      <w:r w:rsidRPr="00275593">
        <w:t xml:space="preserve">presented to the Customer Challenge Group.  </w:t>
      </w:r>
    </w:p>
    <w:p w:rsidR="00A655D4" w:rsidRPr="00275593" w:rsidRDefault="00A655D4" w:rsidP="00A655D4">
      <w:r w:rsidRPr="00275593">
        <w:t>Our ODI performanc</w:t>
      </w:r>
      <w:r>
        <w:t xml:space="preserve">e table for AMP6 is shown below, with an indication of the financial structure, which applies to each ODI.  The financial implications of this performance </w:t>
      </w:r>
      <w:r w:rsidR="00584B77">
        <w:t xml:space="preserve">are </w:t>
      </w:r>
      <w:r>
        <w:t>described in Section 12.1 above.</w:t>
      </w:r>
    </w:p>
    <w:p w:rsidR="001231C6" w:rsidRDefault="001231C6">
      <w:pPr>
        <w:tabs>
          <w:tab w:val="clear" w:pos="851"/>
        </w:tabs>
        <w:spacing w:after="0"/>
        <w:ind w:left="0"/>
        <w:jc w:val="left"/>
        <w:rPr>
          <w:rFonts w:cs="Arial"/>
          <w:b/>
          <w:sz w:val="22"/>
          <w:szCs w:val="22"/>
        </w:rPr>
      </w:pPr>
      <w:r>
        <w:rPr>
          <w:rFonts w:cs="Arial"/>
          <w:b/>
          <w:sz w:val="22"/>
          <w:szCs w:val="22"/>
        </w:rPr>
        <w:br w:type="page"/>
      </w:r>
    </w:p>
    <w:p w:rsidR="00A655D4" w:rsidRDefault="00A655D4" w:rsidP="00A655D4">
      <w:pPr>
        <w:rPr>
          <w:rFonts w:cs="Arial"/>
          <w:b/>
          <w:sz w:val="22"/>
          <w:szCs w:val="22"/>
        </w:rPr>
      </w:pPr>
      <w:r w:rsidRPr="00275593">
        <w:rPr>
          <w:rFonts w:cs="Arial"/>
          <w:b/>
          <w:sz w:val="22"/>
          <w:szCs w:val="22"/>
        </w:rPr>
        <w:t>Portsmouth Water</w:t>
      </w:r>
      <w:r w:rsidR="00584B77">
        <w:rPr>
          <w:rFonts w:cs="Arial"/>
          <w:b/>
          <w:sz w:val="22"/>
          <w:szCs w:val="22"/>
        </w:rPr>
        <w:t>’s</w:t>
      </w:r>
      <w:r w:rsidRPr="00275593">
        <w:rPr>
          <w:rFonts w:cs="Arial"/>
          <w:b/>
          <w:sz w:val="22"/>
          <w:szCs w:val="22"/>
        </w:rPr>
        <w:t xml:space="preserve"> Performance against targets for AMP6</w:t>
      </w:r>
    </w:p>
    <w:tbl>
      <w:tblPr>
        <w:tblW w:w="9199"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1371"/>
        <w:gridCol w:w="869"/>
        <w:gridCol w:w="992"/>
        <w:gridCol w:w="992"/>
        <w:gridCol w:w="993"/>
        <w:gridCol w:w="992"/>
        <w:gridCol w:w="1549"/>
      </w:tblGrid>
      <w:tr w:rsidR="00A655D4" w:rsidRPr="00A655D4" w:rsidTr="00016358">
        <w:trPr>
          <w:trHeight w:val="605"/>
        </w:trPr>
        <w:tc>
          <w:tcPr>
            <w:tcW w:w="1441" w:type="dxa"/>
            <w:shd w:val="clear" w:color="auto" w:fill="2E74B5" w:themeFill="accent1" w:themeFillShade="BF"/>
            <w:vAlign w:val="center"/>
            <w:hideMark/>
          </w:tcPr>
          <w:p w:rsidR="00A655D4" w:rsidRPr="00A655D4" w:rsidRDefault="00A655D4" w:rsidP="00A655D4">
            <w:pPr>
              <w:tabs>
                <w:tab w:val="clear" w:pos="851"/>
              </w:tabs>
              <w:spacing w:after="0"/>
              <w:ind w:left="0"/>
              <w:jc w:val="center"/>
              <w:rPr>
                <w:rFonts w:eastAsia="Calibri" w:cs="Arial"/>
                <w:b/>
                <w:bCs/>
                <w:color w:val="FFFFFF"/>
                <w:sz w:val="16"/>
                <w:szCs w:val="16"/>
              </w:rPr>
            </w:pPr>
            <w:r w:rsidRPr="00A655D4">
              <w:rPr>
                <w:rFonts w:eastAsia="Calibri" w:cs="Arial"/>
                <w:b/>
                <w:bCs/>
                <w:color w:val="FFFFFF"/>
                <w:sz w:val="16"/>
                <w:szCs w:val="16"/>
              </w:rPr>
              <w:t>ODIs</w:t>
            </w:r>
          </w:p>
        </w:tc>
        <w:tc>
          <w:tcPr>
            <w:tcW w:w="1371" w:type="dxa"/>
            <w:shd w:val="clear" w:color="auto" w:fill="2E74B5" w:themeFill="accent1" w:themeFillShade="BF"/>
            <w:vAlign w:val="center"/>
          </w:tcPr>
          <w:p w:rsidR="00A655D4" w:rsidRPr="00A655D4" w:rsidRDefault="00A655D4" w:rsidP="00A655D4">
            <w:pPr>
              <w:tabs>
                <w:tab w:val="clear" w:pos="851"/>
              </w:tabs>
              <w:spacing w:after="0"/>
              <w:ind w:left="0"/>
              <w:jc w:val="center"/>
              <w:rPr>
                <w:rFonts w:eastAsia="Calibri" w:cs="Arial"/>
                <w:b/>
                <w:bCs/>
                <w:color w:val="FFFFFF"/>
                <w:sz w:val="16"/>
                <w:szCs w:val="16"/>
              </w:rPr>
            </w:pPr>
            <w:r w:rsidRPr="00A655D4">
              <w:rPr>
                <w:rFonts w:eastAsia="Calibri" w:cs="Arial"/>
                <w:b/>
                <w:bCs/>
                <w:color w:val="FFFFFF"/>
                <w:sz w:val="16"/>
                <w:szCs w:val="16"/>
              </w:rPr>
              <w:t>Target</w:t>
            </w:r>
          </w:p>
        </w:tc>
        <w:tc>
          <w:tcPr>
            <w:tcW w:w="869" w:type="dxa"/>
            <w:shd w:val="clear" w:color="auto" w:fill="2E74B5" w:themeFill="accent1" w:themeFillShade="BF"/>
            <w:vAlign w:val="center"/>
            <w:hideMark/>
          </w:tcPr>
          <w:p w:rsidR="00A655D4" w:rsidRPr="00A655D4" w:rsidRDefault="00A655D4" w:rsidP="00A655D4">
            <w:pPr>
              <w:tabs>
                <w:tab w:val="clear" w:pos="851"/>
              </w:tabs>
              <w:spacing w:after="0"/>
              <w:ind w:left="0"/>
              <w:jc w:val="center"/>
              <w:rPr>
                <w:rFonts w:eastAsia="Calibri" w:cs="Arial"/>
                <w:b/>
                <w:bCs/>
                <w:color w:val="FFFFFF"/>
                <w:sz w:val="16"/>
                <w:szCs w:val="16"/>
              </w:rPr>
            </w:pPr>
            <w:r w:rsidRPr="00A655D4">
              <w:rPr>
                <w:rFonts w:eastAsia="Calibri" w:cs="Arial"/>
                <w:b/>
                <w:bCs/>
                <w:color w:val="FFFFFF"/>
                <w:sz w:val="16"/>
                <w:szCs w:val="16"/>
              </w:rPr>
              <w:t>2015/16</w:t>
            </w:r>
          </w:p>
        </w:tc>
        <w:tc>
          <w:tcPr>
            <w:tcW w:w="992" w:type="dxa"/>
            <w:shd w:val="clear" w:color="auto" w:fill="2E74B5" w:themeFill="accent1" w:themeFillShade="BF"/>
            <w:vAlign w:val="center"/>
            <w:hideMark/>
          </w:tcPr>
          <w:p w:rsidR="00A655D4" w:rsidRPr="00A655D4" w:rsidRDefault="00A655D4" w:rsidP="00A655D4">
            <w:pPr>
              <w:tabs>
                <w:tab w:val="clear" w:pos="851"/>
              </w:tabs>
              <w:spacing w:after="0"/>
              <w:ind w:left="0"/>
              <w:jc w:val="center"/>
              <w:rPr>
                <w:rFonts w:eastAsia="Calibri" w:cs="Arial"/>
                <w:b/>
                <w:bCs/>
                <w:color w:val="FFFFFF"/>
                <w:sz w:val="16"/>
                <w:szCs w:val="16"/>
              </w:rPr>
            </w:pPr>
            <w:r w:rsidRPr="00A655D4">
              <w:rPr>
                <w:rFonts w:eastAsia="Calibri" w:cs="Arial"/>
                <w:b/>
                <w:bCs/>
                <w:color w:val="FFFFFF"/>
                <w:sz w:val="16"/>
                <w:szCs w:val="16"/>
              </w:rPr>
              <w:t>2016/17</w:t>
            </w:r>
          </w:p>
        </w:tc>
        <w:tc>
          <w:tcPr>
            <w:tcW w:w="992" w:type="dxa"/>
            <w:shd w:val="clear" w:color="auto" w:fill="2E74B5" w:themeFill="accent1" w:themeFillShade="BF"/>
            <w:vAlign w:val="center"/>
          </w:tcPr>
          <w:p w:rsidR="00A655D4" w:rsidRPr="00A655D4" w:rsidRDefault="00A655D4" w:rsidP="00A655D4">
            <w:pPr>
              <w:tabs>
                <w:tab w:val="clear" w:pos="851"/>
              </w:tabs>
              <w:spacing w:after="0"/>
              <w:ind w:left="0"/>
              <w:jc w:val="center"/>
              <w:rPr>
                <w:rFonts w:eastAsia="Calibri" w:cs="Arial"/>
                <w:b/>
                <w:bCs/>
                <w:color w:val="FFFFFF"/>
                <w:sz w:val="16"/>
                <w:szCs w:val="16"/>
              </w:rPr>
            </w:pPr>
            <w:r w:rsidRPr="00A655D4">
              <w:rPr>
                <w:rFonts w:eastAsia="Calibri" w:cs="Arial"/>
                <w:b/>
                <w:bCs/>
                <w:color w:val="FFFFFF"/>
                <w:sz w:val="16"/>
                <w:szCs w:val="16"/>
              </w:rPr>
              <w:t>2017/18</w:t>
            </w:r>
          </w:p>
        </w:tc>
        <w:tc>
          <w:tcPr>
            <w:tcW w:w="993" w:type="dxa"/>
            <w:shd w:val="clear" w:color="auto" w:fill="2E74B5" w:themeFill="accent1" w:themeFillShade="BF"/>
            <w:vAlign w:val="center"/>
          </w:tcPr>
          <w:p w:rsidR="00A655D4" w:rsidRPr="00A655D4" w:rsidRDefault="00A655D4" w:rsidP="00A655D4">
            <w:pPr>
              <w:tabs>
                <w:tab w:val="clear" w:pos="851"/>
              </w:tabs>
              <w:spacing w:after="0"/>
              <w:ind w:left="0"/>
              <w:jc w:val="center"/>
              <w:rPr>
                <w:rFonts w:eastAsia="Calibri" w:cs="Arial"/>
                <w:b/>
                <w:color w:val="FFFFFF"/>
                <w:sz w:val="16"/>
                <w:szCs w:val="16"/>
              </w:rPr>
            </w:pPr>
            <w:r w:rsidRPr="00A655D4">
              <w:rPr>
                <w:rFonts w:eastAsia="Calibri" w:cs="Arial"/>
                <w:b/>
                <w:color w:val="FFFFFF"/>
                <w:sz w:val="16"/>
                <w:szCs w:val="16"/>
              </w:rPr>
              <w:t>2018/19</w:t>
            </w:r>
          </w:p>
        </w:tc>
        <w:tc>
          <w:tcPr>
            <w:tcW w:w="992" w:type="dxa"/>
            <w:shd w:val="clear" w:color="auto" w:fill="2E74B5" w:themeFill="accent1" w:themeFillShade="BF"/>
            <w:vAlign w:val="center"/>
          </w:tcPr>
          <w:p w:rsidR="00A655D4" w:rsidRPr="00A655D4" w:rsidRDefault="00A655D4" w:rsidP="00A655D4">
            <w:pPr>
              <w:tabs>
                <w:tab w:val="clear" w:pos="851"/>
              </w:tabs>
              <w:spacing w:after="0"/>
              <w:ind w:left="0"/>
              <w:jc w:val="center"/>
              <w:rPr>
                <w:rFonts w:eastAsia="Calibri" w:cs="Arial"/>
                <w:b/>
                <w:color w:val="FFFFFF"/>
                <w:sz w:val="16"/>
                <w:szCs w:val="16"/>
              </w:rPr>
            </w:pPr>
            <w:r w:rsidRPr="00A655D4">
              <w:rPr>
                <w:rFonts w:eastAsia="Calibri" w:cs="Arial"/>
                <w:b/>
                <w:color w:val="FFFFFF"/>
                <w:sz w:val="16"/>
                <w:szCs w:val="16"/>
              </w:rPr>
              <w:t>2019/20</w:t>
            </w:r>
          </w:p>
        </w:tc>
        <w:tc>
          <w:tcPr>
            <w:tcW w:w="1549" w:type="dxa"/>
            <w:shd w:val="clear" w:color="auto" w:fill="2E74B5" w:themeFill="accent1" w:themeFillShade="BF"/>
            <w:noWrap/>
            <w:vAlign w:val="center"/>
            <w:hideMark/>
          </w:tcPr>
          <w:p w:rsidR="00A655D4" w:rsidRPr="00A655D4" w:rsidRDefault="00A655D4" w:rsidP="00A655D4">
            <w:pPr>
              <w:tabs>
                <w:tab w:val="clear" w:pos="851"/>
              </w:tabs>
              <w:spacing w:after="0"/>
              <w:ind w:left="0"/>
              <w:jc w:val="center"/>
              <w:rPr>
                <w:rFonts w:eastAsia="Calibri" w:cs="Arial"/>
                <w:b/>
                <w:color w:val="FFFFFF"/>
                <w:sz w:val="16"/>
                <w:szCs w:val="16"/>
              </w:rPr>
            </w:pPr>
            <w:r w:rsidRPr="00A655D4">
              <w:rPr>
                <w:rFonts w:eastAsia="Calibri" w:cs="Arial"/>
                <w:b/>
                <w:color w:val="FFFFFF"/>
                <w:sz w:val="16"/>
                <w:szCs w:val="16"/>
              </w:rPr>
              <w:t>Outcome</w:t>
            </w:r>
          </w:p>
        </w:tc>
      </w:tr>
      <w:tr w:rsidR="00A655D4" w:rsidRPr="00A655D4" w:rsidTr="00A655D4">
        <w:trPr>
          <w:trHeight w:val="356"/>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Bursts (number)</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342</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219</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298</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347</w:t>
            </w:r>
          </w:p>
        </w:tc>
        <w:tc>
          <w:tcPr>
            <w:tcW w:w="993"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342</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342</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Average of 310 is in dead-band</w:t>
            </w:r>
          </w:p>
        </w:tc>
      </w:tr>
      <w:tr w:rsidR="00A655D4" w:rsidRPr="00A655D4" w:rsidTr="00A655D4">
        <w:trPr>
          <w:trHeight w:val="691"/>
        </w:trPr>
        <w:tc>
          <w:tcPr>
            <w:tcW w:w="1441" w:type="dxa"/>
            <w:shd w:val="clear" w:color="auto" w:fill="auto"/>
            <w:vAlign w:val="center"/>
            <w:hideMark/>
          </w:tcPr>
          <w:p w:rsidR="00A655D4" w:rsidRPr="00A655D4" w:rsidRDefault="00A655D4" w:rsidP="00B24CAC">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 xml:space="preserve">Mean Zonal Compliance </w:t>
            </w:r>
            <w:r w:rsidR="00CF2560">
              <w:rPr>
                <w:rFonts w:eastAsia="Calibri" w:cs="Arial"/>
                <w:color w:val="000000"/>
                <w:sz w:val="16"/>
                <w:szCs w:val="16"/>
              </w:rPr>
              <w:t>*</w:t>
            </w:r>
            <w:r w:rsidRPr="00A655D4">
              <w:rPr>
                <w:rFonts w:eastAsia="Calibri" w:cs="Arial"/>
                <w:color w:val="000000"/>
                <w:sz w:val="16"/>
                <w:szCs w:val="16"/>
              </w:rPr>
              <w:t>(%)</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100.0%</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99.94</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99.99</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99.93</w:t>
            </w:r>
          </w:p>
        </w:tc>
        <w:tc>
          <w:tcPr>
            <w:tcW w:w="993"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99.97</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99.97</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2015 and 2017 where target not met</w:t>
            </w:r>
          </w:p>
        </w:tc>
      </w:tr>
      <w:tr w:rsidR="00A655D4" w:rsidRPr="00A655D4" w:rsidTr="00A655D4">
        <w:trPr>
          <w:trHeight w:val="371"/>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Water quality contacts * (per 1000 pop)</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0.421</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0.570</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0.665</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0.549</w:t>
            </w:r>
          </w:p>
        </w:tc>
        <w:tc>
          <w:tcPr>
            <w:tcW w:w="993" w:type="dxa"/>
            <w:shd w:val="clear" w:color="auto" w:fill="FFFFFF"/>
            <w:noWrap/>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0.550</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0.550</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Target not met over AMP6</w:t>
            </w:r>
          </w:p>
        </w:tc>
      </w:tr>
      <w:tr w:rsidR="00A655D4" w:rsidRPr="00A655D4" w:rsidTr="00A655D4">
        <w:trPr>
          <w:trHeight w:val="326"/>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Temporary Usage Bans</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w:t>
            </w:r>
          </w:p>
        </w:tc>
        <w:tc>
          <w:tcPr>
            <w:tcW w:w="993" w:type="dxa"/>
            <w:shd w:val="clear" w:color="auto" w:fill="FFFFFF"/>
            <w:noWrap/>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0</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Target achieved</w:t>
            </w:r>
          </w:p>
        </w:tc>
      </w:tr>
      <w:tr w:rsidR="00A655D4" w:rsidRPr="00A655D4" w:rsidTr="00A655D4">
        <w:trPr>
          <w:trHeight w:val="297"/>
        </w:trPr>
        <w:tc>
          <w:tcPr>
            <w:tcW w:w="1441" w:type="dxa"/>
            <w:shd w:val="clear" w:color="auto" w:fill="auto"/>
            <w:vAlign w:val="center"/>
            <w:hideMark/>
          </w:tcPr>
          <w:p w:rsidR="00A655D4" w:rsidRPr="00A655D4" w:rsidRDefault="00A655D4" w:rsidP="00A655D4">
            <w:pPr>
              <w:tabs>
                <w:tab w:val="clear" w:pos="851"/>
              </w:tabs>
              <w:spacing w:after="0"/>
              <w:ind w:left="0"/>
              <w:jc w:val="left"/>
              <w:rPr>
                <w:rFonts w:eastAsia="Calibri" w:cs="Arial"/>
                <w:color w:val="000000"/>
                <w:sz w:val="16"/>
                <w:szCs w:val="16"/>
              </w:rPr>
            </w:pPr>
            <w:r w:rsidRPr="00A655D4">
              <w:rPr>
                <w:rFonts w:eastAsia="Calibri" w:cs="Arial"/>
                <w:color w:val="000000"/>
                <w:sz w:val="16"/>
                <w:szCs w:val="16"/>
              </w:rPr>
              <w:t>Leakage (Ml/d)</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29.90</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28.23</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30.38</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32.87</w:t>
            </w:r>
          </w:p>
        </w:tc>
        <w:tc>
          <w:tcPr>
            <w:tcW w:w="993" w:type="dxa"/>
            <w:shd w:val="clear" w:color="auto" w:fill="FFFFFF"/>
            <w:noWrap/>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30.0</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28.0</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AMP6 average of 29.9 Ml/d achieved</w:t>
            </w:r>
          </w:p>
        </w:tc>
      </w:tr>
      <w:tr w:rsidR="00A655D4" w:rsidRPr="00A655D4" w:rsidTr="00A655D4">
        <w:trPr>
          <w:trHeight w:val="326"/>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Interruptions to supply (mins per property)</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6 mins</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3 mins</w:t>
            </w:r>
          </w:p>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30 secs</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4 Mins</w:t>
            </w:r>
          </w:p>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9 Secs</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4 Mins</w:t>
            </w:r>
          </w:p>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17 Secs</w:t>
            </w:r>
          </w:p>
        </w:tc>
        <w:tc>
          <w:tcPr>
            <w:tcW w:w="993" w:type="dxa"/>
            <w:shd w:val="clear" w:color="auto" w:fill="FFFFFF"/>
            <w:noWrap/>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4 Mins</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4 Mins</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Average just below 4 mins – Target exceeded</w:t>
            </w:r>
          </w:p>
        </w:tc>
      </w:tr>
      <w:tr w:rsidR="00A655D4" w:rsidRPr="00A655D4" w:rsidTr="00A655D4">
        <w:trPr>
          <w:trHeight w:val="297"/>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Biodiversity Action Plan</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90% of agreed actions</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as planned</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as planned</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as planned</w:t>
            </w:r>
          </w:p>
        </w:tc>
        <w:tc>
          <w:tcPr>
            <w:tcW w:w="993" w:type="dxa"/>
            <w:shd w:val="clear" w:color="auto" w:fill="FFFFFF"/>
            <w:noWrap/>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as planned</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completed</w:t>
            </w:r>
          </w:p>
        </w:tc>
        <w:tc>
          <w:tcPr>
            <w:tcW w:w="1549" w:type="dxa"/>
            <w:shd w:val="clear" w:color="000000"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Signed off by NE year 5 – Target achieved</w:t>
            </w:r>
          </w:p>
        </w:tc>
      </w:tr>
      <w:tr w:rsidR="00A655D4" w:rsidRPr="00A655D4" w:rsidTr="00A655D4">
        <w:trPr>
          <w:trHeight w:val="371"/>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Water Framework Directive</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Complete by end 2017/18</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as planned</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as planned</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signed off</w:t>
            </w:r>
          </w:p>
        </w:tc>
        <w:tc>
          <w:tcPr>
            <w:tcW w:w="993" w:type="dxa"/>
            <w:shd w:val="clear" w:color="auto" w:fill="FFFFFF"/>
            <w:noWrap/>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n/a</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n/a</w:t>
            </w:r>
          </w:p>
        </w:tc>
        <w:tc>
          <w:tcPr>
            <w:tcW w:w="1549" w:type="dxa"/>
            <w:shd w:val="clear" w:color="000000"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Signed off by EA year 3 – Target Achieved</w:t>
            </w:r>
          </w:p>
        </w:tc>
      </w:tr>
      <w:tr w:rsidR="00A655D4" w:rsidRPr="00A655D4" w:rsidTr="00A655D4">
        <w:trPr>
          <w:trHeight w:val="446"/>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Use of renewable energy</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10% of energy from renewables</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 95%</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 95%</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 95%</w:t>
            </w:r>
          </w:p>
        </w:tc>
        <w:tc>
          <w:tcPr>
            <w:tcW w:w="993"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≥95%</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 95%</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Target achieved in year one</w:t>
            </w:r>
          </w:p>
        </w:tc>
      </w:tr>
      <w:tr w:rsidR="00A655D4" w:rsidRPr="00A655D4" w:rsidTr="00A655D4">
        <w:trPr>
          <w:trHeight w:val="505"/>
        </w:trPr>
        <w:tc>
          <w:tcPr>
            <w:tcW w:w="1441" w:type="dxa"/>
            <w:shd w:val="clear" w:color="auto" w:fill="auto"/>
            <w:vAlign w:val="center"/>
            <w:hideMark/>
          </w:tcPr>
          <w:p w:rsidR="00A655D4" w:rsidRPr="00A655D4" w:rsidRDefault="00A655D4" w:rsidP="00CF2560">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RoSPA Accreditation</w:t>
            </w:r>
            <w:r w:rsidR="00B24CAC">
              <w:rPr>
                <w:rFonts w:eastAsia="Calibri" w:cs="Arial"/>
                <w:color w:val="000000"/>
                <w:sz w:val="16"/>
                <w:szCs w:val="16"/>
              </w:rPr>
              <w:t xml:space="preserve"> </w:t>
            </w:r>
            <w:r w:rsidR="00CF2560">
              <w:rPr>
                <w:rFonts w:eastAsia="Calibri" w:cs="Arial"/>
                <w:color w:val="000000"/>
                <w:sz w:val="16"/>
                <w:szCs w:val="16"/>
              </w:rPr>
              <w:t>*</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Achieve RoSPA accreditation</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Awarded</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Awarded</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Awarded</w:t>
            </w:r>
          </w:p>
        </w:tc>
        <w:tc>
          <w:tcPr>
            <w:tcW w:w="993"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Awarded</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Awarded</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Target achieved each year</w:t>
            </w:r>
          </w:p>
        </w:tc>
      </w:tr>
      <w:tr w:rsidR="00A655D4" w:rsidRPr="00A655D4" w:rsidTr="00A655D4">
        <w:trPr>
          <w:trHeight w:val="519"/>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Service Incentive Mechanism</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Upper quartile</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89.5</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87.7</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87.9</w:t>
            </w:r>
          </w:p>
        </w:tc>
        <w:tc>
          <w:tcPr>
            <w:tcW w:w="993" w:type="dxa"/>
            <w:shd w:val="clear" w:color="auto" w:fill="FFFFFF"/>
            <w:noWrap/>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88.2</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88.2</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Top quartile – Target achieved</w:t>
            </w:r>
          </w:p>
        </w:tc>
      </w:tr>
      <w:tr w:rsidR="00A655D4" w:rsidRPr="00A655D4" w:rsidTr="00A655D4">
        <w:trPr>
          <w:trHeight w:val="356"/>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Reducing per capita consumption</w:t>
            </w:r>
          </w:p>
        </w:tc>
        <w:tc>
          <w:tcPr>
            <w:tcW w:w="1371" w:type="dxa"/>
            <w:vAlign w:val="center"/>
          </w:tcPr>
          <w:p w:rsidR="00A655D4" w:rsidRPr="00A655D4" w:rsidRDefault="00A655D4" w:rsidP="00CF2560">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2019/20 target of 143.</w:t>
            </w:r>
            <w:r w:rsidR="00CF2560">
              <w:rPr>
                <w:rFonts w:eastAsia="Calibri" w:cs="Arial"/>
                <w:color w:val="000000"/>
                <w:sz w:val="16"/>
                <w:szCs w:val="16"/>
              </w:rPr>
              <w:t>9</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143.3</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145.1</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147.6</w:t>
            </w:r>
          </w:p>
        </w:tc>
        <w:tc>
          <w:tcPr>
            <w:tcW w:w="993"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144.6</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143.9</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target of 143.9 l/h/d achieved in year 5</w:t>
            </w:r>
          </w:p>
        </w:tc>
      </w:tr>
      <w:tr w:rsidR="00A655D4" w:rsidRPr="00A655D4" w:rsidTr="00A655D4">
        <w:trPr>
          <w:trHeight w:val="326"/>
        </w:trPr>
        <w:tc>
          <w:tcPr>
            <w:tcW w:w="1441" w:type="dxa"/>
            <w:shd w:val="clear" w:color="auto" w:fill="auto"/>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Survey of developers</w:t>
            </w:r>
          </w:p>
        </w:tc>
        <w:tc>
          <w:tcPr>
            <w:tcW w:w="1371" w:type="dxa"/>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70% satisfaction</w:t>
            </w:r>
          </w:p>
        </w:tc>
        <w:tc>
          <w:tcPr>
            <w:tcW w:w="869"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89%</w:t>
            </w:r>
          </w:p>
        </w:tc>
        <w:tc>
          <w:tcPr>
            <w:tcW w:w="992" w:type="dxa"/>
            <w:shd w:val="clear" w:color="auto" w:fill="FFFFFF"/>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85%</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91%</w:t>
            </w:r>
          </w:p>
        </w:tc>
        <w:tc>
          <w:tcPr>
            <w:tcW w:w="993" w:type="dxa"/>
            <w:shd w:val="clear" w:color="auto" w:fill="FFFFFF"/>
            <w:noWrap/>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80%</w:t>
            </w:r>
          </w:p>
        </w:tc>
        <w:tc>
          <w:tcPr>
            <w:tcW w:w="992" w:type="dxa"/>
            <w:shd w:val="clear" w:color="auto" w:fill="FFFFFF"/>
            <w:vAlign w:val="center"/>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80%</w:t>
            </w:r>
          </w:p>
        </w:tc>
        <w:tc>
          <w:tcPr>
            <w:tcW w:w="1549" w:type="dxa"/>
            <w:shd w:val="clear" w:color="auto" w:fill="auto"/>
            <w:noWrap/>
            <w:vAlign w:val="center"/>
            <w:hideMark/>
          </w:tcPr>
          <w:p w:rsidR="00A655D4" w:rsidRPr="00A655D4" w:rsidRDefault="00A655D4" w:rsidP="00A655D4">
            <w:pPr>
              <w:tabs>
                <w:tab w:val="clear" w:pos="851"/>
              </w:tabs>
              <w:spacing w:after="0"/>
              <w:ind w:left="0"/>
              <w:jc w:val="center"/>
              <w:rPr>
                <w:rFonts w:eastAsia="Calibri" w:cs="Arial"/>
                <w:color w:val="000000"/>
                <w:sz w:val="16"/>
                <w:szCs w:val="16"/>
              </w:rPr>
            </w:pPr>
            <w:r w:rsidRPr="00A655D4">
              <w:rPr>
                <w:rFonts w:eastAsia="Calibri" w:cs="Arial"/>
                <w:color w:val="000000"/>
                <w:sz w:val="16"/>
                <w:szCs w:val="16"/>
              </w:rPr>
              <w:t>Target achieved each year</w:t>
            </w:r>
          </w:p>
        </w:tc>
      </w:tr>
    </w:tbl>
    <w:p w:rsidR="00A655D4" w:rsidRPr="00CF2560" w:rsidRDefault="00CF2560" w:rsidP="00A655D4">
      <w:pPr>
        <w:rPr>
          <w:rFonts w:cs="Arial"/>
          <w:sz w:val="16"/>
          <w:szCs w:val="16"/>
        </w:rPr>
      </w:pPr>
      <w:r w:rsidRPr="00CF2560">
        <w:rPr>
          <w:rFonts w:cs="Arial"/>
          <w:sz w:val="16"/>
          <w:szCs w:val="16"/>
        </w:rPr>
        <w:t>* Calendar year</w:t>
      </w:r>
    </w:p>
    <w:p w:rsidR="00A655D4" w:rsidRDefault="00A655D4" w:rsidP="00A655D4">
      <w:r>
        <w:t>Section 12.1</w:t>
      </w:r>
      <w:r w:rsidR="00CF2560">
        <w:t>.1</w:t>
      </w:r>
      <w:r>
        <w:t xml:space="preserve"> has discussed the four measures, Mean Zonal Compliance, Water Quality Contacts, Interruptions to Supply and SIM, which result in financial rewards/penalties being applied for PR19.  </w:t>
      </w:r>
    </w:p>
    <w:p w:rsidR="00A655D4" w:rsidRDefault="00A655D4" w:rsidP="00A655D4">
      <w:r>
        <w:t>We expect to achieve all of our “project” based targets, the Biodiversity, Completion of the Water Framework Directive, use of Renewable Energy, RoSPA accreditation, TUBs and the satisfaction survey of developers.  We also expect to achieve of our target for bursts over the period, an important indicator of infrastructure asset health.</w:t>
      </w:r>
    </w:p>
    <w:p w:rsidR="00CF2560" w:rsidRDefault="00CF2560" w:rsidP="00A655D4">
      <w:r>
        <w:t>All KPIs are reported to the Board monthly.  Further, operational managers review performance weekly at our Ops Review.  This process of review and challenge will continue into AMP7.  We are also developing instantaneous dashboards to report on performance in real-time from our Enterprise Resource Planning (ERP) system.</w:t>
      </w:r>
    </w:p>
    <w:p w:rsidR="00344FCB" w:rsidRDefault="00344FCB" w:rsidP="00A655D4">
      <w:r>
        <w:t>For the two measures we have failed MZC and water quality contacts we have explained in 12.1.1 why these have occurred. Given the number of water quality samples taken, we believe we are always at risk of one failure having significant impact on the MZC measure.  We therefore welcome the development of CRI which allocates any failure proportional to the number of customers affected.  Further</w:t>
      </w:r>
      <w:r w:rsidR="003D6C26">
        <w:t>,</w:t>
      </w:r>
      <w:r>
        <w:t xml:space="preserve"> to Water Quality Contacts</w:t>
      </w:r>
      <w:r w:rsidR="003D6C26">
        <w:t xml:space="preserve">, </w:t>
      </w:r>
      <w:r>
        <w:t xml:space="preserve">we set our target for AMP6 on data which was not representative.  We remain the best performer on this measure </w:t>
      </w:r>
      <w:r w:rsidR="003D6C26">
        <w:t>b</w:t>
      </w:r>
      <w:r>
        <w:t>ut propose to replace it with water quality contacts relating to the colour of the water as this is more directly related to the health of our assets.</w:t>
      </w:r>
    </w:p>
    <w:p w:rsidR="00A655D4" w:rsidRDefault="00A655D4" w:rsidP="00A655D4">
      <w:r>
        <w:t xml:space="preserve">Finally, we highlight two </w:t>
      </w:r>
      <w:r w:rsidR="00344FCB">
        <w:t>P</w:t>
      </w:r>
      <w:r>
        <w:t xml:space="preserve">erformance </w:t>
      </w:r>
      <w:r w:rsidR="003D6C26">
        <w:t>Commitments, which</w:t>
      </w:r>
      <w:r>
        <w:t xml:space="preserve"> are very much the focus of this plan.  The management of leakage and driving towards a </w:t>
      </w:r>
      <w:r w:rsidR="00584B77">
        <w:t>PCC</w:t>
      </w:r>
      <w:r>
        <w:t xml:space="preserve"> target for 2019/20 have been of significant challenge for the business.</w:t>
      </w:r>
    </w:p>
    <w:p w:rsidR="00A655D4" w:rsidRDefault="00A655D4" w:rsidP="00A655D4">
      <w:pPr>
        <w:pStyle w:val="Heading3"/>
      </w:pPr>
      <w:bookmarkStart w:id="283" w:name="_Toc523651358"/>
      <w:r>
        <w:t>Leakage</w:t>
      </w:r>
      <w:bookmarkEnd w:id="283"/>
      <w:r>
        <w:t xml:space="preserve"> </w:t>
      </w:r>
    </w:p>
    <w:p w:rsidR="00A655D4" w:rsidRPr="002A380F" w:rsidRDefault="00A655D4" w:rsidP="00A655D4">
      <w:r>
        <w:t xml:space="preserve">In 2017/18 in particular we saw leakage consistently above our target of 29.9 Ml/d.  </w:t>
      </w:r>
      <w:r w:rsidRPr="002A380F">
        <w:t xml:space="preserve">Leakage began </w:t>
      </w:r>
      <w:r>
        <w:t>the year above target</w:t>
      </w:r>
      <w:r w:rsidRPr="002A380F">
        <w:t xml:space="preserve"> at 30.9 Ml/d. This was as a result of high winter leakage in 2016/17 that the Company was still recovering from</w:t>
      </w:r>
      <w:r>
        <w:t xml:space="preserve">.  </w:t>
      </w:r>
    </w:p>
    <w:p w:rsidR="00A655D4" w:rsidRPr="002A380F" w:rsidRDefault="00A655D4" w:rsidP="00A655D4">
      <w:r w:rsidRPr="002A380F">
        <w:t>Despite additional efforts in both leak detection and repair, leakage remained steady during the Autumn, only reaching a low of 30.3 Ml/d compared to a target of 28.3 Ml/d. Whilst we have typically seen leakage reduce during the Autumn, other water companies also saw the same flat trend during 2017/18 as a result of dry ground conditions leading to ground movement and subsequent bursts.</w:t>
      </w:r>
    </w:p>
    <w:p w:rsidR="00A655D4" w:rsidRPr="002A380F" w:rsidRDefault="00A655D4" w:rsidP="00A655D4">
      <w:r>
        <w:t>E</w:t>
      </w:r>
      <w:r w:rsidRPr="002A380F">
        <w:t xml:space="preserve">xpenditure was increased from an AMP5 level of £2.7m to £5.4m in order to improve performance. </w:t>
      </w:r>
    </w:p>
    <w:p w:rsidR="00A655D4" w:rsidRPr="002A380F" w:rsidRDefault="00A655D4" w:rsidP="00A655D4">
      <w:r w:rsidRPr="002A380F">
        <w:t xml:space="preserve">We then experienced four separate Winter Events, compared to an average of </w:t>
      </w:r>
      <w:r>
        <w:t xml:space="preserve">two.  </w:t>
      </w:r>
      <w:r w:rsidRPr="002A380F">
        <w:t xml:space="preserve">A </w:t>
      </w:r>
      <w:r w:rsidR="00545AE9">
        <w:t>“</w:t>
      </w:r>
      <w:r w:rsidRPr="002A380F">
        <w:t>Winter Event</w:t>
      </w:r>
      <w:r w:rsidR="00545AE9">
        <w:t>”</w:t>
      </w:r>
      <w:r w:rsidRPr="002A380F">
        <w:t xml:space="preserve"> is typically caused by an extended period of cold weather and/or a quick thaw. In particular the ‘Beast from the East’ had a significant impact. Leakage rose by 7</w:t>
      </w:r>
      <w:r>
        <w:t>.1</w:t>
      </w:r>
      <w:r w:rsidRPr="002A380F">
        <w:t xml:space="preserve"> Ml/d after the thaw, with bursts roughly 3</w:t>
      </w:r>
      <w:r>
        <w:t xml:space="preserve"> times higher than </w:t>
      </w:r>
      <w:r w:rsidRPr="002A380F">
        <w:t>the average for March.</w:t>
      </w:r>
    </w:p>
    <w:p w:rsidR="00A655D4" w:rsidRDefault="00A655D4" w:rsidP="00A655D4">
      <w:r w:rsidRPr="002A380F">
        <w:t xml:space="preserve">The high starting leakage level, combined with the challenging weather and ground conditions meant that we missed our leakage target for 2017/18. </w:t>
      </w:r>
    </w:p>
    <w:p w:rsidR="00A655D4" w:rsidRDefault="00A655D4" w:rsidP="00A655D4">
      <w:r>
        <w:t xml:space="preserve">We have plans in place to recover this performance and a longer-term strategy, which is documented in Chapter </w:t>
      </w:r>
      <w:r w:rsidRPr="00A67B4B">
        <w:t>3.8</w:t>
      </w:r>
      <w:r>
        <w:t>.</w:t>
      </w:r>
    </w:p>
    <w:p w:rsidR="00A655D4" w:rsidRDefault="00A655D4" w:rsidP="00A655D4">
      <w:pPr>
        <w:pStyle w:val="Heading3"/>
      </w:pPr>
      <w:bookmarkStart w:id="284" w:name="_Toc523651359"/>
      <w:r>
        <w:t>Per Capita Consumption</w:t>
      </w:r>
      <w:bookmarkEnd w:id="284"/>
    </w:p>
    <w:p w:rsidR="00A655D4" w:rsidRDefault="00A655D4" w:rsidP="00A655D4">
      <w:r>
        <w:t>Our plans to reduce per capita consumption in this AMP period were predicated on a metering programme which we have failed to deliver.  Our WRMP14 assumed 5,000 unmeasured customers would switch to a meter each year.  The average over the first three years is 3,000.  As a consequence our ability to reduce per capita consumption is hampered.</w:t>
      </w:r>
    </w:p>
    <w:p w:rsidR="00A655D4" w:rsidRDefault="00A655D4" w:rsidP="00A655D4">
      <w:r>
        <w:t xml:space="preserve">We have undertaken a number of different initiatives to achieve this target, with limited success.  Our proposed “not for revenue” metering strategy is our response to the issues customers </w:t>
      </w:r>
      <w:r w:rsidR="00584B77">
        <w:t xml:space="preserve">raise </w:t>
      </w:r>
      <w:r>
        <w:t>when we try to understand why they are not keen to switch to a meter.</w:t>
      </w:r>
    </w:p>
    <w:p w:rsidR="00A655D4" w:rsidRDefault="00A655D4" w:rsidP="00A655D4">
      <w:r>
        <w:t xml:space="preserve">We discuss elsewhere in this </w:t>
      </w:r>
      <w:r w:rsidR="00584B77">
        <w:t>P</w:t>
      </w:r>
      <w:r>
        <w:t xml:space="preserve">lan our desire for </w:t>
      </w:r>
      <w:r w:rsidR="00E76864">
        <w:t>DEFRA</w:t>
      </w:r>
      <w:r>
        <w:t xml:space="preserve"> to consider the unique situation we find ourselves in, without the ability to compulsory meter all customers given our water resource position albeit in a resource stretched region.  </w:t>
      </w:r>
    </w:p>
    <w:p w:rsidR="00A655D4" w:rsidRDefault="00A655D4" w:rsidP="00A655D4">
      <w:r>
        <w:t xml:space="preserve">We have plans in place to improve this performance and a longer-term strategy, which is documented in Chapter </w:t>
      </w:r>
      <w:r w:rsidRPr="00A67B4B">
        <w:t>3.7</w:t>
      </w:r>
    </w:p>
    <w:p w:rsidR="00A655D4" w:rsidRDefault="00A655D4" w:rsidP="00A655D4">
      <w:pPr>
        <w:pStyle w:val="Heading3"/>
      </w:pPr>
      <w:bookmarkStart w:id="285" w:name="_Toc523651360"/>
      <w:r>
        <w:t>Comparative Performance</w:t>
      </w:r>
      <w:bookmarkEnd w:id="285"/>
    </w:p>
    <w:p w:rsidR="00A655D4" w:rsidRDefault="00A655D4" w:rsidP="00A655D4">
      <w:r>
        <w:t>We have also reviewed our performance against all other 17 companies in the industry, using the Discover Water website and the Ofwat / WaterUK Shadow Reporting.  The table below provides a comparison of our p</w:t>
      </w:r>
      <w:r w:rsidR="00545AE9">
        <w:t>erformance against the leading c</w:t>
      </w:r>
      <w:r>
        <w:t>ompany in the industry for 2017/18 for the new reporting requirements where appropriate.</w:t>
      </w:r>
    </w:p>
    <w:p w:rsidR="00A655D4" w:rsidRPr="00360FA4" w:rsidRDefault="00A655D4" w:rsidP="00A655D4">
      <w:pPr>
        <w:rPr>
          <w:rFonts w:cs="Arial"/>
          <w:b/>
          <w:sz w:val="22"/>
          <w:szCs w:val="22"/>
        </w:rPr>
      </w:pPr>
      <w:r w:rsidRPr="00360FA4">
        <w:rPr>
          <w:rFonts w:cs="Arial"/>
          <w:b/>
          <w:sz w:val="22"/>
          <w:szCs w:val="22"/>
        </w:rPr>
        <w:t>2017/18 Comparative performance</w:t>
      </w:r>
    </w:p>
    <w:tbl>
      <w:tblPr>
        <w:tblStyle w:val="TableGrid70"/>
        <w:tblW w:w="8823" w:type="dxa"/>
        <w:tblInd w:w="811" w:type="dxa"/>
        <w:tblLayout w:type="fixed"/>
        <w:tblLook w:val="04A0" w:firstRow="1" w:lastRow="0" w:firstColumn="1" w:lastColumn="0" w:noHBand="0" w:noVBand="1"/>
      </w:tblPr>
      <w:tblGrid>
        <w:gridCol w:w="1311"/>
        <w:gridCol w:w="1984"/>
        <w:gridCol w:w="1418"/>
        <w:gridCol w:w="1134"/>
        <w:gridCol w:w="1559"/>
        <w:gridCol w:w="1417"/>
      </w:tblGrid>
      <w:tr w:rsidR="00016358" w:rsidRPr="001231C6" w:rsidTr="001231C6">
        <w:tc>
          <w:tcPr>
            <w:tcW w:w="1311" w:type="dxa"/>
            <w:shd w:val="clear" w:color="auto" w:fill="2E74B5" w:themeFill="accent1" w:themeFillShade="BF"/>
          </w:tcPr>
          <w:p w:rsidR="00A655D4" w:rsidRPr="001231C6" w:rsidRDefault="001231C6" w:rsidP="00A655D4">
            <w:pPr>
              <w:tabs>
                <w:tab w:val="clear" w:pos="851"/>
              </w:tabs>
              <w:spacing w:after="0"/>
              <w:ind w:left="0"/>
              <w:jc w:val="left"/>
              <w:rPr>
                <w:rFonts w:cs="Arial"/>
                <w:b/>
                <w:color w:val="FFFFFF" w:themeColor="background1"/>
                <w:sz w:val="16"/>
                <w:szCs w:val="16"/>
              </w:rPr>
            </w:pPr>
            <w:r>
              <w:rPr>
                <w:rFonts w:cs="Arial"/>
                <w:b/>
                <w:color w:val="FFFFFF" w:themeColor="background1"/>
                <w:sz w:val="16"/>
                <w:szCs w:val="16"/>
              </w:rPr>
              <w:t>Measure</w:t>
            </w:r>
          </w:p>
        </w:tc>
        <w:tc>
          <w:tcPr>
            <w:tcW w:w="1984" w:type="dxa"/>
            <w:shd w:val="clear" w:color="auto" w:fill="2E74B5" w:themeFill="accent1" w:themeFillShade="BF"/>
          </w:tcPr>
          <w:p w:rsidR="00A655D4" w:rsidRPr="001231C6" w:rsidRDefault="00A655D4" w:rsidP="00A655D4">
            <w:pPr>
              <w:tabs>
                <w:tab w:val="clear" w:pos="851"/>
              </w:tabs>
              <w:spacing w:after="0"/>
              <w:ind w:left="0"/>
              <w:jc w:val="left"/>
              <w:rPr>
                <w:rFonts w:cs="Arial"/>
                <w:b/>
                <w:color w:val="FFFFFF" w:themeColor="background1"/>
                <w:sz w:val="16"/>
                <w:szCs w:val="16"/>
              </w:rPr>
            </w:pPr>
          </w:p>
        </w:tc>
        <w:tc>
          <w:tcPr>
            <w:tcW w:w="1418" w:type="dxa"/>
            <w:shd w:val="clear" w:color="auto" w:fill="2E74B5" w:themeFill="accent1" w:themeFillShade="BF"/>
          </w:tcPr>
          <w:p w:rsidR="00A655D4" w:rsidRPr="001231C6" w:rsidRDefault="00A655D4" w:rsidP="00A655D4">
            <w:pPr>
              <w:tabs>
                <w:tab w:val="clear" w:pos="851"/>
              </w:tabs>
              <w:spacing w:after="0"/>
              <w:ind w:left="0"/>
              <w:jc w:val="center"/>
              <w:rPr>
                <w:rFonts w:cs="Arial"/>
                <w:b/>
                <w:color w:val="FFFFFF" w:themeColor="background1"/>
                <w:sz w:val="16"/>
                <w:szCs w:val="16"/>
              </w:rPr>
            </w:pPr>
            <w:r w:rsidRPr="001231C6">
              <w:rPr>
                <w:rFonts w:cs="Arial"/>
                <w:b/>
                <w:color w:val="FFFFFF" w:themeColor="background1"/>
                <w:sz w:val="16"/>
                <w:szCs w:val="16"/>
              </w:rPr>
              <w:t>Portsmouth</w:t>
            </w:r>
          </w:p>
        </w:tc>
        <w:tc>
          <w:tcPr>
            <w:tcW w:w="1134" w:type="dxa"/>
            <w:shd w:val="clear" w:color="auto" w:fill="2E74B5" w:themeFill="accent1" w:themeFillShade="BF"/>
          </w:tcPr>
          <w:p w:rsidR="00A655D4" w:rsidRPr="001231C6" w:rsidRDefault="00A655D4" w:rsidP="00A655D4">
            <w:pPr>
              <w:tabs>
                <w:tab w:val="clear" w:pos="851"/>
              </w:tabs>
              <w:spacing w:after="0"/>
              <w:ind w:left="0"/>
              <w:jc w:val="center"/>
              <w:rPr>
                <w:rFonts w:cs="Arial"/>
                <w:b/>
                <w:color w:val="FFFFFF" w:themeColor="background1"/>
                <w:sz w:val="16"/>
                <w:szCs w:val="16"/>
              </w:rPr>
            </w:pPr>
            <w:r w:rsidRPr="001231C6">
              <w:rPr>
                <w:rFonts w:cs="Arial"/>
                <w:b/>
                <w:color w:val="FFFFFF" w:themeColor="background1"/>
                <w:sz w:val="16"/>
                <w:szCs w:val="16"/>
              </w:rPr>
              <w:t>Ranking</w:t>
            </w:r>
          </w:p>
        </w:tc>
        <w:tc>
          <w:tcPr>
            <w:tcW w:w="1559" w:type="dxa"/>
            <w:shd w:val="clear" w:color="auto" w:fill="2E74B5" w:themeFill="accent1" w:themeFillShade="BF"/>
          </w:tcPr>
          <w:p w:rsidR="00A655D4" w:rsidRPr="001231C6" w:rsidRDefault="00A655D4" w:rsidP="00A655D4">
            <w:pPr>
              <w:tabs>
                <w:tab w:val="clear" w:pos="851"/>
              </w:tabs>
              <w:spacing w:after="0"/>
              <w:ind w:left="0"/>
              <w:jc w:val="center"/>
              <w:rPr>
                <w:rFonts w:cs="Arial"/>
                <w:b/>
                <w:color w:val="FFFFFF" w:themeColor="background1"/>
                <w:sz w:val="16"/>
                <w:szCs w:val="16"/>
              </w:rPr>
            </w:pPr>
            <w:r w:rsidRPr="001231C6">
              <w:rPr>
                <w:rFonts w:cs="Arial"/>
                <w:b/>
                <w:color w:val="FFFFFF" w:themeColor="background1"/>
                <w:sz w:val="16"/>
                <w:szCs w:val="16"/>
              </w:rPr>
              <w:t>Industry leader</w:t>
            </w:r>
          </w:p>
        </w:tc>
        <w:tc>
          <w:tcPr>
            <w:tcW w:w="1417" w:type="dxa"/>
            <w:shd w:val="clear" w:color="auto" w:fill="2E74B5" w:themeFill="accent1" w:themeFillShade="BF"/>
          </w:tcPr>
          <w:p w:rsidR="00A655D4" w:rsidRPr="001231C6" w:rsidRDefault="00A655D4" w:rsidP="00A655D4">
            <w:pPr>
              <w:tabs>
                <w:tab w:val="clear" w:pos="851"/>
              </w:tabs>
              <w:spacing w:after="0"/>
              <w:ind w:left="0"/>
              <w:jc w:val="center"/>
              <w:rPr>
                <w:rFonts w:cs="Arial"/>
                <w:b/>
                <w:color w:val="FFFFFF" w:themeColor="background1"/>
                <w:sz w:val="16"/>
                <w:szCs w:val="16"/>
              </w:rPr>
            </w:pPr>
            <w:r w:rsidRPr="001231C6">
              <w:rPr>
                <w:rFonts w:cs="Arial"/>
                <w:b/>
                <w:color w:val="FFFFFF" w:themeColor="background1"/>
                <w:sz w:val="16"/>
                <w:szCs w:val="16"/>
              </w:rPr>
              <w:t>Performance</w:t>
            </w:r>
          </w:p>
        </w:tc>
      </w:tr>
      <w:tr w:rsidR="00A655D4" w:rsidRPr="001231C6" w:rsidTr="001231C6">
        <w:tc>
          <w:tcPr>
            <w:tcW w:w="1311"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Interruptions</w:t>
            </w:r>
          </w:p>
        </w:tc>
        <w:tc>
          <w:tcPr>
            <w:tcW w:w="1984"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mins:secs / prop</w:t>
            </w:r>
          </w:p>
        </w:tc>
        <w:tc>
          <w:tcPr>
            <w:tcW w:w="1418"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4 mins 17 secs</w:t>
            </w:r>
          </w:p>
        </w:tc>
        <w:tc>
          <w:tcPr>
            <w:tcW w:w="1134"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2</w:t>
            </w:r>
          </w:p>
        </w:tc>
        <w:tc>
          <w:tcPr>
            <w:tcW w:w="1559"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Bournemouth</w:t>
            </w:r>
          </w:p>
        </w:tc>
        <w:tc>
          <w:tcPr>
            <w:tcW w:w="1417"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41 secs</w:t>
            </w:r>
          </w:p>
        </w:tc>
      </w:tr>
      <w:tr w:rsidR="00A655D4" w:rsidRPr="001231C6" w:rsidTr="001231C6">
        <w:tc>
          <w:tcPr>
            <w:tcW w:w="1311"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Leakage</w:t>
            </w:r>
          </w:p>
        </w:tc>
        <w:tc>
          <w:tcPr>
            <w:tcW w:w="1984"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l/p/d</w:t>
            </w:r>
          </w:p>
        </w:tc>
        <w:tc>
          <w:tcPr>
            <w:tcW w:w="1418"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115</w:t>
            </w:r>
          </w:p>
        </w:tc>
        <w:tc>
          <w:tcPr>
            <w:tcW w:w="1134"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9</w:t>
            </w:r>
          </w:p>
        </w:tc>
        <w:tc>
          <w:tcPr>
            <w:tcW w:w="1559"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SES</w:t>
            </w:r>
          </w:p>
        </w:tc>
        <w:tc>
          <w:tcPr>
            <w:tcW w:w="1417"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80</w:t>
            </w:r>
          </w:p>
        </w:tc>
      </w:tr>
      <w:tr w:rsidR="00A655D4" w:rsidRPr="001231C6" w:rsidTr="001231C6">
        <w:tc>
          <w:tcPr>
            <w:tcW w:w="1311"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PCC</w:t>
            </w:r>
          </w:p>
        </w:tc>
        <w:tc>
          <w:tcPr>
            <w:tcW w:w="1984"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l/h/d</w:t>
            </w:r>
          </w:p>
        </w:tc>
        <w:tc>
          <w:tcPr>
            <w:tcW w:w="1418"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144</w:t>
            </w:r>
          </w:p>
        </w:tc>
        <w:tc>
          <w:tcPr>
            <w:tcW w:w="1134"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10</w:t>
            </w:r>
          </w:p>
        </w:tc>
        <w:tc>
          <w:tcPr>
            <w:tcW w:w="1559"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Southern</w:t>
            </w:r>
          </w:p>
        </w:tc>
        <w:tc>
          <w:tcPr>
            <w:tcW w:w="1417"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126</w:t>
            </w:r>
          </w:p>
        </w:tc>
      </w:tr>
      <w:tr w:rsidR="00A655D4" w:rsidRPr="001231C6" w:rsidTr="001231C6">
        <w:tc>
          <w:tcPr>
            <w:tcW w:w="1311"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Bursts</w:t>
            </w:r>
          </w:p>
        </w:tc>
        <w:tc>
          <w:tcPr>
            <w:tcW w:w="1984"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No. per 1,000km</w:t>
            </w:r>
          </w:p>
        </w:tc>
        <w:tc>
          <w:tcPr>
            <w:tcW w:w="1418"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70</w:t>
            </w:r>
          </w:p>
        </w:tc>
        <w:tc>
          <w:tcPr>
            <w:tcW w:w="1134"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2</w:t>
            </w:r>
          </w:p>
        </w:tc>
        <w:tc>
          <w:tcPr>
            <w:tcW w:w="1559"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SES</w:t>
            </w:r>
          </w:p>
        </w:tc>
        <w:tc>
          <w:tcPr>
            <w:tcW w:w="1417"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62</w:t>
            </w:r>
          </w:p>
        </w:tc>
      </w:tr>
      <w:tr w:rsidR="00A655D4" w:rsidRPr="001231C6" w:rsidTr="001231C6">
        <w:tc>
          <w:tcPr>
            <w:tcW w:w="1311"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SIM</w:t>
            </w:r>
          </w:p>
        </w:tc>
        <w:tc>
          <w:tcPr>
            <w:tcW w:w="1984"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Score</w:t>
            </w:r>
          </w:p>
        </w:tc>
        <w:tc>
          <w:tcPr>
            <w:tcW w:w="1418"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87.9</w:t>
            </w:r>
          </w:p>
        </w:tc>
        <w:tc>
          <w:tcPr>
            <w:tcW w:w="1134"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2</w:t>
            </w:r>
          </w:p>
        </w:tc>
        <w:tc>
          <w:tcPr>
            <w:tcW w:w="1559"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Anglian</w:t>
            </w:r>
          </w:p>
        </w:tc>
        <w:tc>
          <w:tcPr>
            <w:tcW w:w="1417"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88.2</w:t>
            </w:r>
          </w:p>
        </w:tc>
      </w:tr>
      <w:tr w:rsidR="00A655D4" w:rsidRPr="001231C6" w:rsidTr="001231C6">
        <w:tc>
          <w:tcPr>
            <w:tcW w:w="1311"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Water quality contacts</w:t>
            </w:r>
          </w:p>
        </w:tc>
        <w:tc>
          <w:tcPr>
            <w:tcW w:w="1984" w:type="dxa"/>
          </w:tcPr>
          <w:p w:rsidR="00A655D4" w:rsidRPr="001231C6" w:rsidRDefault="00A655D4" w:rsidP="00A655D4">
            <w:pPr>
              <w:tabs>
                <w:tab w:val="clear" w:pos="851"/>
              </w:tabs>
              <w:spacing w:after="0"/>
              <w:ind w:left="0"/>
              <w:jc w:val="left"/>
              <w:rPr>
                <w:rFonts w:cs="Arial"/>
                <w:sz w:val="16"/>
                <w:szCs w:val="16"/>
              </w:rPr>
            </w:pPr>
            <w:r w:rsidRPr="001231C6">
              <w:rPr>
                <w:rFonts w:cs="Arial"/>
                <w:sz w:val="16"/>
                <w:szCs w:val="16"/>
              </w:rPr>
              <w:t>Contacts per 1,000 pop</w:t>
            </w:r>
          </w:p>
        </w:tc>
        <w:tc>
          <w:tcPr>
            <w:tcW w:w="1418"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0.549</w:t>
            </w:r>
          </w:p>
        </w:tc>
        <w:tc>
          <w:tcPr>
            <w:tcW w:w="1134"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1</w:t>
            </w:r>
          </w:p>
        </w:tc>
        <w:tc>
          <w:tcPr>
            <w:tcW w:w="1559"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Portsmouth</w:t>
            </w:r>
          </w:p>
        </w:tc>
        <w:tc>
          <w:tcPr>
            <w:tcW w:w="1417" w:type="dxa"/>
          </w:tcPr>
          <w:p w:rsidR="00A655D4" w:rsidRPr="001231C6" w:rsidRDefault="00A655D4" w:rsidP="00A655D4">
            <w:pPr>
              <w:tabs>
                <w:tab w:val="clear" w:pos="851"/>
              </w:tabs>
              <w:spacing w:after="0"/>
              <w:ind w:left="0"/>
              <w:jc w:val="center"/>
              <w:rPr>
                <w:rFonts w:cs="Arial"/>
                <w:sz w:val="16"/>
                <w:szCs w:val="16"/>
              </w:rPr>
            </w:pPr>
            <w:r w:rsidRPr="001231C6">
              <w:rPr>
                <w:rFonts w:cs="Arial"/>
                <w:sz w:val="16"/>
                <w:szCs w:val="16"/>
              </w:rPr>
              <w:t>0.549</w:t>
            </w:r>
          </w:p>
        </w:tc>
      </w:tr>
    </w:tbl>
    <w:p w:rsidR="00A655D4" w:rsidRDefault="00A655D4" w:rsidP="00A655D4">
      <w:pPr>
        <w:rPr>
          <w:rFonts w:cs="Arial"/>
          <w:sz w:val="22"/>
          <w:szCs w:val="22"/>
        </w:rPr>
      </w:pPr>
    </w:p>
    <w:p w:rsidR="00A655D4" w:rsidRDefault="00A655D4" w:rsidP="00A655D4">
      <w:r>
        <w:t>We note our performance is strong and we are therefore well placed to improve our performance in AMP7 to take the industry levels of service forward</w:t>
      </w:r>
      <w:r w:rsidR="00CF2560">
        <w:t xml:space="preserve"> in many areas</w:t>
      </w:r>
      <w:r>
        <w:t>.  This data is also important in formulating our ODIs</w:t>
      </w:r>
      <w:r w:rsidR="00CF2560">
        <w:t xml:space="preserve"> for AMP7</w:t>
      </w:r>
      <w:r>
        <w:t>.</w:t>
      </w:r>
    </w:p>
    <w:p w:rsidR="00344FCB" w:rsidRDefault="00344FCB" w:rsidP="00A655D4">
      <w:r>
        <w:t>Our targets for AMP7 are discussed in Chapter 3.  In many cases we believe we will remain industry leading, or at least upper quartile.  We have proposed a significant degree of stretch in all ODIs, particularly those which Ofwat have mandated as common ODIs.</w:t>
      </w:r>
    </w:p>
    <w:p w:rsidR="00A655D4" w:rsidRPr="009555B4" w:rsidRDefault="00A655D4" w:rsidP="00A655D4">
      <w:pPr>
        <w:pStyle w:val="Heading3"/>
      </w:pPr>
      <w:bookmarkStart w:id="286" w:name="_Toc523651361"/>
      <w:r w:rsidRPr="009555B4">
        <w:t>Capital Expenditure Programme AMP6</w:t>
      </w:r>
      <w:bookmarkEnd w:id="286"/>
    </w:p>
    <w:p w:rsidR="00A655D4" w:rsidRPr="009555B4" w:rsidRDefault="00A655D4" w:rsidP="00A655D4">
      <w:r w:rsidRPr="009555B4">
        <w:t xml:space="preserve">In </w:t>
      </w:r>
      <w:r w:rsidR="00AE1348">
        <w:t xml:space="preserve">Chapter </w:t>
      </w:r>
      <w:r>
        <w:t xml:space="preserve">9.1.2 </w:t>
      </w:r>
      <w:r w:rsidRPr="009555B4">
        <w:t xml:space="preserve">we describe how we have approached delivery of our capital programme in AMP6.  </w:t>
      </w:r>
      <w:r>
        <w:t>O</w:t>
      </w:r>
      <w:r w:rsidRPr="009555B4">
        <w:t xml:space="preserve">ur approach </w:t>
      </w:r>
      <w:r>
        <w:t xml:space="preserve">has been </w:t>
      </w:r>
      <w:r w:rsidRPr="009555B4">
        <w:t xml:space="preserve">innovative and </w:t>
      </w:r>
      <w:r>
        <w:t xml:space="preserve">consequently </w:t>
      </w:r>
      <w:r w:rsidRPr="009555B4">
        <w:t xml:space="preserve">delivered benefits to customers.  </w:t>
      </w:r>
    </w:p>
    <w:p w:rsidR="00A655D4" w:rsidRDefault="00A655D4" w:rsidP="00A655D4">
      <w:r w:rsidRPr="009555B4">
        <w:t xml:space="preserve">Throughout AMP6 and during the preparation of the Business Plan, the Company has strived to introduce greater efficiencies and innovative approaches that have enhanced resilience and improved the service delivered to customers, whilst being cost effective and enhancing the environment. </w:t>
      </w:r>
    </w:p>
    <w:p w:rsidR="00A655D4" w:rsidRPr="009555B4" w:rsidRDefault="00A655D4" w:rsidP="00A655D4">
      <w:r w:rsidRPr="009555B4">
        <w:t xml:space="preserve">In preparation for delivering AMP6 capital schemes, the Company reviewed how it proposed to award the £64m capital programme.  An award winning, 2017 IACCM award for public sector innovation and reform, new contracting approach was developed which delivered a step change in efficiency for the Infrastructure and Non-Infrastructure programme of works. </w:t>
      </w:r>
    </w:p>
    <w:p w:rsidR="00A655D4" w:rsidRDefault="00A655D4" w:rsidP="00A655D4">
      <w:r w:rsidRPr="009555B4">
        <w:t xml:space="preserve">This strategy has taken a holistic view of how value can been delivered through strategic partnerships with contracting companies and the supply chain, supported by clear, open and fair contracts which are linked to the company’s business plan commitments and </w:t>
      </w:r>
      <w:r w:rsidR="00240A2B">
        <w:t>ODIs</w:t>
      </w:r>
      <w:r w:rsidRPr="009555B4">
        <w:t>, ensuring that all parties’ objectives are aligned. The new approach focussed on three key areas: -</w:t>
      </w:r>
    </w:p>
    <w:p w:rsidR="00A655D4" w:rsidRPr="00585FB3" w:rsidRDefault="00A655D4" w:rsidP="00A655D4">
      <w:pPr>
        <w:pStyle w:val="Bullets"/>
      </w:pPr>
      <w:r w:rsidRPr="00585FB3">
        <w:t>Infrastructure Renewals</w:t>
      </w:r>
    </w:p>
    <w:p w:rsidR="00A655D4" w:rsidRPr="00585FB3" w:rsidRDefault="00A655D4" w:rsidP="00A655D4">
      <w:pPr>
        <w:pStyle w:val="Bullets"/>
      </w:pPr>
      <w:r w:rsidRPr="00585FB3">
        <w:t>Large non-infrastructure Schemes exceeding £1.0m value</w:t>
      </w:r>
    </w:p>
    <w:p w:rsidR="00A655D4" w:rsidRDefault="00A655D4" w:rsidP="00A655D4">
      <w:pPr>
        <w:pStyle w:val="Bullets"/>
      </w:pPr>
      <w:r w:rsidRPr="00585FB3">
        <w:t>Small non-infrastructure schemes grouped into a framework valued at £7.5m</w:t>
      </w:r>
    </w:p>
    <w:p w:rsidR="00A655D4" w:rsidRPr="00585FB3" w:rsidRDefault="00A655D4" w:rsidP="00A655D4">
      <w:pPr>
        <w:pStyle w:val="Bullets"/>
        <w:numPr>
          <w:ilvl w:val="0"/>
          <w:numId w:val="0"/>
        </w:numPr>
        <w:ind w:left="1494"/>
      </w:pPr>
    </w:p>
    <w:p w:rsidR="00A655D4" w:rsidRPr="009555B4" w:rsidRDefault="00A655D4" w:rsidP="00A655D4">
      <w:pPr>
        <w:rPr>
          <w:rFonts w:cs="Arial"/>
          <w:b/>
          <w:color w:val="000000"/>
          <w:sz w:val="22"/>
          <w:szCs w:val="22"/>
        </w:rPr>
      </w:pPr>
      <w:r w:rsidRPr="009555B4">
        <w:rPr>
          <w:rFonts w:cs="Arial"/>
          <w:b/>
          <w:color w:val="000000"/>
          <w:sz w:val="22"/>
          <w:szCs w:val="22"/>
        </w:rPr>
        <w:t>Reinvestment of savings for future efficiency</w:t>
      </w:r>
    </w:p>
    <w:p w:rsidR="00A655D4" w:rsidRPr="009555B4" w:rsidRDefault="00A655D4" w:rsidP="00A655D4">
      <w:r w:rsidRPr="009555B4">
        <w:t xml:space="preserve">We opted to reinvest the savings provided by the new contracting approach in </w:t>
      </w:r>
      <w:r w:rsidR="001231C6" w:rsidRPr="009555B4">
        <w:t>schemes, which</w:t>
      </w:r>
      <w:r w:rsidRPr="009555B4">
        <w:t xml:space="preserve"> will provide future efficiencies in terms of reducing </w:t>
      </w:r>
      <w:r w:rsidR="00964B14">
        <w:t>Opex</w:t>
      </w:r>
      <w:r w:rsidRPr="009555B4">
        <w:t xml:space="preserve"> costs.  </w:t>
      </w:r>
      <w:r>
        <w:t xml:space="preserve">Again this is discussed in </w:t>
      </w:r>
      <w:r w:rsidR="00AE1348">
        <w:t xml:space="preserve">Chapter </w:t>
      </w:r>
      <w:r>
        <w:t xml:space="preserve">9.1.2 </w:t>
      </w:r>
    </w:p>
    <w:p w:rsidR="00A655D4" w:rsidRPr="009555B4" w:rsidRDefault="00A655D4" w:rsidP="00A655D4">
      <w:pPr>
        <w:pStyle w:val="Heading3"/>
      </w:pPr>
      <w:bookmarkStart w:id="287" w:name="_Toc523651362"/>
      <w:r w:rsidRPr="009555B4">
        <w:t>Management of Operating Costs</w:t>
      </w:r>
      <w:bookmarkEnd w:id="287"/>
    </w:p>
    <w:p w:rsidR="00A655D4" w:rsidRPr="009555B4" w:rsidRDefault="00A655D4" w:rsidP="00A655D4">
      <w:r w:rsidRPr="009555B4">
        <w:t>The Company have a rigorous annual budgeting process, which looks at costs from the bottom up, and challenges managers to justify all costs, irrespective of whether they are “in the Final Determination” or not.</w:t>
      </w:r>
      <w:r>
        <w:t xml:space="preserve">  A</w:t>
      </w:r>
      <w:r w:rsidRPr="009555B4">
        <w:t>ll managers are given an efficiency challenge each year, and they are required to look for savings in their departments on an ongoing basis.</w:t>
      </w:r>
    </w:p>
    <w:p w:rsidR="00A655D4" w:rsidRPr="009555B4" w:rsidRDefault="00A655D4" w:rsidP="00A655D4">
      <w:r w:rsidRPr="009555B4">
        <w:t xml:space="preserve">During the period we have absorbed new costs relative to those expected when PR14 was determined.  These include the requirement to pay councils when we operate in highways (lane rental), </w:t>
      </w:r>
      <w:r>
        <w:t xml:space="preserve">incremental </w:t>
      </w:r>
      <w:r w:rsidRPr="009555B4">
        <w:t>costs associated with establishing and opening the Non-Household Retail Market, and costs incurred on leakage, which has been a very challenging issue throughout the AMP period.</w:t>
      </w:r>
    </w:p>
    <w:p w:rsidR="00A655D4" w:rsidRDefault="00A655D4" w:rsidP="00A655D4">
      <w:pPr>
        <w:pStyle w:val="Heading3"/>
      </w:pPr>
      <w:bookmarkStart w:id="288" w:name="_Toc523651363"/>
      <w:r>
        <w:t>Confidence in Delivery</w:t>
      </w:r>
      <w:bookmarkEnd w:id="288"/>
      <w:r>
        <w:t xml:space="preserve"> </w:t>
      </w:r>
    </w:p>
    <w:p w:rsidR="00A655D4" w:rsidRPr="00D03EA3" w:rsidRDefault="00A655D4" w:rsidP="00A655D4">
      <w:r>
        <w:t>We believe our track record for strong financial performance and strong levels of service to customers, highlighted in this chapter, places us in a good position to deliver this plan.</w:t>
      </w:r>
    </w:p>
    <w:p w:rsidR="00A655D4" w:rsidRDefault="00A655D4" w:rsidP="00A655D4">
      <w:r>
        <w:t>The Board will continue to monitor performance on a monthly basis. This will ensure progress on all commitments in the Business Plan are appropriately resourced to ensure delivery.</w:t>
      </w:r>
    </w:p>
    <w:p w:rsidR="00A655D4" w:rsidRDefault="00A655D4" w:rsidP="00A655D4">
      <w:r>
        <w:t>We will continue reporting to all stakeholders in a transparent manner, utilising our Annual Report in particular.</w:t>
      </w:r>
    </w:p>
    <w:p w:rsidR="00A655D4" w:rsidRDefault="00A655D4" w:rsidP="00A655D4">
      <w:r>
        <w:t>We will continue reporting to our Customer Challenge Group. This will ensure we are directly accountable to a group of customer representatives who were heavily involved in developing the plan itself.</w:t>
      </w:r>
    </w:p>
    <w:p w:rsidR="00A655D4" w:rsidRDefault="00A655D4" w:rsidP="00A655D4">
      <w:r>
        <w:t>We will publish our performance on Discover Water to allow all stakeholders to make industry comparisons.</w:t>
      </w:r>
    </w:p>
    <w:p w:rsidR="00A655D4" w:rsidRDefault="00A655D4" w:rsidP="00A655D4">
      <w:r>
        <w:t>Customers have told us that they would like to understand what we are doing, particularly on environmental issues.  We will use social media to communicate with our customers in a way they wish to be communicated with.</w:t>
      </w:r>
    </w:p>
    <w:p w:rsidR="00312A77" w:rsidRDefault="00312A77">
      <w:pPr>
        <w:tabs>
          <w:tab w:val="clear" w:pos="851"/>
        </w:tabs>
        <w:spacing w:after="0"/>
        <w:ind w:left="0"/>
        <w:jc w:val="left"/>
      </w:pPr>
      <w:r>
        <w:br w:type="page"/>
      </w:r>
    </w:p>
    <w:p w:rsidR="0099774F" w:rsidRDefault="0099774F" w:rsidP="0005234B">
      <w:pPr>
        <w:pStyle w:val="Heading1"/>
      </w:pPr>
      <w:bookmarkStart w:id="289" w:name="_Toc522200049"/>
      <w:bookmarkStart w:id="290" w:name="_Toc522200146"/>
      <w:bookmarkStart w:id="291" w:name="_Toc523651364"/>
      <w:r>
        <w:t>Securing Confidence and Assurance</w:t>
      </w:r>
      <w:bookmarkEnd w:id="289"/>
      <w:bookmarkEnd w:id="290"/>
      <w:bookmarkEnd w:id="291"/>
    </w:p>
    <w:p w:rsidR="0099774F" w:rsidRDefault="0099774F" w:rsidP="0099774F">
      <w:pPr>
        <w:pStyle w:val="Heading2"/>
      </w:pPr>
      <w:bookmarkStart w:id="292" w:name="_Toc522200051"/>
      <w:bookmarkStart w:id="293" w:name="_Toc522200148"/>
      <w:bookmarkStart w:id="294" w:name="_Toc523651365"/>
      <w:r>
        <w:t>Summary of Assurance</w:t>
      </w:r>
      <w:bookmarkEnd w:id="292"/>
      <w:bookmarkEnd w:id="293"/>
      <w:bookmarkEnd w:id="294"/>
    </w:p>
    <w:p w:rsidR="00B24F29" w:rsidRPr="00B24F29" w:rsidRDefault="00B24F29" w:rsidP="00B24F29">
      <w:pPr>
        <w:rPr>
          <w:rFonts w:cs="Arial"/>
        </w:rPr>
      </w:pPr>
      <w:r w:rsidRPr="00B24F29">
        <w:rPr>
          <w:rFonts w:cs="Arial"/>
        </w:rPr>
        <w:t xml:space="preserve">The Company set out a process to gather appropriate levels of assurance over the Business Plan in totality including the individual components including; </w:t>
      </w:r>
    </w:p>
    <w:p w:rsidR="00B24F29" w:rsidRPr="00B24F29" w:rsidRDefault="00B24F29" w:rsidP="00B24F29">
      <w:pPr>
        <w:pStyle w:val="Bullets"/>
      </w:pPr>
      <w:r w:rsidRPr="00B24F29">
        <w:t>Business Plan tables</w:t>
      </w:r>
    </w:p>
    <w:p w:rsidR="00B24F29" w:rsidRPr="00B24F29" w:rsidRDefault="00B24F29" w:rsidP="00B24F29">
      <w:pPr>
        <w:pStyle w:val="Bullets"/>
      </w:pPr>
      <w:r w:rsidRPr="00B24F29">
        <w:t>The complete and accurate population of inf</w:t>
      </w:r>
      <w:r>
        <w:t xml:space="preserve">ormation in the Ofwat model and </w:t>
      </w:r>
      <w:r w:rsidRPr="00B24F29">
        <w:t>feeder models</w:t>
      </w:r>
    </w:p>
    <w:p w:rsidR="00B24F29" w:rsidRPr="00B24F29" w:rsidRDefault="00B24F29" w:rsidP="00B24F29">
      <w:pPr>
        <w:pStyle w:val="Bullets"/>
      </w:pPr>
      <w:r w:rsidRPr="00B24F29">
        <w:t>The Company’s Business Plan models</w:t>
      </w:r>
    </w:p>
    <w:p w:rsidR="00B24F29" w:rsidRPr="0076298F" w:rsidRDefault="00B24F29" w:rsidP="00B24F29">
      <w:pPr>
        <w:pStyle w:val="Bullets"/>
      </w:pPr>
      <w:r w:rsidRPr="0076298F">
        <w:t xml:space="preserve">Legacy information &amp; cost allocation methodology between Business Units </w:t>
      </w:r>
    </w:p>
    <w:p w:rsidR="00B24F29" w:rsidRPr="0076298F" w:rsidRDefault="00B24F29" w:rsidP="00B24F29">
      <w:pPr>
        <w:pStyle w:val="Bullets"/>
      </w:pPr>
      <w:r w:rsidRPr="0076298F">
        <w:t>The consistency of narrative reporting</w:t>
      </w:r>
    </w:p>
    <w:p w:rsidR="00B24F29" w:rsidRPr="00B24F29" w:rsidRDefault="00B24F29" w:rsidP="00B24F29">
      <w:pPr>
        <w:pStyle w:val="Bullets"/>
      </w:pPr>
      <w:r w:rsidRPr="00B24F29">
        <w:t xml:space="preserve">Technical and financial data underpinning the Business Plan </w:t>
      </w:r>
    </w:p>
    <w:p w:rsidR="00B24F29" w:rsidRPr="00B24F29" w:rsidRDefault="00B24F29" w:rsidP="00B24F29">
      <w:pPr>
        <w:spacing w:after="0"/>
        <w:ind w:left="1848"/>
      </w:pPr>
    </w:p>
    <w:p w:rsidR="00B24F29" w:rsidRPr="00B24F29" w:rsidRDefault="00B24F29" w:rsidP="00AA7447">
      <w:pPr>
        <w:spacing w:after="120"/>
        <w:rPr>
          <w:rFonts w:cs="Arial"/>
        </w:rPr>
      </w:pPr>
      <w:r w:rsidRPr="00B24F29">
        <w:rPr>
          <w:rFonts w:cs="Arial"/>
        </w:rPr>
        <w:t>Assurance has been obtained through a range of different approaches, both internal and external.</w:t>
      </w:r>
    </w:p>
    <w:p w:rsidR="00B24F29" w:rsidRPr="00AB539B" w:rsidRDefault="00B24F29" w:rsidP="00AA7447">
      <w:pPr>
        <w:spacing w:after="120"/>
        <w:rPr>
          <w:rFonts w:cs="Arial"/>
          <w:color w:val="2E74B5" w:themeColor="accent1" w:themeShade="BF"/>
        </w:rPr>
      </w:pPr>
      <w:r w:rsidRPr="00AB539B">
        <w:rPr>
          <w:rFonts w:cs="Arial"/>
          <w:color w:val="2E74B5" w:themeColor="accent1" w:themeShade="BF"/>
        </w:rPr>
        <w:t xml:space="preserve">Business Plan tables &amp; population of the Ofwat Model </w:t>
      </w:r>
    </w:p>
    <w:tbl>
      <w:tblPr>
        <w:tblStyle w:val="TableGrid371"/>
        <w:tblW w:w="8788" w:type="dxa"/>
        <w:tblInd w:w="846" w:type="dxa"/>
        <w:tblLook w:val="04A0" w:firstRow="1" w:lastRow="0" w:firstColumn="1" w:lastColumn="0" w:noHBand="0" w:noVBand="1"/>
      </w:tblPr>
      <w:tblGrid>
        <w:gridCol w:w="1984"/>
        <w:gridCol w:w="6804"/>
      </w:tblGrid>
      <w:tr w:rsidR="00B24F29" w:rsidRPr="00B24F29" w:rsidTr="00B24F29">
        <w:tc>
          <w:tcPr>
            <w:tcW w:w="1984" w:type="dxa"/>
          </w:tcPr>
          <w:p w:rsidR="00B24F29" w:rsidRPr="00B24F29" w:rsidRDefault="00B24F29" w:rsidP="00B24F29">
            <w:pPr>
              <w:tabs>
                <w:tab w:val="clear" w:pos="851"/>
              </w:tabs>
              <w:spacing w:after="0"/>
              <w:ind w:left="0"/>
              <w:jc w:val="left"/>
              <w:rPr>
                <w:rFonts w:cs="Arial"/>
                <w:b/>
                <w:sz w:val="16"/>
                <w:szCs w:val="16"/>
              </w:rPr>
            </w:pPr>
            <w:r w:rsidRPr="00B24F29">
              <w:rPr>
                <w:rFonts w:cs="Arial"/>
                <w:b/>
                <w:sz w:val="16"/>
                <w:szCs w:val="16"/>
              </w:rPr>
              <w:t>Internal assurance</w:t>
            </w:r>
          </w:p>
        </w:tc>
        <w:tc>
          <w:tcPr>
            <w:tcW w:w="6804" w:type="dxa"/>
          </w:tcPr>
          <w:p w:rsidR="00B24F29" w:rsidRPr="00B24F29" w:rsidRDefault="00B24F29" w:rsidP="00B24F29">
            <w:pPr>
              <w:tabs>
                <w:tab w:val="clear" w:pos="851"/>
              </w:tabs>
              <w:spacing w:after="0"/>
              <w:ind w:left="0"/>
              <w:jc w:val="left"/>
              <w:rPr>
                <w:rFonts w:cs="Arial"/>
                <w:sz w:val="16"/>
                <w:szCs w:val="16"/>
              </w:rPr>
            </w:pPr>
          </w:p>
        </w:tc>
      </w:tr>
      <w:tr w:rsidR="00B24F29" w:rsidRPr="00B24F29" w:rsidTr="00B24F29">
        <w:trPr>
          <w:trHeight w:val="378"/>
        </w:trPr>
        <w:tc>
          <w:tcPr>
            <w:tcW w:w="8788" w:type="dxa"/>
            <w:gridSpan w:val="2"/>
          </w:tcPr>
          <w:p w:rsidR="00B24F29" w:rsidRPr="00B24F29" w:rsidRDefault="00B24F29" w:rsidP="00B24F29">
            <w:pPr>
              <w:tabs>
                <w:tab w:val="clear" w:pos="851"/>
              </w:tabs>
              <w:spacing w:after="0"/>
              <w:ind w:left="0"/>
              <w:rPr>
                <w:rFonts w:cs="Arial"/>
                <w:sz w:val="16"/>
                <w:szCs w:val="16"/>
              </w:rPr>
            </w:pPr>
            <w:r w:rsidRPr="00B24F29">
              <w:rPr>
                <w:rFonts w:cs="Arial"/>
                <w:sz w:val="16"/>
                <w:szCs w:val="16"/>
              </w:rPr>
              <w:t>Each of the Business Plan tables was allocated to a responsible individual together with a management reviewer and overall responsibility from one of the Executive Directors.  Prior to submission, each of the tables was subject to two layers of review and sign off as part of the overall quality control process.</w:t>
            </w:r>
          </w:p>
        </w:tc>
      </w:tr>
      <w:tr w:rsidR="00B24F29" w:rsidRPr="00B24F29" w:rsidTr="00B24F29">
        <w:tc>
          <w:tcPr>
            <w:tcW w:w="1984" w:type="dxa"/>
          </w:tcPr>
          <w:p w:rsidR="00B24F29" w:rsidRPr="00B24F29" w:rsidRDefault="00B24F29" w:rsidP="00B24F29">
            <w:pPr>
              <w:tabs>
                <w:tab w:val="clear" w:pos="851"/>
              </w:tabs>
              <w:spacing w:after="0"/>
              <w:ind w:left="0"/>
              <w:jc w:val="left"/>
              <w:rPr>
                <w:rFonts w:cs="Arial"/>
                <w:b/>
                <w:sz w:val="16"/>
                <w:szCs w:val="16"/>
              </w:rPr>
            </w:pPr>
            <w:r w:rsidRPr="00B24F29">
              <w:rPr>
                <w:rFonts w:cs="Arial"/>
                <w:b/>
                <w:sz w:val="16"/>
                <w:szCs w:val="16"/>
              </w:rPr>
              <w:t>External assurance</w:t>
            </w:r>
          </w:p>
        </w:tc>
        <w:tc>
          <w:tcPr>
            <w:tcW w:w="6804" w:type="dxa"/>
          </w:tcPr>
          <w:p w:rsidR="00B24F29" w:rsidRPr="00B24F29" w:rsidRDefault="00B24F29" w:rsidP="00B24F29">
            <w:pPr>
              <w:tabs>
                <w:tab w:val="clear" w:pos="851"/>
              </w:tabs>
              <w:spacing w:after="0"/>
              <w:ind w:left="0"/>
              <w:jc w:val="left"/>
              <w:rPr>
                <w:rFonts w:cs="Arial"/>
                <w:sz w:val="16"/>
                <w:szCs w:val="16"/>
              </w:rPr>
            </w:pPr>
          </w:p>
        </w:tc>
      </w:tr>
      <w:tr w:rsidR="00B24F29" w:rsidRPr="00B24F29" w:rsidTr="00B24F29">
        <w:tc>
          <w:tcPr>
            <w:tcW w:w="8788" w:type="dxa"/>
            <w:gridSpan w:val="2"/>
          </w:tcPr>
          <w:p w:rsidR="00B24F29" w:rsidRPr="00B24F29" w:rsidRDefault="00B24F29" w:rsidP="00B24F29">
            <w:pPr>
              <w:tabs>
                <w:tab w:val="clear" w:pos="851"/>
              </w:tabs>
              <w:spacing w:after="0"/>
              <w:ind w:left="0"/>
              <w:rPr>
                <w:rFonts w:cs="Arial"/>
                <w:sz w:val="16"/>
                <w:szCs w:val="16"/>
              </w:rPr>
            </w:pPr>
            <w:r w:rsidRPr="00B24F29">
              <w:rPr>
                <w:rFonts w:cs="Arial"/>
                <w:sz w:val="16"/>
                <w:szCs w:val="16"/>
              </w:rPr>
              <w:t>Prior to external assurance the company undertook a process to review each of the business plan tables and identify the level of risk of misstatement or error.  This assessment included factors such as; complexity, previous errors, changes in methodology materiality and level of scrutiny.  The tables were also classified between financial and non-financial in order to determine the primary assurer</w:t>
            </w:r>
          </w:p>
        </w:tc>
      </w:tr>
      <w:tr w:rsidR="00B24F29" w:rsidRPr="00B24F29" w:rsidTr="00B24F29">
        <w:tc>
          <w:tcPr>
            <w:tcW w:w="1984" w:type="dxa"/>
          </w:tcPr>
          <w:p w:rsidR="00B24F29" w:rsidRPr="00B24F29" w:rsidRDefault="00B24F29" w:rsidP="00B24F29">
            <w:pPr>
              <w:tabs>
                <w:tab w:val="clear" w:pos="851"/>
              </w:tabs>
              <w:spacing w:after="0"/>
              <w:ind w:left="0"/>
              <w:jc w:val="left"/>
              <w:rPr>
                <w:rFonts w:cs="Arial"/>
                <w:b/>
                <w:sz w:val="16"/>
                <w:szCs w:val="16"/>
              </w:rPr>
            </w:pPr>
            <w:r w:rsidRPr="00B24F29">
              <w:rPr>
                <w:rFonts w:cs="Arial"/>
                <w:b/>
                <w:sz w:val="16"/>
                <w:szCs w:val="16"/>
              </w:rPr>
              <w:t>Financial tables</w:t>
            </w:r>
          </w:p>
        </w:tc>
        <w:tc>
          <w:tcPr>
            <w:tcW w:w="6804" w:type="dxa"/>
          </w:tcPr>
          <w:p w:rsidR="00B24F29" w:rsidRPr="00B24F29" w:rsidRDefault="00B24F29" w:rsidP="00B24F29">
            <w:pPr>
              <w:tabs>
                <w:tab w:val="clear" w:pos="851"/>
              </w:tabs>
              <w:spacing w:after="0"/>
              <w:ind w:left="0"/>
              <w:jc w:val="left"/>
              <w:rPr>
                <w:rFonts w:cs="Arial"/>
                <w:sz w:val="16"/>
                <w:szCs w:val="16"/>
              </w:rPr>
            </w:pPr>
            <w:r w:rsidRPr="00B24F29">
              <w:rPr>
                <w:rFonts w:cs="Arial"/>
                <w:sz w:val="16"/>
                <w:szCs w:val="16"/>
              </w:rPr>
              <w:t xml:space="preserve">Financial tables were assured by KPMG, our financial auditors, on an “agreed upon procedures” basis.  The findings of the work were presented to the Board and the report is included at </w:t>
            </w:r>
            <w:r w:rsidR="00427C3F">
              <w:rPr>
                <w:rFonts w:cs="Arial"/>
                <w:sz w:val="16"/>
                <w:szCs w:val="16"/>
              </w:rPr>
              <w:t>Appendix</w:t>
            </w:r>
            <w:r w:rsidRPr="00B24F29">
              <w:rPr>
                <w:rFonts w:cs="Arial"/>
                <w:sz w:val="16"/>
                <w:szCs w:val="16"/>
              </w:rPr>
              <w:t xml:space="preserve"> </w:t>
            </w:r>
            <w:r w:rsidR="0076298F">
              <w:rPr>
                <w:rFonts w:cs="Arial"/>
                <w:sz w:val="16"/>
                <w:szCs w:val="16"/>
              </w:rPr>
              <w:t>13.1</w:t>
            </w:r>
          </w:p>
          <w:p w:rsidR="00B24F29" w:rsidRPr="00B24F29" w:rsidRDefault="00B24F29" w:rsidP="00B24F29">
            <w:pPr>
              <w:tabs>
                <w:tab w:val="clear" w:pos="851"/>
              </w:tabs>
              <w:spacing w:after="0"/>
              <w:ind w:left="0"/>
              <w:jc w:val="left"/>
              <w:rPr>
                <w:rFonts w:cs="Arial"/>
                <w:sz w:val="16"/>
                <w:szCs w:val="16"/>
              </w:rPr>
            </w:pPr>
            <w:r w:rsidRPr="00AE1348">
              <w:rPr>
                <w:rFonts w:cs="Arial"/>
                <w:sz w:val="16"/>
                <w:szCs w:val="16"/>
              </w:rPr>
              <w:t>A “Tick and tie back” exercise has been completed to agree inputs back to supporting documents/tables.</w:t>
            </w:r>
            <w:r w:rsidR="0076298F">
              <w:rPr>
                <w:rFonts w:cs="Arial"/>
                <w:sz w:val="16"/>
                <w:szCs w:val="16"/>
              </w:rPr>
              <w:t xml:space="preserve">  Consistency check of narrative reporting.</w:t>
            </w:r>
          </w:p>
        </w:tc>
      </w:tr>
      <w:tr w:rsidR="00B24F29" w:rsidRPr="00B24F29" w:rsidTr="00B24F29">
        <w:tc>
          <w:tcPr>
            <w:tcW w:w="1984" w:type="dxa"/>
          </w:tcPr>
          <w:p w:rsidR="00B24F29" w:rsidRPr="00B24F29" w:rsidRDefault="00B24F29" w:rsidP="00B24F29">
            <w:pPr>
              <w:tabs>
                <w:tab w:val="clear" w:pos="851"/>
              </w:tabs>
              <w:spacing w:after="0"/>
              <w:ind w:left="0"/>
              <w:jc w:val="left"/>
              <w:rPr>
                <w:rFonts w:cs="Arial"/>
                <w:b/>
                <w:sz w:val="16"/>
                <w:szCs w:val="16"/>
              </w:rPr>
            </w:pPr>
            <w:r w:rsidRPr="00B24F29">
              <w:rPr>
                <w:rFonts w:cs="Arial"/>
                <w:b/>
                <w:sz w:val="16"/>
                <w:szCs w:val="16"/>
              </w:rPr>
              <w:t>Non-financial tables</w:t>
            </w:r>
          </w:p>
        </w:tc>
        <w:tc>
          <w:tcPr>
            <w:tcW w:w="6804" w:type="dxa"/>
          </w:tcPr>
          <w:p w:rsidR="00B24F29" w:rsidRPr="00B24F29" w:rsidRDefault="00B24F29" w:rsidP="00B24F29">
            <w:pPr>
              <w:tabs>
                <w:tab w:val="clear" w:pos="851"/>
              </w:tabs>
              <w:spacing w:after="0"/>
              <w:ind w:left="0"/>
              <w:jc w:val="left"/>
              <w:rPr>
                <w:rFonts w:cs="Arial"/>
                <w:sz w:val="16"/>
                <w:szCs w:val="16"/>
              </w:rPr>
            </w:pPr>
            <w:r w:rsidRPr="00B24F29">
              <w:rPr>
                <w:rFonts w:cs="Arial"/>
                <w:sz w:val="16"/>
                <w:szCs w:val="16"/>
              </w:rPr>
              <w:t xml:space="preserve">Non-financial tables were assured by Atkins, our “reporter”. The findings of the work were presented to the Board and the report is included at </w:t>
            </w:r>
            <w:r w:rsidR="00427C3F">
              <w:rPr>
                <w:rFonts w:cs="Arial"/>
                <w:sz w:val="16"/>
                <w:szCs w:val="16"/>
              </w:rPr>
              <w:t>Appendix</w:t>
            </w:r>
            <w:r w:rsidRPr="00B24F29">
              <w:rPr>
                <w:rFonts w:cs="Arial"/>
                <w:sz w:val="16"/>
                <w:szCs w:val="16"/>
              </w:rPr>
              <w:t xml:space="preserve"> </w:t>
            </w:r>
            <w:r w:rsidR="0076298F">
              <w:rPr>
                <w:rFonts w:cs="Arial"/>
                <w:sz w:val="16"/>
                <w:szCs w:val="16"/>
              </w:rPr>
              <w:t>13.2</w:t>
            </w:r>
          </w:p>
          <w:p w:rsidR="00B24F29" w:rsidRPr="00B24F29" w:rsidRDefault="00B24F29" w:rsidP="00B24F29">
            <w:pPr>
              <w:tabs>
                <w:tab w:val="clear" w:pos="851"/>
              </w:tabs>
              <w:spacing w:after="0"/>
              <w:ind w:left="0"/>
              <w:jc w:val="left"/>
              <w:rPr>
                <w:rFonts w:cs="Arial"/>
                <w:sz w:val="16"/>
                <w:szCs w:val="16"/>
              </w:rPr>
            </w:pPr>
            <w:r w:rsidRPr="00AE1348">
              <w:rPr>
                <w:rFonts w:cs="Arial"/>
                <w:sz w:val="16"/>
                <w:szCs w:val="16"/>
              </w:rPr>
              <w:t>A “Tick and tie back” exercise has been completed to agree inputs back to supporting documents/tables.</w:t>
            </w:r>
            <w:r w:rsidR="0076298F">
              <w:rPr>
                <w:rFonts w:cs="Arial"/>
                <w:sz w:val="16"/>
                <w:szCs w:val="16"/>
              </w:rPr>
              <w:t xml:space="preserve">  Consistency check of narrative reporting.</w:t>
            </w:r>
          </w:p>
        </w:tc>
      </w:tr>
      <w:tr w:rsidR="00AE1348" w:rsidRPr="00B24F29" w:rsidTr="00B24F29">
        <w:tc>
          <w:tcPr>
            <w:tcW w:w="1984" w:type="dxa"/>
          </w:tcPr>
          <w:p w:rsidR="00AE1348" w:rsidRPr="00B24F29" w:rsidRDefault="00AE1348" w:rsidP="00B24F29">
            <w:pPr>
              <w:tabs>
                <w:tab w:val="clear" w:pos="851"/>
              </w:tabs>
              <w:spacing w:after="0"/>
              <w:ind w:left="0"/>
              <w:jc w:val="left"/>
              <w:rPr>
                <w:rFonts w:cs="Arial"/>
                <w:b/>
                <w:sz w:val="16"/>
                <w:szCs w:val="16"/>
              </w:rPr>
            </w:pPr>
            <w:r>
              <w:rPr>
                <w:rFonts w:cs="Arial"/>
                <w:b/>
                <w:sz w:val="16"/>
                <w:szCs w:val="16"/>
              </w:rPr>
              <w:t>RCV Allocation</w:t>
            </w:r>
          </w:p>
        </w:tc>
        <w:tc>
          <w:tcPr>
            <w:tcW w:w="6804" w:type="dxa"/>
          </w:tcPr>
          <w:p w:rsidR="00AE1348" w:rsidRPr="00B24F29" w:rsidRDefault="0076298F" w:rsidP="00B24F29">
            <w:pPr>
              <w:tabs>
                <w:tab w:val="clear" w:pos="851"/>
              </w:tabs>
              <w:spacing w:after="0"/>
              <w:ind w:left="0"/>
              <w:jc w:val="left"/>
              <w:rPr>
                <w:rFonts w:cs="Arial"/>
                <w:sz w:val="16"/>
                <w:szCs w:val="16"/>
              </w:rPr>
            </w:pPr>
            <w:r>
              <w:rPr>
                <w:rFonts w:cs="Arial"/>
                <w:sz w:val="16"/>
                <w:szCs w:val="16"/>
              </w:rPr>
              <w:t>The RCV allocation of PRC 2020 between the Wholesale Price Controls was assured by Atkins.  The report is included in Appendix 8.1</w:t>
            </w:r>
          </w:p>
        </w:tc>
      </w:tr>
      <w:tr w:rsidR="00AA7447" w:rsidRPr="00B24F29" w:rsidTr="00B24F29">
        <w:tc>
          <w:tcPr>
            <w:tcW w:w="1984" w:type="dxa"/>
          </w:tcPr>
          <w:p w:rsidR="00AA7447" w:rsidRDefault="00AA7447" w:rsidP="00B24F29">
            <w:pPr>
              <w:tabs>
                <w:tab w:val="clear" w:pos="851"/>
              </w:tabs>
              <w:spacing w:after="0"/>
              <w:ind w:left="0"/>
              <w:jc w:val="left"/>
              <w:rPr>
                <w:rFonts w:cs="Arial"/>
                <w:b/>
                <w:sz w:val="16"/>
                <w:szCs w:val="16"/>
              </w:rPr>
            </w:pPr>
            <w:r>
              <w:rPr>
                <w:rFonts w:cs="Arial"/>
                <w:b/>
                <w:sz w:val="16"/>
                <w:szCs w:val="16"/>
              </w:rPr>
              <w:t>Narrative Review</w:t>
            </w:r>
          </w:p>
        </w:tc>
        <w:tc>
          <w:tcPr>
            <w:tcW w:w="6804" w:type="dxa"/>
          </w:tcPr>
          <w:p w:rsidR="00AA7447" w:rsidRDefault="00AA7447" w:rsidP="00AA7447">
            <w:pPr>
              <w:tabs>
                <w:tab w:val="clear" w:pos="851"/>
              </w:tabs>
              <w:spacing w:after="0"/>
              <w:ind w:left="0"/>
              <w:jc w:val="left"/>
              <w:rPr>
                <w:rFonts w:cs="Arial"/>
                <w:sz w:val="16"/>
                <w:szCs w:val="16"/>
              </w:rPr>
            </w:pPr>
            <w:r>
              <w:rPr>
                <w:rFonts w:cs="Arial"/>
                <w:sz w:val="16"/>
                <w:szCs w:val="16"/>
              </w:rPr>
              <w:t>A peer review of our Business Plan document narrative reporting was performed by CUSP, an industry expert.</w:t>
            </w:r>
          </w:p>
        </w:tc>
      </w:tr>
    </w:tbl>
    <w:p w:rsidR="00B24F29" w:rsidRPr="00B24F29" w:rsidRDefault="00B24F29" w:rsidP="0076298F">
      <w:pPr>
        <w:spacing w:after="0"/>
        <w:rPr>
          <w:rFonts w:cs="Arial"/>
          <w:szCs w:val="20"/>
        </w:rPr>
      </w:pPr>
    </w:p>
    <w:p w:rsidR="00B24F29" w:rsidRPr="00AB539B" w:rsidRDefault="00B24F29" w:rsidP="00AA7447">
      <w:pPr>
        <w:spacing w:after="120"/>
        <w:rPr>
          <w:rFonts w:cs="Arial"/>
          <w:color w:val="2E74B5" w:themeColor="accent1" w:themeShade="BF"/>
          <w:szCs w:val="20"/>
        </w:rPr>
      </w:pPr>
      <w:r w:rsidRPr="00AB539B">
        <w:rPr>
          <w:rFonts w:cs="Arial"/>
          <w:color w:val="2E74B5" w:themeColor="accent1" w:themeShade="BF"/>
          <w:szCs w:val="20"/>
        </w:rPr>
        <w:t>The Company’s Business Plan model</w:t>
      </w:r>
    </w:p>
    <w:tbl>
      <w:tblPr>
        <w:tblStyle w:val="TableGrid381"/>
        <w:tblW w:w="8788" w:type="dxa"/>
        <w:tblInd w:w="846" w:type="dxa"/>
        <w:tblLook w:val="04A0" w:firstRow="1" w:lastRow="0" w:firstColumn="1" w:lastColumn="0" w:noHBand="0" w:noVBand="1"/>
      </w:tblPr>
      <w:tblGrid>
        <w:gridCol w:w="1984"/>
        <w:gridCol w:w="6804"/>
      </w:tblGrid>
      <w:tr w:rsidR="00B24F29" w:rsidRPr="00B24F29" w:rsidTr="00B24F29">
        <w:tc>
          <w:tcPr>
            <w:tcW w:w="1984" w:type="dxa"/>
          </w:tcPr>
          <w:p w:rsidR="00B24F29" w:rsidRPr="00B24F29" w:rsidRDefault="00B24F29" w:rsidP="00B24F29">
            <w:pPr>
              <w:tabs>
                <w:tab w:val="clear" w:pos="851"/>
              </w:tabs>
              <w:spacing w:after="0"/>
              <w:ind w:left="0"/>
              <w:jc w:val="left"/>
              <w:rPr>
                <w:b/>
                <w:sz w:val="16"/>
                <w:szCs w:val="16"/>
              </w:rPr>
            </w:pPr>
            <w:r w:rsidRPr="00B24F29">
              <w:rPr>
                <w:b/>
                <w:sz w:val="16"/>
                <w:szCs w:val="16"/>
              </w:rPr>
              <w:t>Internal assurance</w:t>
            </w:r>
          </w:p>
        </w:tc>
        <w:tc>
          <w:tcPr>
            <w:tcW w:w="6804" w:type="dxa"/>
          </w:tcPr>
          <w:p w:rsidR="00B24F29" w:rsidRPr="00B24F29" w:rsidRDefault="00B24F29" w:rsidP="00B24F29">
            <w:pPr>
              <w:tabs>
                <w:tab w:val="clear" w:pos="851"/>
              </w:tabs>
              <w:spacing w:after="0"/>
              <w:ind w:left="0"/>
              <w:jc w:val="left"/>
              <w:rPr>
                <w:sz w:val="16"/>
                <w:szCs w:val="16"/>
              </w:rPr>
            </w:pPr>
          </w:p>
        </w:tc>
      </w:tr>
      <w:tr w:rsidR="00B24F29" w:rsidRPr="00B24F29" w:rsidTr="00B24F29">
        <w:trPr>
          <w:trHeight w:val="378"/>
        </w:trPr>
        <w:tc>
          <w:tcPr>
            <w:tcW w:w="8788" w:type="dxa"/>
            <w:gridSpan w:val="2"/>
          </w:tcPr>
          <w:p w:rsidR="00B24F29" w:rsidRPr="00B24F29" w:rsidRDefault="00B24F29" w:rsidP="00B24F29">
            <w:pPr>
              <w:tabs>
                <w:tab w:val="clear" w:pos="851"/>
              </w:tabs>
              <w:spacing w:after="0"/>
              <w:ind w:left="0"/>
              <w:rPr>
                <w:sz w:val="16"/>
                <w:szCs w:val="16"/>
              </w:rPr>
            </w:pPr>
            <w:r w:rsidRPr="00B24F29">
              <w:rPr>
                <w:sz w:val="16"/>
                <w:szCs w:val="16"/>
              </w:rPr>
              <w:t>The Company’s Business Plan model was subject to internal peer review, throughout the process of development.  This was conducted by both individ</w:t>
            </w:r>
            <w:r>
              <w:rPr>
                <w:sz w:val="16"/>
                <w:szCs w:val="16"/>
              </w:rPr>
              <w:t xml:space="preserve">uals with modelling skills and </w:t>
            </w:r>
            <w:r w:rsidRPr="00B24F29">
              <w:rPr>
                <w:sz w:val="16"/>
                <w:szCs w:val="16"/>
              </w:rPr>
              <w:t>overview from the finance team</w:t>
            </w:r>
            <w:r w:rsidR="00042648">
              <w:rPr>
                <w:sz w:val="16"/>
                <w:szCs w:val="16"/>
              </w:rPr>
              <w:t>,</w:t>
            </w:r>
            <w:r w:rsidRPr="00B24F29">
              <w:rPr>
                <w:sz w:val="16"/>
                <w:szCs w:val="16"/>
              </w:rPr>
              <w:t xml:space="preserve"> including the Finance and Regulation Director. </w:t>
            </w:r>
          </w:p>
          <w:p w:rsidR="00B24F29" w:rsidRPr="00B24F29" w:rsidRDefault="00B24F29" w:rsidP="00B24F29">
            <w:pPr>
              <w:tabs>
                <w:tab w:val="clear" w:pos="851"/>
              </w:tabs>
              <w:spacing w:after="0"/>
              <w:ind w:left="0"/>
              <w:jc w:val="left"/>
              <w:rPr>
                <w:sz w:val="16"/>
                <w:szCs w:val="16"/>
              </w:rPr>
            </w:pPr>
            <w:r w:rsidRPr="00B24F29">
              <w:rPr>
                <w:sz w:val="16"/>
                <w:szCs w:val="16"/>
              </w:rPr>
              <w:t>The output of the Company’s model was compared to and reconciled to the Ofwat Model’s output and any differences were investigated, understood and, where appropriate, adjusted.</w:t>
            </w:r>
          </w:p>
        </w:tc>
      </w:tr>
      <w:tr w:rsidR="00B24F29" w:rsidRPr="00B24F29" w:rsidTr="00B24F29">
        <w:tc>
          <w:tcPr>
            <w:tcW w:w="1984" w:type="dxa"/>
          </w:tcPr>
          <w:p w:rsidR="00B24F29" w:rsidRPr="00B24F29" w:rsidRDefault="00B24F29" w:rsidP="00B24F29">
            <w:pPr>
              <w:tabs>
                <w:tab w:val="clear" w:pos="851"/>
              </w:tabs>
              <w:spacing w:after="0"/>
              <w:ind w:left="0"/>
              <w:jc w:val="left"/>
              <w:rPr>
                <w:b/>
                <w:sz w:val="16"/>
                <w:szCs w:val="16"/>
              </w:rPr>
            </w:pPr>
            <w:r w:rsidRPr="00B24F29">
              <w:rPr>
                <w:b/>
                <w:sz w:val="16"/>
                <w:szCs w:val="16"/>
              </w:rPr>
              <w:t>External assurance</w:t>
            </w:r>
          </w:p>
        </w:tc>
        <w:tc>
          <w:tcPr>
            <w:tcW w:w="6804" w:type="dxa"/>
          </w:tcPr>
          <w:p w:rsidR="00B24F29" w:rsidRPr="00B24F29" w:rsidRDefault="00B24F29" w:rsidP="00B24F29">
            <w:pPr>
              <w:tabs>
                <w:tab w:val="clear" w:pos="851"/>
              </w:tabs>
              <w:spacing w:after="0"/>
              <w:ind w:left="0"/>
              <w:jc w:val="left"/>
              <w:rPr>
                <w:sz w:val="16"/>
                <w:szCs w:val="16"/>
              </w:rPr>
            </w:pPr>
          </w:p>
        </w:tc>
      </w:tr>
      <w:tr w:rsidR="00B24F29" w:rsidRPr="00B24F29" w:rsidTr="00B24F29">
        <w:trPr>
          <w:trHeight w:val="378"/>
        </w:trPr>
        <w:tc>
          <w:tcPr>
            <w:tcW w:w="8788" w:type="dxa"/>
            <w:gridSpan w:val="2"/>
          </w:tcPr>
          <w:p w:rsidR="00B24F29" w:rsidRPr="00B24F29" w:rsidRDefault="00B24F29" w:rsidP="00B24F29">
            <w:pPr>
              <w:tabs>
                <w:tab w:val="clear" w:pos="851"/>
              </w:tabs>
              <w:spacing w:after="0"/>
              <w:ind w:left="0"/>
              <w:jc w:val="left"/>
              <w:rPr>
                <w:sz w:val="16"/>
                <w:szCs w:val="16"/>
              </w:rPr>
            </w:pPr>
            <w:r w:rsidRPr="00B24F29">
              <w:rPr>
                <w:sz w:val="16"/>
                <w:szCs w:val="16"/>
              </w:rPr>
              <w:t>Frontier Economic Consulting have provided a letter setting out the basis upon which the model has been developed and its consistency with the Ofwat methodology.</w:t>
            </w:r>
            <w:r w:rsidR="00D725BB">
              <w:rPr>
                <w:sz w:val="16"/>
                <w:szCs w:val="16"/>
              </w:rPr>
              <w:t xml:space="preserve"> Appendix 31.1</w:t>
            </w:r>
          </w:p>
        </w:tc>
      </w:tr>
    </w:tbl>
    <w:p w:rsidR="00B24F29" w:rsidRPr="00B24F29" w:rsidRDefault="00B24F29" w:rsidP="00AA7447">
      <w:pPr>
        <w:spacing w:after="0"/>
        <w:rPr>
          <w:rFonts w:cs="Arial"/>
          <w:szCs w:val="20"/>
        </w:rPr>
      </w:pPr>
    </w:p>
    <w:p w:rsidR="00B24F29" w:rsidRPr="00AB539B" w:rsidRDefault="00B24F29" w:rsidP="00B24F29">
      <w:pPr>
        <w:rPr>
          <w:rFonts w:cs="Arial"/>
          <w:b/>
          <w:szCs w:val="20"/>
        </w:rPr>
      </w:pPr>
      <w:r w:rsidRPr="00AB539B">
        <w:rPr>
          <w:rFonts w:cs="Arial"/>
          <w:b/>
          <w:szCs w:val="20"/>
        </w:rPr>
        <w:t>Technical and financial data underpinning the Business Plan</w:t>
      </w:r>
    </w:p>
    <w:p w:rsidR="00B24F29" w:rsidRPr="00B24F29" w:rsidRDefault="00B24F29" w:rsidP="00B24F29">
      <w:pPr>
        <w:rPr>
          <w:rFonts w:cs="Arial"/>
          <w:szCs w:val="20"/>
        </w:rPr>
      </w:pPr>
      <w:r w:rsidRPr="00B24F29">
        <w:rPr>
          <w:rFonts w:cs="Arial"/>
          <w:szCs w:val="20"/>
        </w:rPr>
        <w:t xml:space="preserve">In order to robustly support, test challenge and assure the assumptions underpinning key elements of the Business Plan the company has used a wide range of independent third parties.  Summarised in the table below are the activities in relation to each of the key areas of the </w:t>
      </w:r>
      <w:r w:rsidR="00545AE9">
        <w:rPr>
          <w:rFonts w:cs="Arial"/>
          <w:szCs w:val="20"/>
        </w:rPr>
        <w:t>B</w:t>
      </w:r>
      <w:r w:rsidRPr="00B24F29">
        <w:rPr>
          <w:rFonts w:cs="Arial"/>
          <w:szCs w:val="20"/>
        </w:rPr>
        <w:t xml:space="preserve">usiness </w:t>
      </w:r>
      <w:r w:rsidR="00545AE9">
        <w:rPr>
          <w:rFonts w:cs="Arial"/>
          <w:szCs w:val="20"/>
        </w:rPr>
        <w:t>P</w:t>
      </w:r>
      <w:r w:rsidRPr="00B24F29">
        <w:rPr>
          <w:rFonts w:cs="Arial"/>
          <w:szCs w:val="20"/>
        </w:rPr>
        <w:t>lan.</w:t>
      </w:r>
    </w:p>
    <w:tbl>
      <w:tblPr>
        <w:tblStyle w:val="TableGrid411"/>
        <w:tblW w:w="8930" w:type="dxa"/>
        <w:tblInd w:w="846" w:type="dxa"/>
        <w:tblLook w:val="04A0" w:firstRow="1" w:lastRow="0" w:firstColumn="1" w:lastColumn="0" w:noHBand="0" w:noVBand="1"/>
      </w:tblPr>
      <w:tblGrid>
        <w:gridCol w:w="1701"/>
        <w:gridCol w:w="1417"/>
        <w:gridCol w:w="4253"/>
        <w:gridCol w:w="1559"/>
      </w:tblGrid>
      <w:tr w:rsidR="00B24F29" w:rsidRPr="00CC0420" w:rsidTr="00CC0420">
        <w:trPr>
          <w:trHeight w:val="115"/>
          <w:tblHeader/>
        </w:trPr>
        <w:tc>
          <w:tcPr>
            <w:tcW w:w="1701" w:type="dxa"/>
            <w:shd w:val="clear" w:color="auto" w:fill="2E74B5" w:themeFill="accent1" w:themeFillShade="BF"/>
            <w:vAlign w:val="center"/>
          </w:tcPr>
          <w:p w:rsidR="00B24F29" w:rsidRPr="00CC0420" w:rsidRDefault="00B24F29" w:rsidP="00CC0420">
            <w:pPr>
              <w:tabs>
                <w:tab w:val="clear" w:pos="851"/>
              </w:tabs>
              <w:spacing w:after="0"/>
              <w:ind w:left="0"/>
              <w:jc w:val="center"/>
              <w:rPr>
                <w:rFonts w:cs="Arial"/>
                <w:b/>
                <w:color w:val="FFFFFF"/>
                <w:sz w:val="16"/>
                <w:szCs w:val="16"/>
                <w:lang w:eastAsia="en-GB"/>
              </w:rPr>
            </w:pPr>
            <w:r w:rsidRPr="00CC0420">
              <w:rPr>
                <w:rFonts w:cs="Arial"/>
                <w:b/>
                <w:color w:val="FFFFFF"/>
                <w:sz w:val="16"/>
                <w:szCs w:val="16"/>
                <w:lang w:eastAsia="en-GB"/>
              </w:rPr>
              <w:t>Business plan area</w:t>
            </w:r>
          </w:p>
        </w:tc>
        <w:tc>
          <w:tcPr>
            <w:tcW w:w="1417" w:type="dxa"/>
            <w:shd w:val="clear" w:color="auto" w:fill="2E74B5" w:themeFill="accent1" w:themeFillShade="BF"/>
            <w:vAlign w:val="center"/>
          </w:tcPr>
          <w:p w:rsidR="00B24F29" w:rsidRPr="00CC0420" w:rsidRDefault="00B24F29" w:rsidP="00CC0420">
            <w:pPr>
              <w:tabs>
                <w:tab w:val="clear" w:pos="851"/>
              </w:tabs>
              <w:spacing w:after="0"/>
              <w:ind w:left="0"/>
              <w:jc w:val="center"/>
              <w:rPr>
                <w:rFonts w:cs="Arial"/>
                <w:b/>
                <w:color w:val="FFFFFF"/>
                <w:sz w:val="16"/>
                <w:szCs w:val="16"/>
                <w:lang w:eastAsia="en-GB"/>
              </w:rPr>
            </w:pPr>
            <w:r w:rsidRPr="00CC0420">
              <w:rPr>
                <w:rFonts w:cs="Arial"/>
                <w:b/>
                <w:color w:val="FFFFFF"/>
                <w:sz w:val="16"/>
                <w:szCs w:val="16"/>
                <w:lang w:eastAsia="en-GB"/>
              </w:rPr>
              <w:t>Scope</w:t>
            </w:r>
          </w:p>
        </w:tc>
        <w:tc>
          <w:tcPr>
            <w:tcW w:w="4253" w:type="dxa"/>
            <w:shd w:val="clear" w:color="auto" w:fill="2E74B5" w:themeFill="accent1" w:themeFillShade="BF"/>
            <w:vAlign w:val="center"/>
          </w:tcPr>
          <w:p w:rsidR="00B24F29" w:rsidRPr="00CC0420" w:rsidRDefault="00B24F29" w:rsidP="00CC0420">
            <w:pPr>
              <w:tabs>
                <w:tab w:val="clear" w:pos="851"/>
              </w:tabs>
              <w:spacing w:after="0"/>
              <w:ind w:left="0"/>
              <w:jc w:val="center"/>
              <w:rPr>
                <w:rFonts w:cs="Arial"/>
                <w:b/>
                <w:color w:val="FFFFFF"/>
                <w:sz w:val="16"/>
                <w:szCs w:val="16"/>
                <w:lang w:eastAsia="en-GB"/>
              </w:rPr>
            </w:pPr>
            <w:r w:rsidRPr="00CC0420">
              <w:rPr>
                <w:rFonts w:cs="Arial"/>
                <w:b/>
                <w:color w:val="FFFFFF"/>
                <w:sz w:val="16"/>
                <w:szCs w:val="16"/>
                <w:lang w:eastAsia="en-GB"/>
              </w:rPr>
              <w:t>External assurance/support/challenge</w:t>
            </w:r>
          </w:p>
        </w:tc>
        <w:tc>
          <w:tcPr>
            <w:tcW w:w="1559" w:type="dxa"/>
            <w:shd w:val="clear" w:color="auto" w:fill="2E74B5" w:themeFill="accent1" w:themeFillShade="BF"/>
            <w:vAlign w:val="center"/>
          </w:tcPr>
          <w:p w:rsidR="00B24F29" w:rsidRPr="00CC0420" w:rsidRDefault="00B24F29" w:rsidP="00CC0420">
            <w:pPr>
              <w:tabs>
                <w:tab w:val="clear" w:pos="851"/>
              </w:tabs>
              <w:spacing w:after="0"/>
              <w:ind w:left="0"/>
              <w:jc w:val="center"/>
              <w:rPr>
                <w:rFonts w:cs="Arial"/>
                <w:b/>
                <w:color w:val="FFFFFF"/>
                <w:sz w:val="16"/>
                <w:szCs w:val="16"/>
                <w:lang w:eastAsia="en-GB"/>
              </w:rPr>
            </w:pPr>
            <w:r w:rsidRPr="00CC0420">
              <w:rPr>
                <w:rFonts w:cs="Arial"/>
                <w:b/>
                <w:color w:val="FFFFFF"/>
                <w:sz w:val="16"/>
                <w:szCs w:val="16"/>
                <w:lang w:eastAsia="en-GB"/>
              </w:rPr>
              <w:t>Other stakeholders</w:t>
            </w: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Asset maintenance approach</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To develop a robust approach to asset maintenance for the Plan including an “Outcome Optimisation Tool”.</w:t>
            </w:r>
          </w:p>
        </w:tc>
        <w:tc>
          <w:tcPr>
            <w:tcW w:w="4253"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 Atkins aligned approach with IAM best practice and the principles of PAS-55, towards ISO55000 and supported its delivery.</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An optimisation tool to ensure triangulation of best approach, best value and alignment to customer preferences developed in conjunction with WS Atkins</w:t>
            </w:r>
          </w:p>
        </w:tc>
        <w:tc>
          <w:tcPr>
            <w:tcW w:w="1559"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Board</w:t>
            </w: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Ecological improvements at abstractions sites</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Determine scope of works for Itchen river intake screens to protect eels &amp; lamprey</w:t>
            </w:r>
          </w:p>
        </w:tc>
        <w:tc>
          <w:tcPr>
            <w:tcW w:w="4253"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EA consulted on options and final specification.</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HydroLux (Screen manufacturer) provided design assistance and costing information</w:t>
            </w:r>
          </w:p>
          <w:p w:rsidR="00B24F29" w:rsidRPr="00AC0901" w:rsidRDefault="00B24F29" w:rsidP="00CC0420">
            <w:pPr>
              <w:tabs>
                <w:tab w:val="clear" w:pos="851"/>
              </w:tabs>
              <w:spacing w:after="0"/>
              <w:ind w:left="0"/>
              <w:jc w:val="left"/>
              <w:rPr>
                <w:rFonts w:cs="Arial"/>
                <w:sz w:val="16"/>
                <w:szCs w:val="16"/>
                <w:lang w:eastAsia="en-GB"/>
              </w:rPr>
            </w:pPr>
            <w:r w:rsidRPr="00AC0901">
              <w:rPr>
                <w:rFonts w:cs="Arial"/>
                <w:sz w:val="16"/>
                <w:szCs w:val="16"/>
                <w:lang w:eastAsia="en-GB"/>
              </w:rPr>
              <w:t>Atkins</w:t>
            </w:r>
            <w:r w:rsidR="00AC0901" w:rsidRPr="00AC0901">
              <w:rPr>
                <w:rFonts w:cs="Arial"/>
                <w:sz w:val="16"/>
                <w:szCs w:val="16"/>
                <w:lang w:eastAsia="en-GB"/>
              </w:rPr>
              <w:t xml:space="preserve"> </w:t>
            </w:r>
            <w:r w:rsidRPr="00AC0901">
              <w:rPr>
                <w:rFonts w:cs="Arial"/>
                <w:sz w:val="16"/>
                <w:szCs w:val="16"/>
                <w:lang w:eastAsia="en-GB"/>
              </w:rPr>
              <w:t>inlet works cost validation</w:t>
            </w:r>
          </w:p>
          <w:p w:rsidR="00B24F29" w:rsidRPr="00CC0420" w:rsidRDefault="00B24F29" w:rsidP="00CC0420">
            <w:pPr>
              <w:tabs>
                <w:tab w:val="clear" w:pos="851"/>
              </w:tabs>
              <w:spacing w:after="0"/>
              <w:ind w:left="0"/>
              <w:jc w:val="left"/>
              <w:rPr>
                <w:rFonts w:cs="Arial"/>
                <w:sz w:val="16"/>
                <w:szCs w:val="16"/>
                <w:lang w:eastAsia="en-GB"/>
              </w:rPr>
            </w:pPr>
            <w:r w:rsidRPr="00AC0901">
              <w:rPr>
                <w:rFonts w:cs="Arial"/>
                <w:sz w:val="16"/>
                <w:szCs w:val="16"/>
                <w:lang w:eastAsia="en-GB"/>
              </w:rPr>
              <w:t>External QS validated cost.</w:t>
            </w:r>
          </w:p>
        </w:tc>
        <w:tc>
          <w:tcPr>
            <w:tcW w:w="1559"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EA</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Board</w:t>
            </w: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Maintaining the serviceability of Infrastructure Assets</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Determine appropriate level of targeted mains renewals to maintain stable bursts across the network;</w:t>
            </w:r>
          </w:p>
          <w:p w:rsidR="00B24F29" w:rsidRPr="00CC0420" w:rsidRDefault="00B24F29" w:rsidP="00CC0420">
            <w:pPr>
              <w:tabs>
                <w:tab w:val="clear" w:pos="851"/>
              </w:tabs>
              <w:spacing w:after="0"/>
              <w:ind w:left="0"/>
              <w:jc w:val="left"/>
              <w:rPr>
                <w:rFonts w:cs="Arial"/>
                <w:sz w:val="16"/>
                <w:szCs w:val="16"/>
                <w:lang w:eastAsia="en-GB"/>
              </w:rPr>
            </w:pPr>
          </w:p>
        </w:tc>
        <w:tc>
          <w:tcPr>
            <w:tcW w:w="4253"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WRc </w:t>
            </w:r>
            <w:r w:rsidR="00545AE9">
              <w:rPr>
                <w:rFonts w:cs="Arial"/>
                <w:sz w:val="16"/>
                <w:szCs w:val="16"/>
                <w:lang w:eastAsia="en-GB"/>
              </w:rPr>
              <w:t>p</w:t>
            </w:r>
            <w:r w:rsidRPr="00CC0420">
              <w:rPr>
                <w:rFonts w:cs="Arial"/>
                <w:sz w:val="16"/>
                <w:szCs w:val="16"/>
                <w:lang w:eastAsia="en-GB"/>
              </w:rPr>
              <w:t>repared a deterioration model using  burst cohorts with the objective of maintaining bursts at a stable level</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HydroCo undertook network, impact assessments.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ARL developed a Cost Model based on current Infrastructure Framework contract (Cappagh) and calibrated on actual performance</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 Atkins Undertook  overall  assurance ratifying the risk based approach of targeting mains for renewal to achieve the maximum burst reduction per Km renewed  </w:t>
            </w:r>
          </w:p>
        </w:tc>
        <w:tc>
          <w:tcPr>
            <w:tcW w:w="1559"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Board</w:t>
            </w:r>
          </w:p>
          <w:p w:rsidR="00B24F29" w:rsidRPr="00CC0420" w:rsidRDefault="00B24F29" w:rsidP="00CC0420">
            <w:pPr>
              <w:tabs>
                <w:tab w:val="clear" w:pos="851"/>
              </w:tabs>
              <w:spacing w:after="0"/>
              <w:ind w:left="0"/>
              <w:jc w:val="left"/>
              <w:rPr>
                <w:rFonts w:cs="Arial"/>
                <w:sz w:val="16"/>
                <w:szCs w:val="16"/>
                <w:lang w:eastAsia="en-GB"/>
              </w:rPr>
            </w:pP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Maintaining the serviceability of non-infrastructure assets</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Determine approach to non-infrastructure investment to maintain stable outages.</w:t>
            </w:r>
          </w:p>
        </w:tc>
        <w:tc>
          <w:tcPr>
            <w:tcW w:w="4253"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Mouchel (Mouchel Asset Replacement Model used to  complete Weibull analysis on asset performance and renewal options);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ARL provided modelling of the age profile of boreholes and reservoirs, and spending levels </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Bridges/Trant provided contractor unit rates for benchmarking</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ARL provided a MEAV cost model</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External QS price build up &amp; validation of schemes costs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 Atkins undertook overall independent assurance and challenge of approach and costs.</w:t>
            </w:r>
          </w:p>
        </w:tc>
        <w:tc>
          <w:tcPr>
            <w:tcW w:w="1559"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Board</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DWI support</w:t>
            </w:r>
          </w:p>
          <w:p w:rsidR="00B24F29" w:rsidRPr="00CC0420" w:rsidRDefault="00B24F29" w:rsidP="00CC0420">
            <w:pPr>
              <w:tabs>
                <w:tab w:val="clear" w:pos="851"/>
              </w:tabs>
              <w:spacing w:after="0"/>
              <w:ind w:left="0"/>
              <w:jc w:val="left"/>
              <w:rPr>
                <w:rFonts w:cs="Arial"/>
                <w:sz w:val="16"/>
                <w:szCs w:val="16"/>
                <w:lang w:eastAsia="en-GB"/>
              </w:rPr>
            </w:pPr>
          </w:p>
        </w:tc>
      </w:tr>
      <w:tr w:rsidR="00B24F29" w:rsidRPr="00CC0420" w:rsidTr="00F81228">
        <w:tc>
          <w:tcPr>
            <w:tcW w:w="1701" w:type="dxa"/>
          </w:tcPr>
          <w:p w:rsidR="00B24F29" w:rsidRPr="00CC0420" w:rsidRDefault="00B24F29" w:rsidP="00CC0420">
            <w:pPr>
              <w:tabs>
                <w:tab w:val="clear" w:pos="851"/>
              </w:tabs>
              <w:spacing w:after="0"/>
              <w:ind w:left="0"/>
              <w:jc w:val="left"/>
              <w:rPr>
                <w:rFonts w:cs="Arial"/>
                <w:bCs/>
                <w:sz w:val="16"/>
                <w:szCs w:val="16"/>
                <w:lang w:eastAsia="en-GB"/>
              </w:rPr>
            </w:pPr>
            <w:r w:rsidRPr="00CC0420">
              <w:rPr>
                <w:rFonts w:cs="Arial"/>
                <w:bCs/>
                <w:sz w:val="16"/>
                <w:szCs w:val="16"/>
                <w:lang w:eastAsia="en-GB"/>
              </w:rPr>
              <w:t>Management &amp; General costs</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Challenge for costs relating to buildings, vehicle fleet, laboratory &amp; IT services</w:t>
            </w:r>
          </w:p>
        </w:tc>
        <w:tc>
          <w:tcPr>
            <w:tcW w:w="4253" w:type="dxa"/>
            <w:shd w:val="clear" w:color="auto" w:fill="auto"/>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Vail Williams review assessment and challenge of building maintenance costs.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External suppliers - Vauxhall &amp; Ford provided quotations and options for future strategy</w:t>
            </w:r>
          </w:p>
        </w:tc>
        <w:tc>
          <w:tcPr>
            <w:tcW w:w="1559"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Board</w:t>
            </w: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Addressing current and future supply/ demand deficit, </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WRMP’s proposes 25,000 new meters:- 12,890 meter Optants; 10,610 selective change of occupier; 1,500 void properties; Install 2,500 not for revenue.</w:t>
            </w:r>
          </w:p>
        </w:tc>
        <w:tc>
          <w:tcPr>
            <w:tcW w:w="4253" w:type="dxa"/>
            <w:shd w:val="clear" w:color="auto" w:fill="auto"/>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AECOM (WRMP) deployable yield assessments for WRMP and proposed solutions.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ARL developed a Cost Model based on current Infrastructure Framework contract (Cappagh). (</w:t>
            </w:r>
            <w:r w:rsidR="00C22508">
              <w:rPr>
                <w:rFonts w:cs="Arial"/>
                <w:sz w:val="16"/>
                <w:szCs w:val="16"/>
                <w:lang w:eastAsia="en-GB"/>
              </w:rPr>
              <w:t>PW</w:t>
            </w:r>
            <w:r w:rsidRPr="00CC0420">
              <w:rPr>
                <w:rFonts w:cs="Arial"/>
                <w:sz w:val="16"/>
                <w:szCs w:val="16"/>
                <w:lang w:eastAsia="en-GB"/>
              </w:rPr>
              <w:t xml:space="preserve"> rate &lt; industry 50%’ile cost/ meter.)</w:t>
            </w:r>
          </w:p>
        </w:tc>
        <w:tc>
          <w:tcPr>
            <w:tcW w:w="1559"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Board </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EA, WT, Natural England &amp; Local Planning Authorities </w:t>
            </w: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Addressing current and future supply/ demand deficit- average condition</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Determine effective approach to increase deployable output</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Shape leakage reduction strategy</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Approach to update consumption monitor.</w:t>
            </w:r>
          </w:p>
        </w:tc>
        <w:tc>
          <w:tcPr>
            <w:tcW w:w="4253"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AECOM (WRMP) deployable yield assessments for WRMP and proposed solutions.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TMC External report and challenge relating to leakage strategy</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Experian (Base Forecasts) provide population and growth forecasts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AMEC (Habitats &amp; Environs) nitrate groundwater models, prediction for future trends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UKWIR (17/RG/04/05) – new compliance standard on calculation of leakage </w:t>
            </w:r>
            <w:r w:rsidR="00042648" w:rsidRPr="00CC0420">
              <w:rPr>
                <w:rFonts w:cs="Arial"/>
                <w:sz w:val="16"/>
                <w:szCs w:val="16"/>
                <w:lang w:eastAsia="en-GB"/>
              </w:rPr>
              <w:t>components</w:t>
            </w:r>
          </w:p>
          <w:p w:rsidR="00B24F29" w:rsidRPr="00CC0420" w:rsidRDefault="00C22508" w:rsidP="00CC0420">
            <w:pPr>
              <w:tabs>
                <w:tab w:val="clear" w:pos="851"/>
              </w:tabs>
              <w:spacing w:after="0"/>
              <w:ind w:left="0"/>
              <w:jc w:val="left"/>
              <w:rPr>
                <w:rFonts w:cs="Arial"/>
                <w:sz w:val="16"/>
                <w:szCs w:val="16"/>
                <w:lang w:eastAsia="en-GB"/>
              </w:rPr>
            </w:pPr>
            <w:r>
              <w:rPr>
                <w:rFonts w:cs="Arial"/>
                <w:sz w:val="16"/>
                <w:szCs w:val="16"/>
                <w:lang w:eastAsia="en-GB"/>
              </w:rPr>
              <w:t>PW</w:t>
            </w:r>
            <w:r w:rsidR="00B24F29" w:rsidRPr="00CC0420">
              <w:rPr>
                <w:rFonts w:cs="Arial"/>
                <w:sz w:val="16"/>
                <w:szCs w:val="16"/>
                <w:lang w:eastAsia="en-GB"/>
              </w:rPr>
              <w:t xml:space="preserve"> has developed some costs from previously delivered works, e.g. borehole drilling</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External suppliers provided quotations for equipment (specifically HWM &amp; TMC)</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External QS price build up &amp; validation of schemes costs</w:t>
            </w:r>
          </w:p>
        </w:tc>
        <w:tc>
          <w:tcPr>
            <w:tcW w:w="1559" w:type="dxa"/>
          </w:tcPr>
          <w:p w:rsidR="00B24F29" w:rsidRPr="00CC0420" w:rsidRDefault="00C22508" w:rsidP="00CC0420">
            <w:pPr>
              <w:tabs>
                <w:tab w:val="clear" w:pos="851"/>
              </w:tabs>
              <w:spacing w:after="0"/>
              <w:ind w:left="0"/>
              <w:jc w:val="left"/>
              <w:rPr>
                <w:rFonts w:cs="Arial"/>
                <w:sz w:val="16"/>
                <w:szCs w:val="16"/>
                <w:lang w:eastAsia="en-GB"/>
              </w:rPr>
            </w:pPr>
            <w:r>
              <w:rPr>
                <w:rFonts w:cs="Arial"/>
                <w:sz w:val="16"/>
                <w:szCs w:val="16"/>
                <w:lang w:eastAsia="en-GB"/>
              </w:rPr>
              <w:t>PW</w:t>
            </w:r>
            <w:r w:rsidR="00B24F29" w:rsidRPr="00CC0420">
              <w:rPr>
                <w:rFonts w:cs="Arial"/>
                <w:sz w:val="16"/>
                <w:szCs w:val="16"/>
                <w:lang w:eastAsia="en-GB"/>
              </w:rPr>
              <w:t xml:space="preserve"> Board </w:t>
            </w:r>
          </w:p>
          <w:p w:rsidR="00B24F29" w:rsidRPr="00CC0420" w:rsidRDefault="00B24F29" w:rsidP="00CC0420">
            <w:pPr>
              <w:tabs>
                <w:tab w:val="clear" w:pos="851"/>
              </w:tabs>
              <w:spacing w:after="0"/>
              <w:ind w:left="0"/>
              <w:jc w:val="left"/>
              <w:rPr>
                <w:rFonts w:cs="Arial"/>
                <w:sz w:val="16"/>
                <w:szCs w:val="16"/>
                <w:lang w:eastAsia="en-GB"/>
              </w:rPr>
            </w:pPr>
          </w:p>
        </w:tc>
      </w:tr>
    </w:tbl>
    <w:p w:rsidR="00AA7447" w:rsidRDefault="00AA7447"/>
    <w:p w:rsidR="00AA7447" w:rsidRDefault="00AA7447">
      <w:pPr>
        <w:tabs>
          <w:tab w:val="clear" w:pos="851"/>
        </w:tabs>
        <w:spacing w:after="0"/>
        <w:ind w:left="0"/>
        <w:jc w:val="left"/>
      </w:pPr>
      <w:r>
        <w:br w:type="page"/>
      </w:r>
    </w:p>
    <w:tbl>
      <w:tblPr>
        <w:tblStyle w:val="TableGrid411"/>
        <w:tblW w:w="8930" w:type="dxa"/>
        <w:tblInd w:w="846" w:type="dxa"/>
        <w:tblLook w:val="04A0" w:firstRow="1" w:lastRow="0" w:firstColumn="1" w:lastColumn="0" w:noHBand="0" w:noVBand="1"/>
      </w:tblPr>
      <w:tblGrid>
        <w:gridCol w:w="1701"/>
        <w:gridCol w:w="1417"/>
        <w:gridCol w:w="4253"/>
        <w:gridCol w:w="1559"/>
      </w:tblGrid>
      <w:tr w:rsidR="00AA7447" w:rsidRPr="00CC0420" w:rsidTr="007C45DD">
        <w:trPr>
          <w:trHeight w:val="115"/>
          <w:tblHeader/>
        </w:trPr>
        <w:tc>
          <w:tcPr>
            <w:tcW w:w="1701" w:type="dxa"/>
            <w:shd w:val="clear" w:color="auto" w:fill="2E74B5" w:themeFill="accent1" w:themeFillShade="BF"/>
            <w:vAlign w:val="center"/>
          </w:tcPr>
          <w:p w:rsidR="00AA7447" w:rsidRPr="00CC0420" w:rsidRDefault="00AA7447" w:rsidP="007C45DD">
            <w:pPr>
              <w:tabs>
                <w:tab w:val="clear" w:pos="851"/>
              </w:tabs>
              <w:spacing w:after="0"/>
              <w:ind w:left="0"/>
              <w:jc w:val="center"/>
              <w:rPr>
                <w:rFonts w:cs="Arial"/>
                <w:b/>
                <w:color w:val="FFFFFF"/>
                <w:sz w:val="16"/>
                <w:szCs w:val="16"/>
                <w:lang w:eastAsia="en-GB"/>
              </w:rPr>
            </w:pPr>
            <w:r w:rsidRPr="00CC0420">
              <w:rPr>
                <w:rFonts w:cs="Arial"/>
                <w:b/>
                <w:color w:val="FFFFFF"/>
                <w:sz w:val="16"/>
                <w:szCs w:val="16"/>
                <w:lang w:eastAsia="en-GB"/>
              </w:rPr>
              <w:t>Business plan area</w:t>
            </w:r>
          </w:p>
        </w:tc>
        <w:tc>
          <w:tcPr>
            <w:tcW w:w="1417" w:type="dxa"/>
            <w:shd w:val="clear" w:color="auto" w:fill="2E74B5" w:themeFill="accent1" w:themeFillShade="BF"/>
            <w:vAlign w:val="center"/>
          </w:tcPr>
          <w:p w:rsidR="00AA7447" w:rsidRPr="00CC0420" w:rsidRDefault="00AA7447" w:rsidP="007C45DD">
            <w:pPr>
              <w:tabs>
                <w:tab w:val="clear" w:pos="851"/>
              </w:tabs>
              <w:spacing w:after="0"/>
              <w:ind w:left="0"/>
              <w:jc w:val="center"/>
              <w:rPr>
                <w:rFonts w:cs="Arial"/>
                <w:b/>
                <w:color w:val="FFFFFF"/>
                <w:sz w:val="16"/>
                <w:szCs w:val="16"/>
                <w:lang w:eastAsia="en-GB"/>
              </w:rPr>
            </w:pPr>
            <w:r w:rsidRPr="00CC0420">
              <w:rPr>
                <w:rFonts w:cs="Arial"/>
                <w:b/>
                <w:color w:val="FFFFFF"/>
                <w:sz w:val="16"/>
                <w:szCs w:val="16"/>
                <w:lang w:eastAsia="en-GB"/>
              </w:rPr>
              <w:t>Scope</w:t>
            </w:r>
          </w:p>
        </w:tc>
        <w:tc>
          <w:tcPr>
            <w:tcW w:w="4253" w:type="dxa"/>
            <w:shd w:val="clear" w:color="auto" w:fill="2E74B5" w:themeFill="accent1" w:themeFillShade="BF"/>
            <w:vAlign w:val="center"/>
          </w:tcPr>
          <w:p w:rsidR="00AA7447" w:rsidRPr="00CC0420" w:rsidRDefault="00AA7447" w:rsidP="007C45DD">
            <w:pPr>
              <w:tabs>
                <w:tab w:val="clear" w:pos="851"/>
              </w:tabs>
              <w:spacing w:after="0"/>
              <w:ind w:left="0"/>
              <w:jc w:val="center"/>
              <w:rPr>
                <w:rFonts w:cs="Arial"/>
                <w:b/>
                <w:color w:val="FFFFFF"/>
                <w:sz w:val="16"/>
                <w:szCs w:val="16"/>
                <w:lang w:eastAsia="en-GB"/>
              </w:rPr>
            </w:pPr>
            <w:r w:rsidRPr="00CC0420">
              <w:rPr>
                <w:rFonts w:cs="Arial"/>
                <w:b/>
                <w:color w:val="FFFFFF"/>
                <w:sz w:val="16"/>
                <w:szCs w:val="16"/>
                <w:lang w:eastAsia="en-GB"/>
              </w:rPr>
              <w:t>External assurance/support/challenge</w:t>
            </w:r>
          </w:p>
        </w:tc>
        <w:tc>
          <w:tcPr>
            <w:tcW w:w="1559" w:type="dxa"/>
            <w:shd w:val="clear" w:color="auto" w:fill="2E74B5" w:themeFill="accent1" w:themeFillShade="BF"/>
            <w:vAlign w:val="center"/>
          </w:tcPr>
          <w:p w:rsidR="00AA7447" w:rsidRPr="00CC0420" w:rsidRDefault="00AA7447" w:rsidP="007C45DD">
            <w:pPr>
              <w:tabs>
                <w:tab w:val="clear" w:pos="851"/>
              </w:tabs>
              <w:spacing w:after="0"/>
              <w:ind w:left="0"/>
              <w:jc w:val="center"/>
              <w:rPr>
                <w:rFonts w:cs="Arial"/>
                <w:b/>
                <w:color w:val="FFFFFF"/>
                <w:sz w:val="16"/>
                <w:szCs w:val="16"/>
                <w:lang w:eastAsia="en-GB"/>
              </w:rPr>
            </w:pPr>
            <w:r w:rsidRPr="00CC0420">
              <w:rPr>
                <w:rFonts w:cs="Arial"/>
                <w:b/>
                <w:color w:val="FFFFFF"/>
                <w:sz w:val="16"/>
                <w:szCs w:val="16"/>
                <w:lang w:eastAsia="en-GB"/>
              </w:rPr>
              <w:t>Other stakeholders</w:t>
            </w: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New developments</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Meet developer needs to connect new properties; Meet D-MeX expectation;</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Transparent charging.</w:t>
            </w:r>
          </w:p>
        </w:tc>
        <w:tc>
          <w:tcPr>
            <w:tcW w:w="4253" w:type="dxa"/>
            <w:shd w:val="clear" w:color="auto" w:fill="auto"/>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Experian External econometric forecast of development scenarios</w:t>
            </w:r>
          </w:p>
          <w:p w:rsidR="00B24F29" w:rsidRPr="00CC0420" w:rsidRDefault="00B24F29" w:rsidP="00B24CAC">
            <w:pPr>
              <w:tabs>
                <w:tab w:val="clear" w:pos="851"/>
              </w:tabs>
              <w:spacing w:after="0"/>
              <w:ind w:left="0"/>
              <w:jc w:val="left"/>
              <w:rPr>
                <w:rFonts w:cs="Arial"/>
                <w:sz w:val="16"/>
                <w:szCs w:val="16"/>
                <w:lang w:eastAsia="en-GB"/>
              </w:rPr>
            </w:pPr>
            <w:r w:rsidRPr="00CC0420">
              <w:rPr>
                <w:rFonts w:cs="Arial"/>
                <w:sz w:val="16"/>
                <w:szCs w:val="16"/>
                <w:lang w:eastAsia="en-GB"/>
              </w:rPr>
              <w:t>ARL Infra Cost Model based on current Infra Benchmarking costs against recently market tested framework contract (Cappagh)</w:t>
            </w:r>
          </w:p>
        </w:tc>
        <w:tc>
          <w:tcPr>
            <w:tcW w:w="1559" w:type="dxa"/>
          </w:tcPr>
          <w:p w:rsidR="00B24F29" w:rsidRPr="00CC0420" w:rsidRDefault="00C22508" w:rsidP="00CC0420">
            <w:pPr>
              <w:tabs>
                <w:tab w:val="clear" w:pos="851"/>
              </w:tabs>
              <w:spacing w:after="0"/>
              <w:ind w:left="0"/>
              <w:jc w:val="left"/>
              <w:rPr>
                <w:rFonts w:cs="Arial"/>
                <w:sz w:val="16"/>
                <w:szCs w:val="16"/>
                <w:lang w:eastAsia="en-GB"/>
              </w:rPr>
            </w:pPr>
            <w:r>
              <w:rPr>
                <w:rFonts w:cs="Arial"/>
                <w:sz w:val="16"/>
                <w:szCs w:val="16"/>
                <w:lang w:eastAsia="en-GB"/>
              </w:rPr>
              <w:t>PW</w:t>
            </w:r>
            <w:r w:rsidR="00B24F29" w:rsidRPr="00CC0420">
              <w:rPr>
                <w:rFonts w:cs="Arial"/>
                <w:sz w:val="16"/>
                <w:szCs w:val="16"/>
                <w:lang w:eastAsia="en-GB"/>
              </w:rPr>
              <w:t xml:space="preserve"> Board </w:t>
            </w:r>
          </w:p>
          <w:p w:rsidR="00B24F29" w:rsidRPr="00CC0420" w:rsidRDefault="00B24F29" w:rsidP="00CC0420">
            <w:pPr>
              <w:tabs>
                <w:tab w:val="clear" w:pos="851"/>
              </w:tabs>
              <w:spacing w:after="0"/>
              <w:ind w:left="0"/>
              <w:jc w:val="left"/>
              <w:rPr>
                <w:rFonts w:cs="Arial"/>
                <w:sz w:val="16"/>
                <w:szCs w:val="16"/>
                <w:lang w:eastAsia="en-GB"/>
              </w:rPr>
            </w:pP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Investment to address raw water deterioration (THM, nitrates, Crypto, pesticides, others)</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Address Issues in the Drinking Water Safety  Plan at specific sites and contamination risks within the Aquifer catchments</w:t>
            </w:r>
          </w:p>
        </w:tc>
        <w:tc>
          <w:tcPr>
            <w:tcW w:w="4253"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DWI Approved DWSPs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Atkins application of optimisation model to determine best combination of approaches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AMEC </w:t>
            </w:r>
            <w:r w:rsidR="00B24CAC">
              <w:rPr>
                <w:rFonts w:cs="Arial"/>
                <w:sz w:val="16"/>
                <w:szCs w:val="16"/>
                <w:lang w:eastAsia="en-GB"/>
              </w:rPr>
              <w:t>(</w:t>
            </w:r>
            <w:r w:rsidRPr="00CC0420">
              <w:rPr>
                <w:rFonts w:cs="Arial"/>
                <w:sz w:val="16"/>
                <w:szCs w:val="16"/>
                <w:lang w:eastAsia="en-GB"/>
              </w:rPr>
              <w:t>Conceptual Work Books – Nitrate Models);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Atkins Benchmarking of industry costs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PES  Advice on Payment for Ecosystem scheme</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 Atkins undertook overall independent assurance and challenge of approach and costs.</w:t>
            </w:r>
          </w:p>
        </w:tc>
        <w:tc>
          <w:tcPr>
            <w:tcW w:w="1559"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Board</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DWI support Catchment Plan</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EA, SDNPA, NE support</w:t>
            </w: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Resilience</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4 schemes to mitigate impacts of compound outages and improve resilience to </w:t>
            </w:r>
            <w:r w:rsidR="00C22508">
              <w:rPr>
                <w:rFonts w:cs="Arial"/>
                <w:sz w:val="16"/>
                <w:szCs w:val="16"/>
                <w:lang w:eastAsia="en-GB"/>
              </w:rPr>
              <w:t>PW</w:t>
            </w:r>
            <w:r w:rsidRPr="00CC0420">
              <w:rPr>
                <w:rFonts w:cs="Arial"/>
                <w:sz w:val="16"/>
                <w:szCs w:val="16"/>
                <w:lang w:eastAsia="en-GB"/>
              </w:rPr>
              <w:t>’s supply and distribution system</w:t>
            </w:r>
          </w:p>
        </w:tc>
        <w:tc>
          <w:tcPr>
            <w:tcW w:w="4253"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Servalec developed a MISER </w:t>
            </w:r>
            <w:r w:rsidR="00042648" w:rsidRPr="00CC0420">
              <w:rPr>
                <w:rFonts w:cs="Arial"/>
                <w:sz w:val="16"/>
                <w:szCs w:val="16"/>
                <w:lang w:eastAsia="en-GB"/>
              </w:rPr>
              <w:t>model that</w:t>
            </w:r>
            <w:r w:rsidRPr="00CC0420">
              <w:rPr>
                <w:rFonts w:cs="Arial"/>
                <w:sz w:val="16"/>
                <w:szCs w:val="16"/>
                <w:lang w:eastAsia="en-GB"/>
              </w:rPr>
              <w:t xml:space="preserve"> looked at multiple failure scenarios and their impact across PERT system.</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HydroCo Hydraulic analysis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Atkins  application of optimisation model to determine best combination of approaches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Atkins benchmarking industry costs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External suppliers, </w:t>
            </w:r>
            <w:r w:rsidR="00C22508">
              <w:rPr>
                <w:rFonts w:cs="Arial"/>
                <w:sz w:val="16"/>
                <w:szCs w:val="16"/>
                <w:lang w:eastAsia="en-GB"/>
              </w:rPr>
              <w:t>PW</w:t>
            </w:r>
            <w:r w:rsidRPr="00CC0420">
              <w:rPr>
                <w:rFonts w:cs="Arial"/>
                <w:sz w:val="16"/>
                <w:szCs w:val="16"/>
                <w:lang w:eastAsia="en-GB"/>
              </w:rPr>
              <w:t xml:space="preserve"> obtained quotations for VOC Monitors from current suppliers.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External QS for Scheme price build-up</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Atkins undertook overall independent assurance and challenge of approach and costs.</w:t>
            </w:r>
          </w:p>
        </w:tc>
        <w:tc>
          <w:tcPr>
            <w:tcW w:w="1559"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Board</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 xml:space="preserve">DWI </w:t>
            </w:r>
          </w:p>
          <w:p w:rsidR="00B24F29" w:rsidRPr="00CC0420" w:rsidRDefault="00B24F29" w:rsidP="00CC0420">
            <w:pPr>
              <w:tabs>
                <w:tab w:val="clear" w:pos="851"/>
              </w:tabs>
              <w:spacing w:after="0"/>
              <w:ind w:left="0"/>
              <w:jc w:val="left"/>
              <w:rPr>
                <w:rFonts w:cs="Arial"/>
                <w:sz w:val="16"/>
                <w:szCs w:val="16"/>
                <w:lang w:eastAsia="en-GB"/>
              </w:rPr>
            </w:pPr>
          </w:p>
        </w:tc>
      </w:tr>
      <w:tr w:rsidR="00B24F29" w:rsidRPr="00CC0420" w:rsidTr="00F81228">
        <w:tc>
          <w:tcPr>
            <w:tcW w:w="1701"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SEMD</w:t>
            </w:r>
          </w:p>
        </w:tc>
        <w:tc>
          <w:tcPr>
            <w:tcW w:w="1417"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Approach to upgrade site security in line with SEMD requirements</w:t>
            </w:r>
          </w:p>
        </w:tc>
        <w:tc>
          <w:tcPr>
            <w:tcW w:w="4253" w:type="dxa"/>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Water UK information on security standards</w:t>
            </w:r>
          </w:p>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Liddle Doors cost benchmarking</w:t>
            </w:r>
          </w:p>
          <w:p w:rsidR="00B24F29" w:rsidRPr="00CC0420" w:rsidRDefault="00B24F29" w:rsidP="00CC0420">
            <w:pPr>
              <w:tabs>
                <w:tab w:val="clear" w:pos="851"/>
              </w:tabs>
              <w:spacing w:after="0"/>
              <w:ind w:left="0"/>
              <w:jc w:val="left"/>
              <w:rPr>
                <w:rFonts w:cs="Arial"/>
                <w:sz w:val="16"/>
                <w:szCs w:val="16"/>
                <w:lang w:eastAsia="en-GB"/>
              </w:rPr>
            </w:pPr>
          </w:p>
        </w:tc>
        <w:tc>
          <w:tcPr>
            <w:tcW w:w="1559" w:type="dxa"/>
            <w:shd w:val="clear" w:color="auto" w:fill="auto"/>
          </w:tcPr>
          <w:p w:rsidR="00B24F29" w:rsidRPr="00CC0420" w:rsidRDefault="00B24F29" w:rsidP="00CC0420">
            <w:pPr>
              <w:tabs>
                <w:tab w:val="clear" w:pos="851"/>
              </w:tabs>
              <w:spacing w:after="0"/>
              <w:ind w:left="0"/>
              <w:jc w:val="left"/>
              <w:rPr>
                <w:rFonts w:cs="Arial"/>
                <w:sz w:val="16"/>
                <w:szCs w:val="16"/>
                <w:lang w:eastAsia="en-GB"/>
              </w:rPr>
            </w:pPr>
            <w:r w:rsidRPr="00CC0420">
              <w:rPr>
                <w:rFonts w:cs="Arial"/>
                <w:sz w:val="16"/>
                <w:szCs w:val="16"/>
                <w:lang w:eastAsia="en-GB"/>
              </w:rPr>
              <w:t>Board</w:t>
            </w:r>
          </w:p>
        </w:tc>
      </w:tr>
    </w:tbl>
    <w:p w:rsidR="00B24F29" w:rsidRPr="00B24F29" w:rsidRDefault="00B24F29" w:rsidP="0035083C">
      <w:pPr>
        <w:spacing w:after="0"/>
      </w:pPr>
    </w:p>
    <w:p w:rsidR="0099774F" w:rsidRDefault="0060424F" w:rsidP="0099774F">
      <w:pPr>
        <w:pStyle w:val="Heading2"/>
      </w:pPr>
      <w:bookmarkStart w:id="295" w:name="_Toc522200052"/>
      <w:bookmarkStart w:id="296" w:name="_Toc522200149"/>
      <w:bookmarkStart w:id="297" w:name="_Toc523651366"/>
      <w:r>
        <w:t xml:space="preserve">Our Summary of </w:t>
      </w:r>
      <w:r w:rsidR="0099774F">
        <w:t>CCG Report</w:t>
      </w:r>
      <w:bookmarkEnd w:id="295"/>
      <w:bookmarkEnd w:id="296"/>
      <w:bookmarkEnd w:id="297"/>
    </w:p>
    <w:p w:rsidR="00212F4A" w:rsidRPr="00212F4A" w:rsidRDefault="00212F4A" w:rsidP="005A7032">
      <w:r w:rsidRPr="00212F4A">
        <w:t>The Customer Challenge Group (CCG) was established in 2012 in preparation for the PR14 Business Plan.  The Company valued its challenge and as such the CCG continued throughout this AMP period, with largely the same membership, to monitor and challenge the Company on its Business Plan Commitments agreed at PR14.</w:t>
      </w:r>
    </w:p>
    <w:p w:rsidR="00212F4A" w:rsidRPr="00212F4A" w:rsidRDefault="00212F4A" w:rsidP="005A7032">
      <w:r w:rsidRPr="00212F4A">
        <w:t xml:space="preserve">The Company chose to expand its remit for PR19 to meet Ofwat’s expectations that the Company Business Plan reflects the views of its customers and ensures the Company explains clearly where it is not aligned to customer views.  Specifically, their remit for PR19 is to ensure:- </w:t>
      </w:r>
    </w:p>
    <w:p w:rsidR="00212F4A" w:rsidRPr="00212F4A" w:rsidRDefault="00212F4A" w:rsidP="005A7032">
      <w:pPr>
        <w:pStyle w:val="Bullets"/>
      </w:pPr>
      <w:r w:rsidRPr="00212F4A">
        <w:t xml:space="preserve">our customer engagement encompasses views of all classes of customer; and </w:t>
      </w:r>
    </w:p>
    <w:p w:rsidR="00212F4A" w:rsidRDefault="00212F4A" w:rsidP="005A7032">
      <w:pPr>
        <w:pStyle w:val="Bullets"/>
      </w:pPr>
      <w:r w:rsidRPr="00212F4A">
        <w:t xml:space="preserve">the engagement drives our decision making and is </w:t>
      </w:r>
      <w:r w:rsidR="005A7032">
        <w:t xml:space="preserve">reflected in our </w:t>
      </w:r>
      <w:r w:rsidR="00B24CAC">
        <w:t>B</w:t>
      </w:r>
      <w:r w:rsidR="005A7032">
        <w:t xml:space="preserve">usiness </w:t>
      </w:r>
      <w:r w:rsidR="00B24CAC">
        <w:t>P</w:t>
      </w:r>
      <w:r w:rsidR="005A7032">
        <w:t>lan</w:t>
      </w:r>
    </w:p>
    <w:p w:rsidR="005A7032" w:rsidRPr="00212F4A" w:rsidRDefault="005A7032" w:rsidP="005A7032">
      <w:pPr>
        <w:pStyle w:val="Bullets"/>
        <w:numPr>
          <w:ilvl w:val="0"/>
          <w:numId w:val="0"/>
        </w:numPr>
        <w:ind w:left="1494"/>
      </w:pPr>
    </w:p>
    <w:p w:rsidR="00212F4A" w:rsidRPr="00212F4A" w:rsidRDefault="00212F4A" w:rsidP="005A7032">
      <w:r w:rsidRPr="00212F4A">
        <w:t>In August 2018, the CCG shared their report to Ofwat with the Company, and we believe this is a very fair and accurate reflection of the issues we have reviewed and addressed in preparing for this Business Plan over the last 18 months in particular</w:t>
      </w:r>
      <w:r w:rsidR="00483B16">
        <w:t xml:space="preserve"> (see Appendix 13.4)</w:t>
      </w:r>
      <w:r w:rsidRPr="00212F4A">
        <w:t xml:space="preserve">.  </w:t>
      </w:r>
    </w:p>
    <w:p w:rsidR="00AA7447" w:rsidRDefault="00AA7447" w:rsidP="005A7032"/>
    <w:p w:rsidR="00212F4A" w:rsidRPr="00212F4A" w:rsidRDefault="00212F4A" w:rsidP="005A7032">
      <w:r w:rsidRPr="00212F4A">
        <w:t>We note the following 12 key points from their report:-</w:t>
      </w:r>
    </w:p>
    <w:p w:rsid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The CCG have been included in a meaningful, timely and transparent manner in the process of consultation that the Company has used to elicit its customer preferences for PR19. </w:t>
      </w:r>
    </w:p>
    <w:p w:rsidR="00212F4A" w:rsidRPr="00212F4A" w:rsidRDefault="00212F4A" w:rsidP="005A7032">
      <w:pPr>
        <w:pStyle w:val="ListParagraph"/>
        <w:spacing w:line="240" w:lineRule="auto"/>
        <w:ind w:left="1211"/>
        <w:jc w:val="both"/>
        <w:rPr>
          <w:rFonts w:ascii="Arial" w:hAnsi="Arial" w:cs="Arial"/>
          <w:sz w:val="24"/>
          <w:szCs w:val="24"/>
        </w:rPr>
      </w:pPr>
    </w:p>
    <w:p w:rsid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The CCG considers that the Company has carried out a high-quality process of customer engagement, with meaningful views being sought in relation to potential commitments, the importance of relative commitments and potential targets for those commitments.  </w:t>
      </w:r>
    </w:p>
    <w:p w:rsidR="00212F4A" w:rsidRPr="00212F4A" w:rsidRDefault="00212F4A" w:rsidP="005A7032">
      <w:pPr>
        <w:pStyle w:val="ListParagraph"/>
        <w:spacing w:line="240" w:lineRule="auto"/>
        <w:ind w:left="1211"/>
        <w:jc w:val="both"/>
        <w:rPr>
          <w:rFonts w:ascii="Arial" w:hAnsi="Arial" w:cs="Arial"/>
          <w:sz w:val="24"/>
          <w:szCs w:val="24"/>
        </w:rPr>
      </w:pPr>
    </w:p>
    <w:p w:rsid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The CCG considers the Company used a variety of engagement methods, which started off with open consultation on a wide range of potential concerns and issues refining these through a process of qualitative consultation based on focus groups and specific testing through the Customer Advisory Panel (CAP). </w:t>
      </w:r>
    </w:p>
    <w:p w:rsidR="00212F4A" w:rsidRPr="00212F4A" w:rsidRDefault="00212F4A" w:rsidP="005A7032">
      <w:pPr>
        <w:pStyle w:val="ListParagraph"/>
        <w:spacing w:line="240" w:lineRule="auto"/>
        <w:ind w:left="1211"/>
        <w:jc w:val="both"/>
        <w:rPr>
          <w:rFonts w:ascii="Arial" w:hAnsi="Arial" w:cs="Arial"/>
          <w:sz w:val="24"/>
          <w:szCs w:val="24"/>
        </w:rPr>
      </w:pPr>
    </w:p>
    <w:p w:rsid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The CCG considers that the Company used the qualitative process of engagement to identify customer preferences and turn these into Performance Commitments, before it then adopted quantitative consultation methods to check that potential targets were stretching. Quantitative surveys were also used to elicit customers’ preferences in relation to rewards and penalties, review its Water Resources Management Plan (WRMP) proposals and consult on the acceptability of its Business Plan. </w:t>
      </w:r>
    </w:p>
    <w:p w:rsidR="00212F4A" w:rsidRPr="00212F4A" w:rsidRDefault="00212F4A" w:rsidP="005A7032">
      <w:pPr>
        <w:pStyle w:val="ListParagraph"/>
        <w:spacing w:line="240" w:lineRule="auto"/>
        <w:ind w:left="1211"/>
        <w:jc w:val="both"/>
        <w:rPr>
          <w:rFonts w:ascii="Arial" w:hAnsi="Arial" w:cs="Arial"/>
          <w:sz w:val="24"/>
          <w:szCs w:val="24"/>
        </w:rPr>
      </w:pPr>
    </w:p>
    <w:p w:rsid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At various points in the initial qualitative process the CCG challenged the Company to adapt the scope of its consultation to try and obtain a better understanding, particularly in relation to attitudes to metering and leakage and we responded positively to these challenges.</w:t>
      </w:r>
    </w:p>
    <w:p w:rsidR="00212F4A" w:rsidRPr="00212F4A" w:rsidRDefault="00212F4A" w:rsidP="005A7032">
      <w:pPr>
        <w:pStyle w:val="ListParagraph"/>
        <w:spacing w:line="240" w:lineRule="auto"/>
        <w:ind w:left="1211"/>
        <w:jc w:val="both"/>
        <w:rPr>
          <w:rFonts w:ascii="Arial" w:hAnsi="Arial" w:cs="Arial"/>
          <w:sz w:val="24"/>
          <w:szCs w:val="24"/>
        </w:rPr>
      </w:pPr>
    </w:p>
    <w:p w:rsid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The CCG considers that, based on its consultation, the Company were able to understand and consult with customers on the issues that matter to them. </w:t>
      </w:r>
    </w:p>
    <w:p w:rsidR="00CE59B9" w:rsidRPr="00CE59B9" w:rsidRDefault="00CE59B9" w:rsidP="005A7032">
      <w:pPr>
        <w:pStyle w:val="ListParagraph"/>
        <w:spacing w:line="240" w:lineRule="auto"/>
        <w:jc w:val="both"/>
        <w:rPr>
          <w:rFonts w:ascii="Arial" w:hAnsi="Arial" w:cs="Arial"/>
          <w:sz w:val="24"/>
          <w:szCs w:val="24"/>
        </w:rPr>
      </w:pPr>
    </w:p>
    <w:p w:rsid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In terms of the identification of customer priorities and willingness to pay for those priorities, the CCG considers that the Company did face some challenges, but this was as a result of conflicting feedback from different information sources rather than the consultation process itself. </w:t>
      </w:r>
    </w:p>
    <w:p w:rsidR="00CE59B9" w:rsidRPr="00CE59B9" w:rsidRDefault="00CE59B9" w:rsidP="005A7032">
      <w:pPr>
        <w:pStyle w:val="ListParagraph"/>
        <w:spacing w:line="240" w:lineRule="auto"/>
        <w:jc w:val="both"/>
        <w:rPr>
          <w:rFonts w:ascii="Arial" w:hAnsi="Arial" w:cs="Arial"/>
          <w:sz w:val="24"/>
          <w:szCs w:val="24"/>
        </w:rPr>
      </w:pPr>
    </w:p>
    <w:p w:rsidR="00CE59B9"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The CCG note that our consultation on the acceptability of proposed PC targets contained reasonable, digestible information on current performance.  Further, the CCG were able to observe the processes used to inform customers and did not have any significant concerns that the process used to inform customers of current performance and the costs and risks of different future performance was intentionally leading or biased.  </w:t>
      </w:r>
    </w:p>
    <w:p w:rsidR="00CE59B9" w:rsidRPr="00CE59B9" w:rsidRDefault="00CE59B9" w:rsidP="005A7032">
      <w:pPr>
        <w:pStyle w:val="ListParagraph"/>
        <w:spacing w:line="240" w:lineRule="auto"/>
        <w:ind w:left="1211"/>
        <w:jc w:val="both"/>
        <w:rPr>
          <w:rFonts w:ascii="Arial" w:hAnsi="Arial" w:cs="Arial"/>
          <w:sz w:val="24"/>
          <w:szCs w:val="24"/>
        </w:rPr>
      </w:pPr>
    </w:p>
    <w:p w:rsidR="00CE59B9" w:rsidRDefault="00212F4A" w:rsidP="00C2402B">
      <w:pPr>
        <w:pStyle w:val="ListParagraph"/>
        <w:numPr>
          <w:ilvl w:val="0"/>
          <w:numId w:val="24"/>
        </w:numPr>
        <w:spacing w:line="240" w:lineRule="auto"/>
        <w:ind w:left="1211"/>
        <w:jc w:val="both"/>
        <w:rPr>
          <w:rFonts w:ascii="Arial" w:hAnsi="Arial" w:cs="Arial"/>
          <w:sz w:val="24"/>
          <w:szCs w:val="24"/>
        </w:rPr>
      </w:pPr>
      <w:r w:rsidRPr="00CE59B9">
        <w:rPr>
          <w:rFonts w:ascii="Arial" w:hAnsi="Arial" w:cs="Arial"/>
          <w:sz w:val="24"/>
          <w:szCs w:val="24"/>
        </w:rPr>
        <w:t xml:space="preserve">The CCG consider that the Business Plan that has been presented is a clear reflection of customer views across the majority of the PCs, rewards/penalties and associated investment. </w:t>
      </w:r>
    </w:p>
    <w:p w:rsidR="00CE59B9" w:rsidRPr="00CE59B9" w:rsidRDefault="00CE59B9" w:rsidP="005A7032">
      <w:pPr>
        <w:pStyle w:val="ListParagraph"/>
        <w:spacing w:line="240" w:lineRule="auto"/>
        <w:jc w:val="both"/>
        <w:rPr>
          <w:rFonts w:ascii="Arial" w:hAnsi="Arial" w:cs="Arial"/>
          <w:sz w:val="24"/>
          <w:szCs w:val="24"/>
        </w:rPr>
      </w:pPr>
    </w:p>
    <w:p w:rsid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The CCG notes that early on in the consultation process it was clear that low, stable bills were a key priority for customers, and their support for additional costs associated with the </w:t>
      </w:r>
      <w:r w:rsidR="00D725BB">
        <w:rPr>
          <w:rFonts w:ascii="Arial" w:hAnsi="Arial" w:cs="Arial"/>
          <w:sz w:val="24"/>
          <w:szCs w:val="24"/>
        </w:rPr>
        <w:t xml:space="preserve">Specific Company Premium </w:t>
      </w:r>
      <w:r w:rsidRPr="00212F4A">
        <w:rPr>
          <w:rFonts w:ascii="Arial" w:hAnsi="Arial" w:cs="Arial"/>
          <w:sz w:val="24"/>
          <w:szCs w:val="24"/>
        </w:rPr>
        <w:t>and the Pay as You Go (PAYG) were at least partly related to the fact that they have the lowest water bill in the country.</w:t>
      </w:r>
    </w:p>
    <w:p w:rsidR="00CE59B9" w:rsidRPr="00CE59B9" w:rsidRDefault="00CE59B9" w:rsidP="005A7032">
      <w:pPr>
        <w:pStyle w:val="ListParagraph"/>
        <w:spacing w:line="240" w:lineRule="auto"/>
        <w:jc w:val="both"/>
        <w:rPr>
          <w:rFonts w:ascii="Arial" w:hAnsi="Arial" w:cs="Arial"/>
          <w:sz w:val="24"/>
          <w:szCs w:val="24"/>
        </w:rPr>
      </w:pPr>
    </w:p>
    <w:p w:rsid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The Havant Thicket reservoir proposal was a particular area of focus and challenge for the CCG, particularly in relation to longer term risks to customer bills. We note that discussions with Southern Water and the regulators are ongoing, but the Company has provided assurances that this will not unduly affect their bills, both during AMP7 and in the longer term. </w:t>
      </w:r>
    </w:p>
    <w:p w:rsidR="00CE59B9" w:rsidRPr="00CE59B9" w:rsidRDefault="00CE59B9" w:rsidP="005A7032">
      <w:pPr>
        <w:pStyle w:val="ListParagraph"/>
        <w:spacing w:line="240" w:lineRule="auto"/>
        <w:jc w:val="both"/>
        <w:rPr>
          <w:rFonts w:ascii="Arial" w:hAnsi="Arial" w:cs="Arial"/>
          <w:sz w:val="24"/>
          <w:szCs w:val="24"/>
        </w:rPr>
      </w:pPr>
    </w:p>
    <w:p w:rsidR="00212F4A" w:rsidRPr="00212F4A" w:rsidRDefault="00212F4A" w:rsidP="00C2402B">
      <w:pPr>
        <w:pStyle w:val="ListParagraph"/>
        <w:numPr>
          <w:ilvl w:val="0"/>
          <w:numId w:val="24"/>
        </w:numPr>
        <w:spacing w:line="240" w:lineRule="auto"/>
        <w:ind w:left="1211"/>
        <w:jc w:val="both"/>
        <w:rPr>
          <w:rFonts w:ascii="Arial" w:hAnsi="Arial" w:cs="Arial"/>
          <w:sz w:val="24"/>
          <w:szCs w:val="24"/>
        </w:rPr>
      </w:pPr>
      <w:r w:rsidRPr="00212F4A">
        <w:rPr>
          <w:rFonts w:ascii="Arial" w:hAnsi="Arial" w:cs="Arial"/>
          <w:sz w:val="24"/>
          <w:szCs w:val="24"/>
        </w:rPr>
        <w:t xml:space="preserve">The CCG can confirm that the acceptability testing was representative of the customer base and that survey respondents understood the questions that were being asked of them. This gives the CCG further confidence that the proposed Business Plan has a high level of support amongst Portsmouth Water’s customer base. </w:t>
      </w:r>
    </w:p>
    <w:p w:rsidR="00212F4A" w:rsidRPr="00212F4A" w:rsidRDefault="00212F4A" w:rsidP="005A7032">
      <w:r w:rsidRPr="00212F4A">
        <w:t>We appreciate the time and commitment all members have been able to give this process; we also believe our plan is better as a result of their challenges.</w:t>
      </w:r>
    </w:p>
    <w:p w:rsidR="00212F4A" w:rsidRDefault="00212F4A" w:rsidP="005A7032">
      <w:r w:rsidRPr="00212F4A">
        <w:t>We wish the CCG to continue into the medium term, with an ongoing role for monitoring AMP6 performance, understanding subsequent developments on this plan and monitoring our performance in AMP7.</w:t>
      </w:r>
    </w:p>
    <w:p w:rsidR="0076298F" w:rsidRPr="00772301" w:rsidRDefault="0076298F" w:rsidP="0076298F">
      <w:pPr>
        <w:rPr>
          <w:rFonts w:cs="Arial"/>
          <w:b/>
          <w:color w:val="2E74B5" w:themeColor="accent1" w:themeShade="BF"/>
        </w:rPr>
      </w:pPr>
      <w:r w:rsidRPr="00772301">
        <w:rPr>
          <w:rFonts w:cs="Arial"/>
          <w:b/>
          <w:color w:val="2E74B5" w:themeColor="accent1" w:themeShade="BF"/>
        </w:rPr>
        <w:t>Appendice</w:t>
      </w:r>
      <w:r>
        <w:rPr>
          <w:rFonts w:cs="Arial"/>
          <w:b/>
          <w:color w:val="2E74B5" w:themeColor="accent1" w:themeShade="BF"/>
        </w:rPr>
        <w:t xml:space="preserve">s relevant to this this </w:t>
      </w:r>
      <w:r w:rsidR="00B24CAC">
        <w:rPr>
          <w:rFonts w:cs="Arial"/>
          <w:b/>
          <w:color w:val="2E74B5" w:themeColor="accent1" w:themeShade="BF"/>
        </w:rPr>
        <w:t>chapter</w:t>
      </w:r>
    </w:p>
    <w:tbl>
      <w:tblPr>
        <w:tblStyle w:val="TableGrid22"/>
        <w:tblW w:w="0" w:type="auto"/>
        <w:jc w:val="center"/>
        <w:tblLook w:val="04A0" w:firstRow="1" w:lastRow="0" w:firstColumn="1" w:lastColumn="0" w:noHBand="0" w:noVBand="1"/>
      </w:tblPr>
      <w:tblGrid>
        <w:gridCol w:w="1838"/>
        <w:gridCol w:w="4173"/>
        <w:gridCol w:w="1781"/>
      </w:tblGrid>
      <w:tr w:rsidR="0076298F" w:rsidRPr="001E0DCD" w:rsidTr="0076298F">
        <w:trPr>
          <w:jc w:val="center"/>
        </w:trPr>
        <w:tc>
          <w:tcPr>
            <w:tcW w:w="1838" w:type="dxa"/>
            <w:shd w:val="clear" w:color="auto" w:fill="2E74B5" w:themeFill="accent1" w:themeFillShade="BF"/>
          </w:tcPr>
          <w:p w:rsidR="0076298F" w:rsidRPr="001E0DCD" w:rsidRDefault="0076298F" w:rsidP="0076298F">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Appendix Reference</w:t>
            </w:r>
          </w:p>
        </w:tc>
        <w:tc>
          <w:tcPr>
            <w:tcW w:w="4173" w:type="dxa"/>
            <w:shd w:val="clear" w:color="auto" w:fill="2E74B5" w:themeFill="accent1" w:themeFillShade="BF"/>
          </w:tcPr>
          <w:p w:rsidR="0076298F" w:rsidRPr="001E0DCD" w:rsidRDefault="0076298F" w:rsidP="0076298F">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Details</w:t>
            </w:r>
          </w:p>
        </w:tc>
        <w:tc>
          <w:tcPr>
            <w:tcW w:w="1781" w:type="dxa"/>
            <w:shd w:val="clear" w:color="auto" w:fill="2E74B5" w:themeFill="accent1" w:themeFillShade="BF"/>
          </w:tcPr>
          <w:p w:rsidR="0076298F" w:rsidRPr="001E0DCD" w:rsidRDefault="0076298F" w:rsidP="0076298F">
            <w:pPr>
              <w:tabs>
                <w:tab w:val="clear" w:pos="851"/>
              </w:tabs>
              <w:spacing w:after="0"/>
              <w:ind w:left="0"/>
              <w:jc w:val="left"/>
              <w:rPr>
                <w:rFonts w:cs="Arial"/>
                <w:b/>
                <w:color w:val="FFFFFF" w:themeColor="background1"/>
                <w:sz w:val="16"/>
                <w:szCs w:val="16"/>
              </w:rPr>
            </w:pPr>
            <w:r w:rsidRPr="001E0DCD">
              <w:rPr>
                <w:rFonts w:cs="Arial"/>
                <w:b/>
                <w:color w:val="FFFFFF" w:themeColor="background1"/>
                <w:sz w:val="16"/>
                <w:szCs w:val="16"/>
              </w:rPr>
              <w:t>Date</w:t>
            </w:r>
          </w:p>
        </w:tc>
      </w:tr>
      <w:tr w:rsidR="00483B16" w:rsidRPr="001E0DCD" w:rsidTr="0076298F">
        <w:trPr>
          <w:jc w:val="center"/>
        </w:trPr>
        <w:tc>
          <w:tcPr>
            <w:tcW w:w="1838" w:type="dxa"/>
          </w:tcPr>
          <w:p w:rsidR="00483B16" w:rsidRDefault="00483B16" w:rsidP="0076298F">
            <w:pPr>
              <w:tabs>
                <w:tab w:val="clear" w:pos="851"/>
              </w:tabs>
              <w:spacing w:after="0"/>
              <w:ind w:left="0"/>
              <w:jc w:val="left"/>
              <w:rPr>
                <w:rFonts w:cs="Arial"/>
                <w:sz w:val="16"/>
                <w:szCs w:val="16"/>
              </w:rPr>
            </w:pPr>
            <w:r>
              <w:rPr>
                <w:rFonts w:cs="Arial"/>
                <w:sz w:val="16"/>
                <w:szCs w:val="16"/>
              </w:rPr>
              <w:t>8.1</w:t>
            </w:r>
          </w:p>
        </w:tc>
        <w:tc>
          <w:tcPr>
            <w:tcW w:w="4173" w:type="dxa"/>
          </w:tcPr>
          <w:p w:rsidR="00483B16" w:rsidRDefault="00483B16" w:rsidP="00706679">
            <w:pPr>
              <w:tabs>
                <w:tab w:val="clear" w:pos="851"/>
              </w:tabs>
              <w:spacing w:after="0"/>
              <w:ind w:left="0"/>
              <w:jc w:val="left"/>
              <w:rPr>
                <w:rFonts w:cs="Arial"/>
                <w:sz w:val="16"/>
                <w:szCs w:val="16"/>
              </w:rPr>
            </w:pPr>
            <w:r>
              <w:rPr>
                <w:rFonts w:cs="Arial"/>
                <w:sz w:val="16"/>
                <w:szCs w:val="16"/>
              </w:rPr>
              <w:t xml:space="preserve">Atkins External </w:t>
            </w:r>
            <w:r w:rsidR="00706679">
              <w:rPr>
                <w:rFonts w:cs="Arial"/>
                <w:sz w:val="16"/>
                <w:szCs w:val="16"/>
              </w:rPr>
              <w:t xml:space="preserve">Assurance </w:t>
            </w:r>
            <w:r>
              <w:rPr>
                <w:rFonts w:cs="Arial"/>
                <w:sz w:val="16"/>
                <w:szCs w:val="16"/>
              </w:rPr>
              <w:t xml:space="preserve">of the RCV split between water resources and </w:t>
            </w:r>
            <w:r w:rsidR="00724C14">
              <w:rPr>
                <w:rFonts w:cs="Arial"/>
                <w:sz w:val="16"/>
                <w:szCs w:val="16"/>
              </w:rPr>
              <w:t>Network Plus.</w:t>
            </w:r>
          </w:p>
        </w:tc>
        <w:tc>
          <w:tcPr>
            <w:tcW w:w="1781" w:type="dxa"/>
          </w:tcPr>
          <w:p w:rsidR="00483B16" w:rsidRDefault="00724C14" w:rsidP="0076298F">
            <w:pPr>
              <w:tabs>
                <w:tab w:val="clear" w:pos="851"/>
              </w:tabs>
              <w:spacing w:after="0"/>
              <w:ind w:left="0"/>
              <w:jc w:val="left"/>
              <w:rPr>
                <w:rFonts w:cs="Arial"/>
                <w:sz w:val="16"/>
                <w:szCs w:val="16"/>
              </w:rPr>
            </w:pPr>
            <w:r>
              <w:rPr>
                <w:rFonts w:cs="Arial"/>
                <w:sz w:val="16"/>
                <w:szCs w:val="16"/>
              </w:rPr>
              <w:t>August 2018</w:t>
            </w:r>
          </w:p>
        </w:tc>
      </w:tr>
      <w:tr w:rsidR="00F023E8" w:rsidRPr="001E0DCD" w:rsidTr="0076298F">
        <w:trPr>
          <w:jc w:val="center"/>
        </w:trPr>
        <w:tc>
          <w:tcPr>
            <w:tcW w:w="1838" w:type="dxa"/>
          </w:tcPr>
          <w:p w:rsidR="00F023E8" w:rsidRDefault="00F023E8" w:rsidP="0076298F">
            <w:pPr>
              <w:tabs>
                <w:tab w:val="clear" w:pos="851"/>
              </w:tabs>
              <w:spacing w:after="0"/>
              <w:ind w:left="0"/>
              <w:jc w:val="left"/>
              <w:rPr>
                <w:rFonts w:cs="Arial"/>
                <w:sz w:val="16"/>
                <w:szCs w:val="16"/>
              </w:rPr>
            </w:pPr>
            <w:r>
              <w:rPr>
                <w:rFonts w:cs="Arial"/>
                <w:sz w:val="16"/>
                <w:szCs w:val="16"/>
              </w:rPr>
              <w:t>12.1</w:t>
            </w:r>
          </w:p>
        </w:tc>
        <w:tc>
          <w:tcPr>
            <w:tcW w:w="4173" w:type="dxa"/>
          </w:tcPr>
          <w:p w:rsidR="00F023E8" w:rsidRDefault="00F023E8" w:rsidP="0076298F">
            <w:pPr>
              <w:tabs>
                <w:tab w:val="clear" w:pos="851"/>
              </w:tabs>
              <w:spacing w:after="0"/>
              <w:ind w:left="0"/>
              <w:jc w:val="left"/>
              <w:rPr>
                <w:rFonts w:cs="Arial"/>
                <w:sz w:val="16"/>
                <w:szCs w:val="16"/>
              </w:rPr>
            </w:pPr>
            <w:r>
              <w:rPr>
                <w:rFonts w:cs="Arial"/>
                <w:sz w:val="16"/>
                <w:szCs w:val="16"/>
              </w:rPr>
              <w:t>ODI Report 2016</w:t>
            </w:r>
          </w:p>
        </w:tc>
        <w:tc>
          <w:tcPr>
            <w:tcW w:w="1781" w:type="dxa"/>
          </w:tcPr>
          <w:p w:rsidR="00F023E8" w:rsidRDefault="00BA1427" w:rsidP="0076298F">
            <w:pPr>
              <w:tabs>
                <w:tab w:val="clear" w:pos="851"/>
              </w:tabs>
              <w:spacing w:after="0"/>
              <w:ind w:left="0"/>
              <w:jc w:val="left"/>
              <w:rPr>
                <w:rFonts w:cs="Arial"/>
                <w:sz w:val="16"/>
                <w:szCs w:val="16"/>
              </w:rPr>
            </w:pPr>
            <w:r>
              <w:rPr>
                <w:rFonts w:cs="Arial"/>
                <w:sz w:val="16"/>
                <w:szCs w:val="16"/>
              </w:rPr>
              <w:t>July 2016</w:t>
            </w:r>
          </w:p>
        </w:tc>
      </w:tr>
      <w:tr w:rsidR="00F023E8" w:rsidRPr="001E0DCD" w:rsidTr="0076298F">
        <w:trPr>
          <w:jc w:val="center"/>
        </w:trPr>
        <w:tc>
          <w:tcPr>
            <w:tcW w:w="1838" w:type="dxa"/>
          </w:tcPr>
          <w:p w:rsidR="00F023E8" w:rsidRDefault="00F023E8" w:rsidP="0076298F">
            <w:pPr>
              <w:tabs>
                <w:tab w:val="clear" w:pos="851"/>
              </w:tabs>
              <w:spacing w:after="0"/>
              <w:ind w:left="0"/>
              <w:jc w:val="left"/>
              <w:rPr>
                <w:rFonts w:cs="Arial"/>
                <w:sz w:val="16"/>
                <w:szCs w:val="16"/>
              </w:rPr>
            </w:pPr>
            <w:r>
              <w:rPr>
                <w:rFonts w:cs="Arial"/>
                <w:sz w:val="16"/>
                <w:szCs w:val="16"/>
              </w:rPr>
              <w:t>12.2</w:t>
            </w:r>
          </w:p>
        </w:tc>
        <w:tc>
          <w:tcPr>
            <w:tcW w:w="4173" w:type="dxa"/>
          </w:tcPr>
          <w:p w:rsidR="00F023E8" w:rsidRDefault="00F023E8" w:rsidP="0076298F">
            <w:pPr>
              <w:tabs>
                <w:tab w:val="clear" w:pos="851"/>
              </w:tabs>
              <w:spacing w:after="0"/>
              <w:ind w:left="0"/>
              <w:jc w:val="left"/>
              <w:rPr>
                <w:rFonts w:cs="Arial"/>
                <w:sz w:val="16"/>
                <w:szCs w:val="16"/>
              </w:rPr>
            </w:pPr>
            <w:r>
              <w:rPr>
                <w:rFonts w:cs="Arial"/>
                <w:sz w:val="16"/>
                <w:szCs w:val="16"/>
              </w:rPr>
              <w:t>ODI Report 2017</w:t>
            </w:r>
          </w:p>
        </w:tc>
        <w:tc>
          <w:tcPr>
            <w:tcW w:w="1781" w:type="dxa"/>
          </w:tcPr>
          <w:p w:rsidR="00F023E8" w:rsidRDefault="00BA1427" w:rsidP="0076298F">
            <w:pPr>
              <w:tabs>
                <w:tab w:val="clear" w:pos="851"/>
              </w:tabs>
              <w:spacing w:after="0"/>
              <w:ind w:left="0"/>
              <w:jc w:val="left"/>
              <w:rPr>
                <w:rFonts w:cs="Arial"/>
                <w:sz w:val="16"/>
                <w:szCs w:val="16"/>
              </w:rPr>
            </w:pPr>
            <w:r>
              <w:rPr>
                <w:rFonts w:cs="Arial"/>
                <w:sz w:val="16"/>
                <w:szCs w:val="16"/>
              </w:rPr>
              <w:t>July 2017</w:t>
            </w:r>
          </w:p>
        </w:tc>
      </w:tr>
      <w:tr w:rsidR="00F023E8" w:rsidRPr="001E0DCD" w:rsidTr="0076298F">
        <w:trPr>
          <w:jc w:val="center"/>
        </w:trPr>
        <w:tc>
          <w:tcPr>
            <w:tcW w:w="1838" w:type="dxa"/>
          </w:tcPr>
          <w:p w:rsidR="00F023E8" w:rsidRDefault="00F023E8" w:rsidP="0076298F">
            <w:pPr>
              <w:tabs>
                <w:tab w:val="clear" w:pos="851"/>
              </w:tabs>
              <w:spacing w:after="0"/>
              <w:ind w:left="0"/>
              <w:jc w:val="left"/>
              <w:rPr>
                <w:rFonts w:cs="Arial"/>
                <w:sz w:val="16"/>
                <w:szCs w:val="16"/>
              </w:rPr>
            </w:pPr>
            <w:r>
              <w:rPr>
                <w:rFonts w:cs="Arial"/>
                <w:sz w:val="16"/>
                <w:szCs w:val="16"/>
              </w:rPr>
              <w:t>12.3</w:t>
            </w:r>
          </w:p>
        </w:tc>
        <w:tc>
          <w:tcPr>
            <w:tcW w:w="4173" w:type="dxa"/>
          </w:tcPr>
          <w:p w:rsidR="00F023E8" w:rsidRDefault="00F023E8" w:rsidP="0076298F">
            <w:pPr>
              <w:tabs>
                <w:tab w:val="clear" w:pos="851"/>
              </w:tabs>
              <w:spacing w:after="0"/>
              <w:ind w:left="0"/>
              <w:jc w:val="left"/>
              <w:rPr>
                <w:rFonts w:cs="Arial"/>
                <w:sz w:val="16"/>
                <w:szCs w:val="16"/>
              </w:rPr>
            </w:pPr>
            <w:r>
              <w:rPr>
                <w:rFonts w:cs="Arial"/>
                <w:sz w:val="16"/>
                <w:szCs w:val="16"/>
              </w:rPr>
              <w:t>ODI Report 2018</w:t>
            </w:r>
          </w:p>
        </w:tc>
        <w:tc>
          <w:tcPr>
            <w:tcW w:w="1781" w:type="dxa"/>
          </w:tcPr>
          <w:p w:rsidR="00F023E8" w:rsidRDefault="00BA1427" w:rsidP="0076298F">
            <w:pPr>
              <w:tabs>
                <w:tab w:val="clear" w:pos="851"/>
              </w:tabs>
              <w:spacing w:after="0"/>
              <w:ind w:left="0"/>
              <w:jc w:val="left"/>
              <w:rPr>
                <w:rFonts w:cs="Arial"/>
                <w:sz w:val="16"/>
                <w:szCs w:val="16"/>
              </w:rPr>
            </w:pPr>
            <w:r>
              <w:rPr>
                <w:rFonts w:cs="Arial"/>
                <w:sz w:val="16"/>
                <w:szCs w:val="16"/>
              </w:rPr>
              <w:t>July 2018</w:t>
            </w:r>
          </w:p>
        </w:tc>
      </w:tr>
      <w:tr w:rsidR="00706679" w:rsidRPr="001E0DCD" w:rsidTr="00706679">
        <w:trPr>
          <w:jc w:val="center"/>
        </w:trPr>
        <w:tc>
          <w:tcPr>
            <w:tcW w:w="1838" w:type="dxa"/>
          </w:tcPr>
          <w:p w:rsidR="00706679" w:rsidRDefault="00706679" w:rsidP="00706679">
            <w:pPr>
              <w:tabs>
                <w:tab w:val="clear" w:pos="851"/>
              </w:tabs>
              <w:spacing w:after="0"/>
              <w:ind w:left="0"/>
              <w:jc w:val="left"/>
              <w:rPr>
                <w:rFonts w:cs="Arial"/>
                <w:sz w:val="16"/>
                <w:szCs w:val="16"/>
              </w:rPr>
            </w:pPr>
            <w:r>
              <w:rPr>
                <w:rFonts w:cs="Arial"/>
                <w:sz w:val="16"/>
                <w:szCs w:val="16"/>
              </w:rPr>
              <w:t>13.1</w:t>
            </w:r>
          </w:p>
        </w:tc>
        <w:tc>
          <w:tcPr>
            <w:tcW w:w="4173" w:type="dxa"/>
          </w:tcPr>
          <w:p w:rsidR="00706679" w:rsidRDefault="00706679" w:rsidP="00706679">
            <w:pPr>
              <w:tabs>
                <w:tab w:val="clear" w:pos="851"/>
              </w:tabs>
              <w:spacing w:after="0"/>
              <w:ind w:left="0"/>
              <w:jc w:val="left"/>
              <w:rPr>
                <w:rFonts w:cs="Arial"/>
                <w:sz w:val="16"/>
                <w:szCs w:val="16"/>
              </w:rPr>
            </w:pPr>
            <w:r>
              <w:rPr>
                <w:rFonts w:cs="Arial"/>
                <w:sz w:val="16"/>
                <w:szCs w:val="16"/>
              </w:rPr>
              <w:t>Frontier Economics Consulting – Financial Model Review</w:t>
            </w:r>
          </w:p>
        </w:tc>
        <w:tc>
          <w:tcPr>
            <w:tcW w:w="1781" w:type="dxa"/>
          </w:tcPr>
          <w:p w:rsidR="00706679" w:rsidRDefault="00706679" w:rsidP="00706679">
            <w:pPr>
              <w:tabs>
                <w:tab w:val="clear" w:pos="851"/>
              </w:tabs>
              <w:spacing w:after="0"/>
              <w:ind w:left="0"/>
              <w:jc w:val="left"/>
              <w:rPr>
                <w:rFonts w:cs="Arial"/>
                <w:sz w:val="16"/>
                <w:szCs w:val="16"/>
              </w:rPr>
            </w:pPr>
            <w:r>
              <w:rPr>
                <w:rFonts w:cs="Arial"/>
                <w:sz w:val="16"/>
                <w:szCs w:val="16"/>
              </w:rPr>
              <w:t>August 2018</w:t>
            </w:r>
          </w:p>
        </w:tc>
      </w:tr>
      <w:tr w:rsidR="00706679" w:rsidRPr="001E0DCD" w:rsidTr="00706679">
        <w:trPr>
          <w:jc w:val="center"/>
        </w:trPr>
        <w:tc>
          <w:tcPr>
            <w:tcW w:w="1838" w:type="dxa"/>
          </w:tcPr>
          <w:p w:rsidR="00706679" w:rsidRPr="001E0DCD" w:rsidRDefault="00706679" w:rsidP="00706679">
            <w:pPr>
              <w:tabs>
                <w:tab w:val="clear" w:pos="851"/>
              </w:tabs>
              <w:spacing w:after="0"/>
              <w:ind w:left="0"/>
              <w:jc w:val="left"/>
              <w:rPr>
                <w:rFonts w:cs="Arial"/>
                <w:sz w:val="16"/>
                <w:szCs w:val="16"/>
              </w:rPr>
            </w:pPr>
            <w:r>
              <w:rPr>
                <w:rFonts w:cs="Arial"/>
                <w:sz w:val="16"/>
                <w:szCs w:val="16"/>
              </w:rPr>
              <w:t>13.2</w:t>
            </w:r>
          </w:p>
        </w:tc>
        <w:tc>
          <w:tcPr>
            <w:tcW w:w="4173" w:type="dxa"/>
          </w:tcPr>
          <w:p w:rsidR="00706679" w:rsidRPr="001E0DCD" w:rsidRDefault="00706679" w:rsidP="00706679">
            <w:pPr>
              <w:tabs>
                <w:tab w:val="clear" w:pos="851"/>
              </w:tabs>
              <w:spacing w:after="0"/>
              <w:ind w:left="0"/>
              <w:jc w:val="left"/>
              <w:rPr>
                <w:rFonts w:cs="Arial"/>
                <w:sz w:val="16"/>
                <w:szCs w:val="16"/>
              </w:rPr>
            </w:pPr>
            <w:r>
              <w:rPr>
                <w:rFonts w:cs="Arial"/>
                <w:sz w:val="16"/>
                <w:szCs w:val="16"/>
              </w:rPr>
              <w:t>Atkins assurance report – non financial tables</w:t>
            </w:r>
          </w:p>
        </w:tc>
        <w:tc>
          <w:tcPr>
            <w:tcW w:w="1781" w:type="dxa"/>
          </w:tcPr>
          <w:p w:rsidR="00706679" w:rsidRPr="001E0DCD" w:rsidRDefault="00706679" w:rsidP="00706679">
            <w:pPr>
              <w:tabs>
                <w:tab w:val="clear" w:pos="851"/>
              </w:tabs>
              <w:spacing w:after="0"/>
              <w:ind w:left="0"/>
              <w:jc w:val="left"/>
              <w:rPr>
                <w:rFonts w:cs="Arial"/>
                <w:sz w:val="16"/>
                <w:szCs w:val="16"/>
              </w:rPr>
            </w:pPr>
            <w:r>
              <w:rPr>
                <w:rFonts w:cs="Arial"/>
                <w:sz w:val="16"/>
                <w:szCs w:val="16"/>
              </w:rPr>
              <w:t>August 2018</w:t>
            </w:r>
          </w:p>
        </w:tc>
      </w:tr>
      <w:tr w:rsidR="00706679" w:rsidRPr="001E0DCD" w:rsidTr="00706679">
        <w:trPr>
          <w:jc w:val="center"/>
        </w:trPr>
        <w:tc>
          <w:tcPr>
            <w:tcW w:w="1838" w:type="dxa"/>
          </w:tcPr>
          <w:p w:rsidR="00706679" w:rsidRDefault="00706679" w:rsidP="00706679">
            <w:pPr>
              <w:tabs>
                <w:tab w:val="clear" w:pos="851"/>
              </w:tabs>
              <w:spacing w:after="0"/>
              <w:ind w:left="0"/>
              <w:jc w:val="left"/>
              <w:rPr>
                <w:rFonts w:cs="Arial"/>
                <w:sz w:val="16"/>
                <w:szCs w:val="16"/>
              </w:rPr>
            </w:pPr>
            <w:r>
              <w:rPr>
                <w:rFonts w:cs="Arial"/>
                <w:sz w:val="16"/>
                <w:szCs w:val="16"/>
              </w:rPr>
              <w:t>13.3</w:t>
            </w:r>
          </w:p>
        </w:tc>
        <w:tc>
          <w:tcPr>
            <w:tcW w:w="4173" w:type="dxa"/>
          </w:tcPr>
          <w:p w:rsidR="00706679" w:rsidRDefault="00706679" w:rsidP="00706679">
            <w:pPr>
              <w:tabs>
                <w:tab w:val="clear" w:pos="851"/>
              </w:tabs>
              <w:spacing w:after="0"/>
              <w:ind w:left="0"/>
              <w:jc w:val="left"/>
              <w:rPr>
                <w:rFonts w:cs="Arial"/>
                <w:sz w:val="16"/>
                <w:szCs w:val="16"/>
              </w:rPr>
            </w:pPr>
            <w:r>
              <w:rPr>
                <w:rFonts w:cs="Arial"/>
                <w:sz w:val="16"/>
                <w:szCs w:val="16"/>
              </w:rPr>
              <w:t>KPMG agreed upon procedures assurance report – financial tables</w:t>
            </w:r>
          </w:p>
        </w:tc>
        <w:tc>
          <w:tcPr>
            <w:tcW w:w="1781" w:type="dxa"/>
          </w:tcPr>
          <w:p w:rsidR="00706679" w:rsidRDefault="00706679" w:rsidP="00706679">
            <w:pPr>
              <w:tabs>
                <w:tab w:val="clear" w:pos="851"/>
              </w:tabs>
              <w:spacing w:after="0"/>
              <w:ind w:left="0"/>
              <w:jc w:val="left"/>
              <w:rPr>
                <w:rFonts w:cs="Arial"/>
                <w:sz w:val="16"/>
                <w:szCs w:val="16"/>
              </w:rPr>
            </w:pPr>
            <w:r>
              <w:rPr>
                <w:rFonts w:cs="Arial"/>
                <w:sz w:val="16"/>
                <w:szCs w:val="16"/>
              </w:rPr>
              <w:t>August 2018</w:t>
            </w:r>
          </w:p>
        </w:tc>
      </w:tr>
      <w:tr w:rsidR="00706679" w:rsidRPr="001E0DCD" w:rsidTr="00706679">
        <w:trPr>
          <w:jc w:val="center"/>
        </w:trPr>
        <w:tc>
          <w:tcPr>
            <w:tcW w:w="1838" w:type="dxa"/>
          </w:tcPr>
          <w:p w:rsidR="00706679" w:rsidRDefault="00706679" w:rsidP="00706679">
            <w:pPr>
              <w:tabs>
                <w:tab w:val="clear" w:pos="851"/>
              </w:tabs>
              <w:spacing w:after="0"/>
              <w:ind w:left="0"/>
              <w:jc w:val="left"/>
              <w:rPr>
                <w:rFonts w:cs="Arial"/>
                <w:sz w:val="16"/>
                <w:szCs w:val="16"/>
              </w:rPr>
            </w:pPr>
            <w:r>
              <w:rPr>
                <w:rFonts w:cs="Arial"/>
                <w:sz w:val="16"/>
                <w:szCs w:val="16"/>
              </w:rPr>
              <w:t>13.4</w:t>
            </w:r>
          </w:p>
        </w:tc>
        <w:tc>
          <w:tcPr>
            <w:tcW w:w="4173" w:type="dxa"/>
          </w:tcPr>
          <w:p w:rsidR="00706679" w:rsidRDefault="00706679" w:rsidP="00706679">
            <w:pPr>
              <w:tabs>
                <w:tab w:val="clear" w:pos="851"/>
              </w:tabs>
              <w:spacing w:after="0"/>
              <w:ind w:left="0"/>
              <w:jc w:val="left"/>
              <w:rPr>
                <w:rFonts w:cs="Arial"/>
                <w:sz w:val="16"/>
                <w:szCs w:val="16"/>
              </w:rPr>
            </w:pPr>
            <w:r>
              <w:rPr>
                <w:rFonts w:cs="Arial"/>
                <w:sz w:val="16"/>
                <w:szCs w:val="16"/>
              </w:rPr>
              <w:t>CCG Report</w:t>
            </w:r>
          </w:p>
        </w:tc>
        <w:tc>
          <w:tcPr>
            <w:tcW w:w="1781" w:type="dxa"/>
          </w:tcPr>
          <w:p w:rsidR="00706679" w:rsidRDefault="00706679" w:rsidP="00706679">
            <w:pPr>
              <w:tabs>
                <w:tab w:val="clear" w:pos="851"/>
              </w:tabs>
              <w:spacing w:after="0"/>
              <w:ind w:left="0"/>
              <w:jc w:val="left"/>
              <w:rPr>
                <w:rFonts w:cs="Arial"/>
                <w:sz w:val="16"/>
                <w:szCs w:val="16"/>
              </w:rPr>
            </w:pPr>
            <w:r>
              <w:rPr>
                <w:rFonts w:cs="Arial"/>
                <w:sz w:val="16"/>
                <w:szCs w:val="16"/>
              </w:rPr>
              <w:t>August 2018</w:t>
            </w:r>
          </w:p>
        </w:tc>
      </w:tr>
    </w:tbl>
    <w:p w:rsidR="0076298F" w:rsidRDefault="0076298F">
      <w:pPr>
        <w:tabs>
          <w:tab w:val="clear" w:pos="851"/>
        </w:tabs>
        <w:spacing w:after="0"/>
        <w:ind w:left="0"/>
        <w:jc w:val="left"/>
        <w:rPr>
          <w:rFonts w:cs="Arial"/>
          <w:szCs w:val="20"/>
        </w:rPr>
      </w:pPr>
    </w:p>
    <w:p w:rsidR="00BA20B3" w:rsidRDefault="00BA20B3">
      <w:pPr>
        <w:tabs>
          <w:tab w:val="clear" w:pos="851"/>
        </w:tabs>
        <w:spacing w:after="0"/>
        <w:ind w:left="0"/>
        <w:jc w:val="left"/>
        <w:rPr>
          <w:rFonts w:cs="Arial"/>
          <w:szCs w:val="20"/>
        </w:rPr>
        <w:sectPr w:rsidR="00BA20B3" w:rsidSect="0016081C">
          <w:footerReference w:type="default" r:id="rId48"/>
          <w:pgSz w:w="11906" w:h="16838"/>
          <w:pgMar w:top="1440" w:right="1134" w:bottom="1440" w:left="1134" w:header="709" w:footer="709" w:gutter="0"/>
          <w:pgNumType w:start="1"/>
          <w:cols w:space="708"/>
          <w:docGrid w:linePitch="360"/>
        </w:sectPr>
      </w:pPr>
    </w:p>
    <w:p w:rsidR="00BA20B3" w:rsidRPr="00BA20B3" w:rsidRDefault="00BA20B3" w:rsidP="00BA20B3">
      <w:pPr>
        <w:spacing w:after="0"/>
        <w:rPr>
          <w:b/>
        </w:rPr>
      </w:pPr>
      <w:r w:rsidRPr="00BA20B3">
        <w:rPr>
          <w:b/>
        </w:rPr>
        <w:t>Glossary of Terms</w:t>
      </w:r>
    </w:p>
    <w:tbl>
      <w:tblPr>
        <w:tblStyle w:val="TableGrid74"/>
        <w:tblpPr w:leftFromText="180" w:rightFromText="180" w:tblpY="720"/>
        <w:tblW w:w="0" w:type="auto"/>
        <w:tblLook w:val="04A0" w:firstRow="1" w:lastRow="0" w:firstColumn="1" w:lastColumn="0" w:noHBand="0" w:noVBand="1"/>
      </w:tblPr>
      <w:tblGrid>
        <w:gridCol w:w="1555"/>
        <w:gridCol w:w="7461"/>
      </w:tblGrid>
      <w:tr w:rsidR="00BA20B3" w:rsidRPr="00BA20B3" w:rsidTr="00CF2560">
        <w:tc>
          <w:tcPr>
            <w:tcW w:w="1555" w:type="dxa"/>
          </w:tcPr>
          <w:p w:rsidR="00BA20B3" w:rsidRPr="00BA20B3" w:rsidRDefault="00BA20B3" w:rsidP="00BA20B3">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Term</w:t>
            </w:r>
          </w:p>
        </w:tc>
        <w:tc>
          <w:tcPr>
            <w:tcW w:w="7461" w:type="dxa"/>
          </w:tcPr>
          <w:p w:rsidR="00BA20B3" w:rsidRPr="00BA20B3" w:rsidRDefault="00BA20B3" w:rsidP="00BA20B3">
            <w:pPr>
              <w:tabs>
                <w:tab w:val="clear" w:pos="851"/>
              </w:tabs>
              <w:spacing w:after="0"/>
              <w:ind w:left="0"/>
              <w:jc w:val="left"/>
              <w:rPr>
                <w:rFonts w:asciiTheme="minorHAnsi" w:hAnsiTheme="minorHAnsi" w:cs="Arial"/>
                <w:color w:val="222222"/>
                <w:sz w:val="22"/>
                <w:szCs w:val="22"/>
                <w:shd w:val="clear" w:color="auto" w:fill="FFFFFF"/>
              </w:rPr>
            </w:pPr>
            <w:r w:rsidRPr="00BA20B3">
              <w:rPr>
                <w:rFonts w:asciiTheme="minorHAnsi" w:hAnsiTheme="minorHAnsi" w:cs="Arial"/>
                <w:color w:val="222222"/>
                <w:sz w:val="22"/>
                <w:szCs w:val="22"/>
                <w:shd w:val="clear" w:color="auto" w:fill="FFFFFF"/>
              </w:rPr>
              <w:t>Definition</w:t>
            </w:r>
          </w:p>
        </w:tc>
      </w:tr>
      <w:tr w:rsidR="00BA20B3" w:rsidRPr="00BA20B3" w:rsidTr="00CF2560">
        <w:tc>
          <w:tcPr>
            <w:tcW w:w="1555" w:type="dxa"/>
          </w:tcPr>
          <w:p w:rsidR="00BA20B3" w:rsidRPr="00BA20B3" w:rsidRDefault="00BA20B3" w:rsidP="00BA20B3">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AIC</w:t>
            </w:r>
          </w:p>
        </w:tc>
        <w:tc>
          <w:tcPr>
            <w:tcW w:w="7461" w:type="dxa"/>
          </w:tcPr>
          <w:p w:rsidR="00BA20B3" w:rsidRPr="00BA20B3" w:rsidRDefault="00BA20B3" w:rsidP="00BA20B3">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Average incremental cost (used to evaluate options)</w:t>
            </w:r>
          </w:p>
        </w:tc>
      </w:tr>
      <w:tr w:rsidR="00BA20B3" w:rsidRPr="00BA20B3" w:rsidTr="00CF2560">
        <w:tc>
          <w:tcPr>
            <w:tcW w:w="1555" w:type="dxa"/>
          </w:tcPr>
          <w:p w:rsidR="00BA20B3" w:rsidRPr="00BA20B3" w:rsidRDefault="00BA20B3" w:rsidP="00BA20B3">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AICR</w:t>
            </w:r>
          </w:p>
        </w:tc>
        <w:tc>
          <w:tcPr>
            <w:tcW w:w="7461" w:type="dxa"/>
          </w:tcPr>
          <w:p w:rsidR="00BA20B3" w:rsidRPr="00BA20B3" w:rsidRDefault="00BA20B3" w:rsidP="00BA20B3">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Adjusted Interest Cover ratio (a financial measure of our ability to pay our interest on our loans)</w:t>
            </w:r>
          </w:p>
        </w:tc>
      </w:tr>
      <w:tr w:rsidR="00BA20B3" w:rsidRPr="00BA20B3" w:rsidTr="00CF2560">
        <w:tc>
          <w:tcPr>
            <w:tcW w:w="1555" w:type="dxa"/>
          </w:tcPr>
          <w:p w:rsidR="00BA20B3" w:rsidRPr="00BA20B3" w:rsidRDefault="00BA20B3" w:rsidP="00BA20B3">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AIM</w:t>
            </w:r>
          </w:p>
        </w:tc>
        <w:tc>
          <w:tcPr>
            <w:tcW w:w="7461" w:type="dxa"/>
          </w:tcPr>
          <w:p w:rsidR="00BA20B3" w:rsidRPr="00BA20B3" w:rsidRDefault="00BA20B3" w:rsidP="00BA20B3">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Abstraction Incentive Mechanism (a financial incentive framework used to incentivise water companies to reduce abstraction on environmentally sensitive water bodies).</w:t>
            </w:r>
          </w:p>
        </w:tc>
      </w:tr>
      <w:tr w:rsidR="008E006F" w:rsidRPr="00BA20B3" w:rsidTr="00CF2560">
        <w:tc>
          <w:tcPr>
            <w:tcW w:w="1555" w:type="dxa"/>
          </w:tcPr>
          <w:p w:rsidR="008E006F" w:rsidRPr="00BA20B3" w:rsidRDefault="008E006F" w:rsidP="00BA20B3">
            <w:pPr>
              <w:tabs>
                <w:tab w:val="clear" w:pos="851"/>
              </w:tabs>
              <w:spacing w:after="0"/>
              <w:ind w:left="0"/>
              <w:jc w:val="left"/>
              <w:rPr>
                <w:rFonts w:asciiTheme="minorHAnsi" w:hAnsiTheme="minorHAnsi"/>
                <w:sz w:val="22"/>
                <w:szCs w:val="22"/>
              </w:rPr>
            </w:pPr>
            <w:r>
              <w:rPr>
                <w:rFonts w:asciiTheme="minorHAnsi" w:hAnsiTheme="minorHAnsi"/>
                <w:sz w:val="22"/>
                <w:szCs w:val="22"/>
              </w:rPr>
              <w:t>AMP</w:t>
            </w:r>
          </w:p>
        </w:tc>
        <w:tc>
          <w:tcPr>
            <w:tcW w:w="7461" w:type="dxa"/>
          </w:tcPr>
          <w:p w:rsidR="008E006F" w:rsidRPr="00BA20B3" w:rsidRDefault="008E006F" w:rsidP="00BA20B3">
            <w:pPr>
              <w:tabs>
                <w:tab w:val="clear" w:pos="851"/>
              </w:tabs>
              <w:spacing w:after="0"/>
              <w:ind w:left="0"/>
              <w:jc w:val="left"/>
              <w:rPr>
                <w:rFonts w:asciiTheme="minorHAnsi" w:hAnsiTheme="minorHAnsi"/>
                <w:sz w:val="22"/>
                <w:szCs w:val="22"/>
              </w:rPr>
            </w:pPr>
            <w:r>
              <w:rPr>
                <w:rFonts w:asciiTheme="minorHAnsi" w:hAnsiTheme="minorHAnsi"/>
                <w:sz w:val="22"/>
                <w:szCs w:val="22"/>
              </w:rPr>
              <w:t>Asset Management Plan</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AMP5</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Asset Management Plan 6 (the period 201</w:t>
            </w:r>
            <w:r>
              <w:rPr>
                <w:rFonts w:asciiTheme="minorHAnsi" w:hAnsiTheme="minorHAnsi"/>
                <w:sz w:val="22"/>
                <w:szCs w:val="22"/>
              </w:rPr>
              <w:t>0</w:t>
            </w:r>
            <w:r w:rsidRPr="00BA20B3">
              <w:rPr>
                <w:rFonts w:asciiTheme="minorHAnsi" w:hAnsiTheme="minorHAnsi"/>
                <w:sz w:val="22"/>
                <w:szCs w:val="22"/>
              </w:rPr>
              <w:t xml:space="preserve"> to 20</w:t>
            </w:r>
            <w:r>
              <w:rPr>
                <w:rFonts w:asciiTheme="minorHAnsi" w:hAnsiTheme="minorHAnsi"/>
                <w:sz w:val="22"/>
                <w:szCs w:val="22"/>
              </w:rPr>
              <w:t>15</w:t>
            </w:r>
            <w:r w:rsidRPr="00BA20B3">
              <w:rPr>
                <w:rFonts w:asciiTheme="minorHAnsi" w:hAnsiTheme="minorHAnsi"/>
                <w:sz w:val="22"/>
                <w:szCs w:val="22"/>
              </w:rPr>
              <w:t xml:space="preserve"> that the PR</w:t>
            </w:r>
            <w:r>
              <w:rPr>
                <w:rFonts w:asciiTheme="minorHAnsi" w:hAnsiTheme="minorHAnsi"/>
                <w:sz w:val="22"/>
                <w:szCs w:val="22"/>
              </w:rPr>
              <w:t>9</w:t>
            </w:r>
            <w:r w:rsidRPr="00BA20B3">
              <w:rPr>
                <w:rFonts w:asciiTheme="minorHAnsi" w:hAnsiTheme="minorHAnsi"/>
                <w:sz w:val="22"/>
                <w:szCs w:val="22"/>
              </w:rPr>
              <w:t xml:space="preserve"> Business Plan will be delivered over)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AMP6</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Asset Management Plan 6 (the period 2015 to 2020 that the PR1</w:t>
            </w:r>
            <w:r>
              <w:rPr>
                <w:rFonts w:asciiTheme="minorHAnsi" w:hAnsiTheme="minorHAnsi"/>
                <w:sz w:val="22"/>
                <w:szCs w:val="22"/>
              </w:rPr>
              <w:t>4</w:t>
            </w:r>
            <w:r w:rsidRPr="00BA20B3">
              <w:rPr>
                <w:rFonts w:asciiTheme="minorHAnsi" w:hAnsiTheme="minorHAnsi"/>
                <w:sz w:val="22"/>
                <w:szCs w:val="22"/>
              </w:rPr>
              <w:t xml:space="preserve"> Business Plan will be delivered over)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AMP7</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Asset Management Plan 7 (the period 2020 to 2025 that the PR19 Business Plan will be delivered over)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AMP8</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Asset Management Plan 8 (the period 2025 to 2030 that the PR19 Business Plan will be delivered over)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Ancala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Ancala Partners LLP (UK based infrastructure fund manager and owners of Portsmouth Water)</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App</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Application for a mobile device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App1</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Business Plan table commentary App1</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App31</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Business Plan table commentary App31</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APR</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Annual Performance Review</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bCs/>
                <w:sz w:val="22"/>
                <w:szCs w:val="22"/>
              </w:rPr>
              <w:t>Atkins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color w:val="000000" w:themeColor="text1"/>
                <w:sz w:val="22"/>
                <w:szCs w:val="22"/>
                <w:shd w:val="clear" w:color="auto" w:fill="FFFFFF"/>
              </w:rPr>
              <w:t>A consulting services company that Portsmouth Water have used during the planning process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cs="Arial"/>
                <w:bCs/>
                <w:sz w:val="22"/>
                <w:szCs w:val="22"/>
              </w:rPr>
            </w:pPr>
            <w:r>
              <w:rPr>
                <w:rFonts w:asciiTheme="minorHAnsi" w:hAnsiTheme="minorHAnsi" w:cs="Arial"/>
                <w:bCs/>
                <w:sz w:val="22"/>
                <w:szCs w:val="22"/>
              </w:rPr>
              <w:t>Baa1</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Credit rating – an assessment made by Moody’s, and Standard &amp; Poor of our credit worthiness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Baa2</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Credit rating – an assessment made by Moody’s, and Standard &amp; Poor of our credit worthiness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BAC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rPr>
              <w:t>Bid Assessment Criteria (document providing a structure for third parties and incumbents to submit solutions, it covers both supply-side and demand-side schemes and includes for leakage services, water efficiency and improvements to production capability)</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BIG</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rPr>
              <w:t>Business Improvement Group (group with senior representatives from all key internal disciplines and Business Systems Analysts).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rPr>
              <w:t>CAB</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rPr>
              <w:t>Citizens Advice Bureau</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CAP</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Customer Advisory Panel (a group of customers brought together by Portsmouth Water to understand their views)</w:t>
            </w:r>
          </w:p>
        </w:tc>
      </w:tr>
      <w:tr w:rsidR="00A5454E" w:rsidRPr="00BA20B3" w:rsidTr="00CF2560">
        <w:tc>
          <w:tcPr>
            <w:tcW w:w="1555" w:type="dxa"/>
          </w:tcPr>
          <w:p w:rsidR="00A5454E" w:rsidRPr="00BA20B3" w:rsidRDefault="00964B14"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Capex</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Capital expenditure (spend on assets in our business)</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CApP</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Competitively Appointed Provider</w:t>
            </w:r>
          </w:p>
        </w:tc>
      </w:tr>
      <w:tr w:rsidR="008E006F" w:rsidRPr="00BA20B3" w:rsidTr="00CF2560">
        <w:tc>
          <w:tcPr>
            <w:tcW w:w="1555"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CAR</w:t>
            </w:r>
          </w:p>
        </w:tc>
        <w:tc>
          <w:tcPr>
            <w:tcW w:w="7461"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Conservation Access and Recreation</w:t>
            </w:r>
          </w:p>
        </w:tc>
      </w:tr>
      <w:tr w:rsidR="008E006F" w:rsidRPr="00BA20B3" w:rsidTr="00CF2560">
        <w:tc>
          <w:tcPr>
            <w:tcW w:w="1555"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CBA</w:t>
            </w:r>
          </w:p>
        </w:tc>
        <w:tc>
          <w:tcPr>
            <w:tcW w:w="7461"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Cost Benefit Analysis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CCG</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Customer Challenge Group (independent group formed to challenge Portsmouth Water’s plans)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CCWater</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Consumer Council for Water (national consumer body representing water customers)</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CEO</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Chief Executive Officer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CIS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Capital Incentive Scheme (established by Ofwat)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CMA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Competitive &amp; Markets Authority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C-mex and D-mex</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Metrics used by Ofwat to measure water companies’ customer service for commercial customers (C-Mex) and domestic customers (D-Mex) for AMP7</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COPI</w:t>
            </w:r>
          </w:p>
        </w:tc>
        <w:tc>
          <w:tcPr>
            <w:tcW w:w="7461" w:type="dxa"/>
          </w:tcPr>
          <w:p w:rsidR="008E006F" w:rsidRPr="00BA20B3" w:rsidRDefault="008E006F" w:rsidP="008E006F">
            <w:pPr>
              <w:tabs>
                <w:tab w:val="clear" w:pos="851"/>
              </w:tabs>
              <w:spacing w:after="0"/>
              <w:ind w:left="0"/>
              <w:jc w:val="left"/>
              <w:rPr>
                <w:rFonts w:asciiTheme="minorHAnsi" w:hAnsiTheme="minorHAnsi"/>
                <w:sz w:val="22"/>
                <w:szCs w:val="22"/>
              </w:rPr>
            </w:pPr>
            <w:r>
              <w:rPr>
                <w:rFonts w:asciiTheme="minorHAnsi" w:hAnsiTheme="minorHAnsi"/>
                <w:sz w:val="22"/>
                <w:szCs w:val="22"/>
              </w:rPr>
              <w:t>Construction Output Price Indices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CPES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Channel Payments for Ecosystems Services</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CPI</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Consumer Price Index</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rPr>
              <w:t>CPIH</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Measure of consumer price inflation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CRI</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Compliance Risk Index (Water quality compliance measure)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CRM</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Customer Relationship Management System</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CUSP</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Construction &amp; Utilities Solutions Partnership</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D&amp;B</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Design and Build</w:t>
            </w:r>
          </w:p>
        </w:tc>
      </w:tr>
      <w:tr w:rsidR="006574DF" w:rsidRPr="00BA20B3" w:rsidTr="00CF2560">
        <w:tc>
          <w:tcPr>
            <w:tcW w:w="1555" w:type="dxa"/>
          </w:tcPr>
          <w:p w:rsidR="006574DF" w:rsidRPr="00BA20B3" w:rsidRDefault="006574D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DB</w:t>
            </w:r>
          </w:p>
        </w:tc>
        <w:tc>
          <w:tcPr>
            <w:tcW w:w="7461" w:type="dxa"/>
          </w:tcPr>
          <w:p w:rsidR="006574DF" w:rsidRPr="00BA20B3" w:rsidRDefault="006574D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Defined Benefit</w:t>
            </w:r>
          </w:p>
        </w:tc>
      </w:tr>
      <w:tr w:rsidR="006574DF" w:rsidRPr="00BA20B3" w:rsidTr="00CF2560">
        <w:tc>
          <w:tcPr>
            <w:tcW w:w="1555" w:type="dxa"/>
          </w:tcPr>
          <w:p w:rsidR="006574DF" w:rsidRDefault="006574D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DC</w:t>
            </w:r>
          </w:p>
        </w:tc>
        <w:tc>
          <w:tcPr>
            <w:tcW w:w="7461" w:type="dxa"/>
          </w:tcPr>
          <w:p w:rsidR="006574DF" w:rsidRDefault="006574D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Defined Contribution</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DEFRA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color w:val="222222"/>
                <w:sz w:val="22"/>
                <w:szCs w:val="22"/>
                <w:shd w:val="clear" w:color="auto" w:fill="FFFFFF"/>
              </w:rPr>
              <w:t>The Department for Environment, Food and Rural Affairs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DMAs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District Metered Areas (metered areas containing around 500 properties each)</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DPC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Direct Procurement for Customers (an alternative method of procuring and constructing a large asset)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DWI</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Drinking Water Inspectorate (water quality regulator)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EA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The Environment Agency</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ERP</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Enterprise Resource Planning</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FD</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Final Determination</w:t>
            </w:r>
          </w:p>
        </w:tc>
      </w:tr>
      <w:tr w:rsidR="008E006F" w:rsidRPr="00BA20B3" w:rsidTr="00CF2560">
        <w:tc>
          <w:tcPr>
            <w:tcW w:w="1555"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FFO</w:t>
            </w:r>
          </w:p>
        </w:tc>
        <w:tc>
          <w:tcPr>
            <w:tcW w:w="7461" w:type="dxa"/>
          </w:tcPr>
          <w:p w:rsidR="008E006F" w:rsidRDefault="008E006F" w:rsidP="008E006F">
            <w:pPr>
              <w:tabs>
                <w:tab w:val="clear" w:pos="851"/>
              </w:tabs>
              <w:spacing w:after="0"/>
              <w:ind w:left="0"/>
              <w:jc w:val="left"/>
              <w:rPr>
                <w:rFonts w:asciiTheme="minorHAnsi" w:hAnsiTheme="minorHAnsi"/>
                <w:sz w:val="22"/>
                <w:szCs w:val="22"/>
              </w:rPr>
            </w:pPr>
            <w:r>
              <w:rPr>
                <w:rFonts w:asciiTheme="minorHAnsi" w:hAnsiTheme="minorHAnsi"/>
                <w:sz w:val="22"/>
                <w:szCs w:val="22"/>
              </w:rPr>
              <w:t>Funds From Operations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rPr>
              <w:t>GDPR</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shd w:val="clear" w:color="auto" w:fill="FFFFFF"/>
              </w:rPr>
              <w:t>General Data Protection Regulation (EU law on data protection)</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GIS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Geographic Information System (system used for gathering, managing and analysing geographic information).</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HBF</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the Housebuilders Federation</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HH</w:t>
            </w:r>
          </w:p>
        </w:tc>
        <w:tc>
          <w:tcPr>
            <w:tcW w:w="7461" w:type="dxa"/>
          </w:tcPr>
          <w:p w:rsidR="008E006F" w:rsidRPr="00BA20B3" w:rsidRDefault="008E006F" w:rsidP="008E006F">
            <w:pPr>
              <w:tabs>
                <w:tab w:val="clear" w:pos="851"/>
              </w:tabs>
              <w:spacing w:after="0"/>
              <w:ind w:left="0"/>
              <w:jc w:val="left"/>
              <w:rPr>
                <w:rFonts w:asciiTheme="minorHAnsi" w:hAnsiTheme="minorHAnsi"/>
                <w:sz w:val="22"/>
                <w:szCs w:val="22"/>
              </w:rPr>
            </w:pPr>
            <w:r>
              <w:rPr>
                <w:rFonts w:asciiTheme="minorHAnsi" w:hAnsiTheme="minorHAnsi"/>
                <w:sz w:val="22"/>
                <w:szCs w:val="22"/>
              </w:rPr>
              <w:t>House hold</w:t>
            </w:r>
          </w:p>
        </w:tc>
      </w:tr>
      <w:tr w:rsidR="008E006F" w:rsidRPr="00BA20B3" w:rsidTr="00CF2560">
        <w:tc>
          <w:tcPr>
            <w:tcW w:w="1555"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HNC</w:t>
            </w:r>
          </w:p>
        </w:tc>
        <w:tc>
          <w:tcPr>
            <w:tcW w:w="7461"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Higher National Certificate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HTWSR</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Havant Thicket Winter Storage Reservoir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bCs/>
                <w:sz w:val="22"/>
                <w:szCs w:val="22"/>
              </w:rPr>
              <w:t>Hydroco</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Water engineering consultants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IACCM</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The International Association for Contract &amp; Commercial Management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ICR</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Interest Cover Ratio (a financial measure of our ability to pay our interest on our loans).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ICS </w:t>
            </w:r>
          </w:p>
        </w:tc>
        <w:tc>
          <w:tcPr>
            <w:tcW w:w="7461" w:type="dxa"/>
          </w:tcPr>
          <w:p w:rsidR="00A5454E" w:rsidRPr="00BA20B3" w:rsidRDefault="00587A59"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ICS Consulting Limited – Customer Research Company</w:t>
            </w:r>
          </w:p>
        </w:tc>
      </w:tr>
      <w:tr w:rsidR="00DA6223" w:rsidRPr="00BA20B3" w:rsidTr="00CF2560">
        <w:tc>
          <w:tcPr>
            <w:tcW w:w="1555" w:type="dxa"/>
          </w:tcPr>
          <w:p w:rsidR="00DA6223" w:rsidRPr="00BA20B3" w:rsidRDefault="00DA6223"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IoCS</w:t>
            </w:r>
          </w:p>
        </w:tc>
        <w:tc>
          <w:tcPr>
            <w:tcW w:w="7461" w:type="dxa"/>
          </w:tcPr>
          <w:p w:rsidR="00DA6223" w:rsidRPr="00BA20B3" w:rsidRDefault="00DA6223"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Institute of Customer Service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IFS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Industrial and Financial Systems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IoT</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Internet of Things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IPP</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Input price pressures</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IT</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Information Technology</w:t>
            </w:r>
          </w:p>
        </w:tc>
      </w:tr>
      <w:tr w:rsidR="008E006F" w:rsidRPr="00BA20B3" w:rsidTr="00CF2560">
        <w:tc>
          <w:tcPr>
            <w:tcW w:w="1555"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KPI</w:t>
            </w:r>
          </w:p>
        </w:tc>
        <w:tc>
          <w:tcPr>
            <w:tcW w:w="7461"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Key Performance Indicator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KPMG</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color w:val="000000" w:themeColor="text1"/>
                <w:sz w:val="22"/>
                <w:szCs w:val="22"/>
                <w:shd w:val="clear" w:color="auto" w:fill="FFFFFF"/>
              </w:rPr>
              <w:t>A consulting services company that Portsmouth Water have used during the planning process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MARM </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Mouchel’s Asset Renewal Model ( a forward looking method for determining the </w:t>
            </w:r>
            <w:r w:rsidR="00964B14">
              <w:rPr>
                <w:rFonts w:asciiTheme="minorHAnsi" w:hAnsiTheme="minorHAnsi"/>
                <w:sz w:val="22"/>
                <w:szCs w:val="22"/>
              </w:rPr>
              <w:t>Capex</w:t>
            </w:r>
            <w:r w:rsidRPr="00BA20B3">
              <w:rPr>
                <w:rFonts w:asciiTheme="minorHAnsi" w:hAnsiTheme="minorHAnsi"/>
                <w:sz w:val="22"/>
                <w:szCs w:val="22"/>
              </w:rPr>
              <w:t>/</w:t>
            </w:r>
            <w:r w:rsidR="00964B14">
              <w:rPr>
                <w:rFonts w:asciiTheme="minorHAnsi" w:hAnsiTheme="minorHAnsi"/>
                <w:sz w:val="22"/>
                <w:szCs w:val="22"/>
              </w:rPr>
              <w:t>Opex</w:t>
            </w:r>
            <w:r w:rsidRPr="00BA20B3">
              <w:rPr>
                <w:rFonts w:asciiTheme="minorHAnsi" w:hAnsiTheme="minorHAnsi"/>
                <w:sz w:val="22"/>
                <w:szCs w:val="22"/>
              </w:rPr>
              <w:t xml:space="preserve"> balance together with the level of total investment required to adequately maintain assets in the next AMP and beyond).</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MEAV</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Modern Equivalent Asset Value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highlight w:val="yellow"/>
              </w:rPr>
            </w:pPr>
            <w:r w:rsidRPr="00BA20B3">
              <w:rPr>
                <w:rFonts w:asciiTheme="minorHAnsi" w:hAnsiTheme="minorHAnsi"/>
                <w:sz w:val="22"/>
                <w:szCs w:val="22"/>
              </w:rPr>
              <w:t>MEICA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highlight w:val="yellow"/>
              </w:rPr>
            </w:pPr>
            <w:r w:rsidRPr="00BA20B3">
              <w:rPr>
                <w:rFonts w:asciiTheme="minorHAnsi" w:hAnsiTheme="minorHAnsi"/>
                <w:sz w:val="22"/>
                <w:szCs w:val="22"/>
              </w:rPr>
              <w:t>Mechanical, Electrical, Instrumentation, Control and Automation</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MOSL</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Market operator of non-household retail water market</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MOU</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Memorandum of Understanding</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MZC</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Mean Zonal Compliance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NAV</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Newly Appointed Variations (suppliers of water typical to new developments)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NED’s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Non-executive directors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NEP</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National Environment Programme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NERA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NERA Economic Consulting</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NGO</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Non-Government Organisation</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NHH</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Non-household</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NPV</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Net Present Value (calculation used in Investment Appraisals)</w:t>
            </w:r>
          </w:p>
        </w:tc>
      </w:tr>
      <w:tr w:rsidR="00694558" w:rsidRPr="00BA20B3" w:rsidTr="00CF2560">
        <w:tc>
          <w:tcPr>
            <w:tcW w:w="1555" w:type="dxa"/>
          </w:tcPr>
          <w:p w:rsidR="00694558" w:rsidRPr="00694558" w:rsidRDefault="00694558" w:rsidP="00694558">
            <w:pPr>
              <w:tabs>
                <w:tab w:val="clear" w:pos="851"/>
              </w:tabs>
              <w:spacing w:after="0"/>
              <w:ind w:left="0"/>
              <w:jc w:val="left"/>
              <w:rPr>
                <w:rFonts w:asciiTheme="minorHAnsi" w:hAnsiTheme="minorHAnsi"/>
                <w:sz w:val="16"/>
                <w:szCs w:val="16"/>
              </w:rPr>
            </w:pPr>
            <w:r w:rsidRPr="00694558">
              <w:rPr>
                <w:rFonts w:asciiTheme="minorHAnsi" w:hAnsiTheme="minorHAnsi"/>
                <w:sz w:val="16"/>
                <w:szCs w:val="16"/>
              </w:rPr>
              <w:t>“Not for Revenue”</w:t>
            </w:r>
          </w:p>
        </w:tc>
        <w:tc>
          <w:tcPr>
            <w:tcW w:w="7461" w:type="dxa"/>
          </w:tcPr>
          <w:p w:rsidR="00694558" w:rsidRPr="00BA20B3" w:rsidRDefault="00694558"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Meters installed for information but will not be used to generate bills</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NVQ</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National Vocational Qualification</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O&amp;M</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Operation &amp; maintenance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ODI</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Outcome Delivery Incentive (a system of reputational and financial rewards and penalties that are applied to Portsmouth Water in relation to exceeding or failing its Performance Commitment Targets)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Ofwat</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Water Services Regulation Authority (Office of Water Services)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OJEU</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rPr>
              <w:t>Official Journal of the European Union</w:t>
            </w:r>
          </w:p>
        </w:tc>
      </w:tr>
      <w:tr w:rsidR="00A5454E" w:rsidRPr="00BA20B3" w:rsidTr="00CF2560">
        <w:tc>
          <w:tcPr>
            <w:tcW w:w="1555" w:type="dxa"/>
          </w:tcPr>
          <w:p w:rsidR="00A5454E" w:rsidRPr="00BA20B3" w:rsidRDefault="00964B14"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Opex</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Operating expenditure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OT</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Operational Technology/optimisation tool</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Oxera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color w:val="000000" w:themeColor="text1"/>
                <w:sz w:val="22"/>
                <w:szCs w:val="22"/>
                <w:shd w:val="clear" w:color="auto" w:fill="FFFFFF"/>
              </w:rPr>
              <w:t>A consulting services company that Portsmouth Water have used during the planning process</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P90</w:t>
            </w:r>
          </w:p>
        </w:tc>
        <w:tc>
          <w:tcPr>
            <w:tcW w:w="7461" w:type="dxa"/>
          </w:tcPr>
          <w:p w:rsidR="008E006F" w:rsidRPr="00BA20B3" w:rsidRDefault="008E006F" w:rsidP="007E5436">
            <w:pPr>
              <w:tabs>
                <w:tab w:val="clear" w:pos="851"/>
              </w:tabs>
              <w:spacing w:after="0"/>
              <w:ind w:left="0"/>
              <w:jc w:val="left"/>
              <w:rPr>
                <w:rFonts w:asciiTheme="minorHAnsi" w:hAnsiTheme="minorHAnsi" w:cs="Arial"/>
                <w:color w:val="000000" w:themeColor="text1"/>
                <w:sz w:val="22"/>
                <w:szCs w:val="22"/>
                <w:shd w:val="clear" w:color="auto" w:fill="FFFFFF"/>
              </w:rPr>
            </w:pPr>
            <w:r>
              <w:rPr>
                <w:rFonts w:asciiTheme="minorHAnsi" w:hAnsiTheme="minorHAnsi" w:cs="Arial"/>
                <w:color w:val="000000" w:themeColor="text1"/>
                <w:sz w:val="22"/>
                <w:szCs w:val="22"/>
                <w:shd w:val="clear" w:color="auto" w:fill="FFFFFF"/>
              </w:rPr>
              <w:t>Values in a Monte</w:t>
            </w:r>
            <w:r w:rsidR="007E5436">
              <w:rPr>
                <w:rFonts w:asciiTheme="minorHAnsi" w:hAnsiTheme="minorHAnsi" w:cs="Arial"/>
                <w:color w:val="000000" w:themeColor="text1"/>
                <w:sz w:val="22"/>
                <w:szCs w:val="22"/>
                <w:shd w:val="clear" w:color="auto" w:fill="FFFFFF"/>
              </w:rPr>
              <w:t>-</w:t>
            </w:r>
            <w:r>
              <w:rPr>
                <w:rFonts w:asciiTheme="minorHAnsi" w:hAnsiTheme="minorHAnsi" w:cs="Arial"/>
                <w:color w:val="000000" w:themeColor="text1"/>
                <w:sz w:val="22"/>
                <w:szCs w:val="22"/>
                <w:shd w:val="clear" w:color="auto" w:fill="FFFFFF"/>
              </w:rPr>
              <w:t>Carlo simulation</w:t>
            </w:r>
          </w:p>
        </w:tc>
      </w:tr>
      <w:tr w:rsidR="008E006F" w:rsidRPr="00BA20B3" w:rsidTr="00CF2560">
        <w:tc>
          <w:tcPr>
            <w:tcW w:w="1555"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P10</w:t>
            </w:r>
          </w:p>
        </w:tc>
        <w:tc>
          <w:tcPr>
            <w:tcW w:w="7461" w:type="dxa"/>
          </w:tcPr>
          <w:p w:rsidR="008E006F" w:rsidRDefault="008E006F" w:rsidP="007E5436">
            <w:pPr>
              <w:tabs>
                <w:tab w:val="clear" w:pos="851"/>
              </w:tabs>
              <w:spacing w:after="0"/>
              <w:ind w:left="0"/>
              <w:jc w:val="left"/>
              <w:rPr>
                <w:rFonts w:asciiTheme="minorHAnsi" w:hAnsiTheme="minorHAnsi" w:cs="Arial"/>
                <w:color w:val="000000" w:themeColor="text1"/>
                <w:sz w:val="22"/>
                <w:szCs w:val="22"/>
                <w:shd w:val="clear" w:color="auto" w:fill="FFFFFF"/>
              </w:rPr>
            </w:pPr>
            <w:r>
              <w:rPr>
                <w:rFonts w:asciiTheme="minorHAnsi" w:hAnsiTheme="minorHAnsi" w:cs="Arial"/>
                <w:color w:val="000000" w:themeColor="text1"/>
                <w:sz w:val="22"/>
                <w:szCs w:val="22"/>
                <w:shd w:val="clear" w:color="auto" w:fill="FFFFFF"/>
              </w:rPr>
              <w:t>Values in a Monte</w:t>
            </w:r>
            <w:r w:rsidR="007E5436">
              <w:rPr>
                <w:rFonts w:asciiTheme="minorHAnsi" w:hAnsiTheme="minorHAnsi" w:cs="Arial"/>
                <w:color w:val="000000" w:themeColor="text1"/>
                <w:sz w:val="22"/>
                <w:szCs w:val="22"/>
                <w:shd w:val="clear" w:color="auto" w:fill="FFFFFF"/>
              </w:rPr>
              <w:t>-</w:t>
            </w:r>
            <w:r>
              <w:rPr>
                <w:rFonts w:asciiTheme="minorHAnsi" w:hAnsiTheme="minorHAnsi" w:cs="Arial"/>
                <w:color w:val="000000" w:themeColor="text1"/>
                <w:sz w:val="22"/>
                <w:szCs w:val="22"/>
                <w:shd w:val="clear" w:color="auto" w:fill="FFFFFF"/>
              </w:rPr>
              <w:t>Carlo simulation</w:t>
            </w:r>
          </w:p>
        </w:tc>
      </w:tr>
      <w:tr w:rsidR="00A5454E" w:rsidRPr="00BA20B3" w:rsidTr="00CF2560">
        <w:trPr>
          <w:trHeight w:val="373"/>
        </w:trPr>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PA Consulting </w:t>
            </w:r>
            <w:r w:rsidRPr="00BA20B3">
              <w:rPr>
                <w:rFonts w:asciiTheme="minorHAnsi" w:hAnsiTheme="minorHAnsi" w:cs="Arial"/>
                <w:color w:val="000000" w:themeColor="text1"/>
                <w:sz w:val="22"/>
                <w:szCs w:val="22"/>
                <w:shd w:val="clear" w:color="auto" w:fill="FFFFFF"/>
              </w:rPr>
              <w:t>(a consulting services company that Portsmouth Water have used during the planning process)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PAYG</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`Pay</w:t>
            </w:r>
            <w:r w:rsidRPr="00BA20B3">
              <w:rPr>
                <w:rFonts w:asciiTheme="minorHAnsi" w:hAnsiTheme="minorHAnsi"/>
                <w:color w:val="FF0000"/>
                <w:sz w:val="22"/>
                <w:szCs w:val="22"/>
              </w:rPr>
              <w:t xml:space="preserve"> </w:t>
            </w:r>
            <w:r w:rsidRPr="00BA20B3">
              <w:rPr>
                <w:rFonts w:asciiTheme="minorHAnsi" w:hAnsiTheme="minorHAnsi"/>
                <w:sz w:val="22"/>
                <w:szCs w:val="22"/>
              </w:rPr>
              <w:t>as</w:t>
            </w:r>
            <w:r w:rsidRPr="00BA20B3">
              <w:rPr>
                <w:rFonts w:asciiTheme="minorHAnsi" w:hAnsiTheme="minorHAnsi"/>
                <w:color w:val="FF0000"/>
                <w:sz w:val="22"/>
                <w:szCs w:val="22"/>
              </w:rPr>
              <w:t xml:space="preserve"> </w:t>
            </w:r>
            <w:r w:rsidRPr="00BA20B3">
              <w:rPr>
                <w:rFonts w:asciiTheme="minorHAnsi" w:hAnsiTheme="minorHAnsi"/>
                <w:sz w:val="22"/>
                <w:szCs w:val="22"/>
              </w:rPr>
              <w:t>You Go’ (in this case a measure of the cost that capital investment has on current customer bills as defined by Ofwat)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PCC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Per Capita Consumption (amount of water used daily by each customer)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PCs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Performance Commitments (by Portsmouth Water in its Business Plan)</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PFI</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Public Finance Initiative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PMC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Project management contractor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PPE</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Personal protective equipment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PR14</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Periodic Review 2014 (the process through which Ofwat determines Portsmouth Water’s targets and bill levels for the period 2015 to 2020)</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PR19</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Periodic Review 2019 (the process through which Ofwat determines Portsmouth Water’s targets and bill levels for the period 2020 to 2025)</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PwC</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Pricewaterhouse Coopers – An accountancy and advisory company</w:t>
            </w:r>
          </w:p>
        </w:tc>
      </w:tr>
      <w:tr w:rsidR="008E006F" w:rsidRPr="00BA20B3" w:rsidTr="00CF2560">
        <w:tc>
          <w:tcPr>
            <w:tcW w:w="1555"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PWL</w:t>
            </w:r>
          </w:p>
        </w:tc>
        <w:tc>
          <w:tcPr>
            <w:tcW w:w="7461" w:type="dxa"/>
          </w:tcPr>
          <w:p w:rsidR="008E006F"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Portsmouth Water Limited</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QRA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Quantitative Risk Analysis</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QS</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Quantity Surveyor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R&amp;D Projects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Research and development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RAG rating</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Red, amber, green rating</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RBS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Royal Bank of Scotland</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RCM</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Revenue Correction Mechanism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RCV</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Regulatory Capital Value (Ofwat’s assessment of the value of the company)</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R-mex</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Retailer’s measure of experience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w:t>
            </w:r>
            <w:r>
              <w:rPr>
                <w:rFonts w:asciiTheme="minorHAnsi" w:hAnsiTheme="minorHAnsi"/>
                <w:sz w:val="22"/>
                <w:szCs w:val="22"/>
              </w:rPr>
              <w:t>o</w:t>
            </w:r>
            <w:r w:rsidRPr="00BA20B3">
              <w:rPr>
                <w:rFonts w:asciiTheme="minorHAnsi" w:hAnsiTheme="minorHAnsi"/>
                <w:sz w:val="22"/>
                <w:szCs w:val="22"/>
              </w:rPr>
              <w:t>RE</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Return on Regulated Equity (measure of the amount of profit for shareholders relative to the total equity in the regulated business)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RoSPA</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shd w:val="clear" w:color="auto" w:fill="FFFFFF"/>
              </w:rPr>
              <w:t>Royal Society for the Prevention of Accidents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S&amp;P</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Standard and Poor</w:t>
            </w:r>
          </w:p>
        </w:tc>
      </w:tr>
      <w:tr w:rsidR="00624139" w:rsidRPr="00BA20B3" w:rsidTr="00CF2560">
        <w:tc>
          <w:tcPr>
            <w:tcW w:w="1555" w:type="dxa"/>
          </w:tcPr>
          <w:p w:rsidR="00624139" w:rsidRPr="00BA20B3" w:rsidRDefault="00624139"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SAM</w:t>
            </w:r>
          </w:p>
        </w:tc>
        <w:tc>
          <w:tcPr>
            <w:tcW w:w="7461" w:type="dxa"/>
          </w:tcPr>
          <w:p w:rsidR="00624139" w:rsidRPr="00BA20B3" w:rsidRDefault="00624139"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Small Area Meters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SELL</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Sustainable economic level of leakage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SEMD</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Security and Emergency Measured Directive (defined by </w:t>
            </w:r>
            <w:r w:rsidR="00E76864">
              <w:rPr>
                <w:rFonts w:asciiTheme="minorHAnsi" w:hAnsiTheme="minorHAnsi"/>
                <w:sz w:val="22"/>
                <w:szCs w:val="22"/>
              </w:rPr>
              <w:t>DEFRA</w:t>
            </w:r>
            <w:r w:rsidRPr="00BA20B3">
              <w:rPr>
                <w:rFonts w:asciiTheme="minorHAnsi" w:hAnsiTheme="minorHAnsi"/>
                <w:sz w:val="22"/>
                <w:szCs w:val="22"/>
              </w:rPr>
              <w: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bCs/>
                <w:sz w:val="22"/>
                <w:szCs w:val="22"/>
              </w:rPr>
              <w:t>Servalec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Technology company that Portsmouth Water have consulted with as part of the planning process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SESW</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SES Water (formerly Sutton and East Surrey Water)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SIM</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Service Incentive Mechanism (determined by Ofwat as a measure of customer satisfaction</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SMAs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Strategic Metered Areas (metered areas each with an average of approximately 3,400 properties)</w:t>
            </w:r>
          </w:p>
        </w:tc>
      </w:tr>
      <w:tr w:rsidR="003C05B4" w:rsidRPr="00BA20B3" w:rsidTr="00CF2560">
        <w:tc>
          <w:tcPr>
            <w:tcW w:w="1555" w:type="dxa"/>
          </w:tcPr>
          <w:p w:rsidR="003C05B4" w:rsidRPr="00BA20B3" w:rsidRDefault="003C05B4"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SMS</w:t>
            </w:r>
          </w:p>
        </w:tc>
        <w:tc>
          <w:tcPr>
            <w:tcW w:w="7461" w:type="dxa"/>
          </w:tcPr>
          <w:p w:rsidR="003C05B4" w:rsidRPr="00BA20B3" w:rsidRDefault="003C05B4"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Short messaging system</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SPONS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Job costing database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SPORT</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Supply and Production Optimisation Project (system that will automate the control of our treatment works to deliver efficiencies).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SPZ1</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Source protection zone 1 (where the company monitors activity as it may impact raw water quality</w:t>
            </w:r>
          </w:p>
        </w:tc>
      </w:tr>
      <w:tr w:rsidR="008E006F" w:rsidRPr="00BA20B3" w:rsidTr="00CF2560">
        <w:tc>
          <w:tcPr>
            <w:tcW w:w="1555"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SSE</w:t>
            </w:r>
          </w:p>
        </w:tc>
        <w:tc>
          <w:tcPr>
            <w:tcW w:w="7461" w:type="dxa"/>
          </w:tcPr>
          <w:p w:rsidR="008E006F" w:rsidRPr="00BA20B3" w:rsidRDefault="008E006F"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Scottish and Southern Electric</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SWS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Southern Water</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TMC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Tooms Moore Consulting </w:t>
            </w:r>
            <w:r w:rsidRPr="00BA20B3">
              <w:rPr>
                <w:rFonts w:asciiTheme="minorHAnsi" w:hAnsiTheme="minorHAnsi" w:cs="Arial"/>
                <w:color w:val="000000" w:themeColor="text1"/>
                <w:sz w:val="22"/>
                <w:szCs w:val="22"/>
                <w:shd w:val="clear" w:color="auto" w:fill="FFFFFF"/>
              </w:rPr>
              <w:t>(a consulting services company that Portsmouth Water have used during the planning process for leakage)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Totex</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 xml:space="preserve">Total expenditure of the business (both </w:t>
            </w:r>
            <w:r w:rsidR="00964B14">
              <w:rPr>
                <w:rFonts w:asciiTheme="minorHAnsi" w:hAnsiTheme="minorHAnsi"/>
                <w:sz w:val="22"/>
                <w:szCs w:val="22"/>
              </w:rPr>
              <w:t>Opex</w:t>
            </w:r>
            <w:r w:rsidRPr="00BA20B3">
              <w:rPr>
                <w:rFonts w:asciiTheme="minorHAnsi" w:hAnsiTheme="minorHAnsi"/>
                <w:sz w:val="22"/>
                <w:szCs w:val="22"/>
              </w:rPr>
              <w:t xml:space="preserve"> and </w:t>
            </w:r>
            <w:r w:rsidR="00964B14">
              <w:rPr>
                <w:rFonts w:asciiTheme="minorHAnsi" w:hAnsiTheme="minorHAnsi"/>
                <w:sz w:val="22"/>
                <w:szCs w:val="22"/>
              </w:rPr>
              <w:t>Capex</w:t>
            </w:r>
            <w:r w:rsidRPr="00BA20B3">
              <w:rPr>
                <w:rFonts w:asciiTheme="minorHAnsi" w:hAnsiTheme="minorHAnsi"/>
                <w:sz w:val="22"/>
                <w:szCs w:val="22"/>
              </w:rPr>
              <w: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TUBs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Temporary use bans (formerly hosepipe bans)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UARL</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Unavoidable Real Losses (used in leakage calculations)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UK CSI</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UK Customer Satisfaction Index (undertaken by the Institute of Customer Service)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UKAS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color w:val="222222"/>
                <w:sz w:val="22"/>
                <w:szCs w:val="22"/>
                <w:shd w:val="clear" w:color="auto" w:fill="FFFFFF"/>
              </w:rPr>
              <w:t>United Kingdom Accreditation Service </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UKWIR</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shd w:val="clear" w:color="auto" w:fill="FFFFFF"/>
              </w:rPr>
              <w:t>UK Water Industry Research</w:t>
            </w:r>
          </w:p>
        </w:tc>
      </w:tr>
      <w:tr w:rsidR="00DC2F54" w:rsidRPr="00BA20B3" w:rsidTr="00CF2560">
        <w:tc>
          <w:tcPr>
            <w:tcW w:w="1555" w:type="dxa"/>
          </w:tcPr>
          <w:p w:rsidR="00DC2F54" w:rsidRDefault="00DC2F54"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UQ</w:t>
            </w:r>
          </w:p>
        </w:tc>
        <w:tc>
          <w:tcPr>
            <w:tcW w:w="7461" w:type="dxa"/>
          </w:tcPr>
          <w:p w:rsidR="00DC2F54" w:rsidRPr="00BA20B3" w:rsidRDefault="00DC2F54" w:rsidP="00A5454E">
            <w:pPr>
              <w:tabs>
                <w:tab w:val="clear" w:pos="851"/>
              </w:tabs>
              <w:spacing w:after="0"/>
              <w:ind w:left="0"/>
              <w:jc w:val="left"/>
              <w:rPr>
                <w:rFonts w:asciiTheme="minorHAnsi" w:hAnsiTheme="minorHAnsi" w:cs="Arial"/>
                <w:sz w:val="22"/>
                <w:szCs w:val="22"/>
                <w:shd w:val="clear" w:color="auto" w:fill="FFFFFF"/>
              </w:rPr>
            </w:pPr>
            <w:r>
              <w:rPr>
                <w:rFonts w:asciiTheme="minorHAnsi" w:hAnsiTheme="minorHAnsi" w:cs="Arial"/>
                <w:sz w:val="22"/>
                <w:szCs w:val="22"/>
                <w:shd w:val="clear" w:color="auto" w:fill="FFFFFF"/>
              </w:rPr>
              <w:t>Upper Quartile</w:t>
            </w:r>
          </w:p>
        </w:tc>
      </w:tr>
      <w:tr w:rsidR="00DC2F54" w:rsidRPr="00BA20B3" w:rsidTr="00CF2560">
        <w:tc>
          <w:tcPr>
            <w:tcW w:w="1555" w:type="dxa"/>
          </w:tcPr>
          <w:p w:rsidR="00DC2F54" w:rsidRDefault="00DC2F54"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UV</w:t>
            </w:r>
          </w:p>
        </w:tc>
        <w:tc>
          <w:tcPr>
            <w:tcW w:w="7461" w:type="dxa"/>
          </w:tcPr>
          <w:p w:rsidR="00DC2F54" w:rsidRDefault="00DC2F54" w:rsidP="00A5454E">
            <w:pPr>
              <w:tabs>
                <w:tab w:val="clear" w:pos="851"/>
              </w:tabs>
              <w:spacing w:after="0"/>
              <w:ind w:left="0"/>
              <w:jc w:val="left"/>
              <w:rPr>
                <w:rFonts w:asciiTheme="minorHAnsi" w:hAnsiTheme="minorHAnsi" w:cs="Arial"/>
                <w:sz w:val="22"/>
                <w:szCs w:val="22"/>
                <w:shd w:val="clear" w:color="auto" w:fill="FFFFFF"/>
              </w:rPr>
            </w:pPr>
            <w:r>
              <w:rPr>
                <w:rFonts w:asciiTheme="minorHAnsi" w:hAnsiTheme="minorHAnsi" w:cs="Arial"/>
                <w:sz w:val="22"/>
                <w:szCs w:val="22"/>
                <w:shd w:val="clear" w:color="auto" w:fill="FFFFFF"/>
              </w:rPr>
              <w:t>Ultra Violet</w:t>
            </w:r>
          </w:p>
        </w:tc>
      </w:tr>
      <w:tr w:rsidR="00694558" w:rsidRPr="00BA20B3" w:rsidTr="00CF2560">
        <w:tc>
          <w:tcPr>
            <w:tcW w:w="1555" w:type="dxa"/>
          </w:tcPr>
          <w:p w:rsidR="00694558" w:rsidRDefault="00694558"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VOIDS</w:t>
            </w:r>
          </w:p>
        </w:tc>
        <w:tc>
          <w:tcPr>
            <w:tcW w:w="7461" w:type="dxa"/>
          </w:tcPr>
          <w:p w:rsidR="00694558" w:rsidRDefault="00694558" w:rsidP="00694558">
            <w:pPr>
              <w:tabs>
                <w:tab w:val="clear" w:pos="851"/>
              </w:tabs>
              <w:spacing w:after="0"/>
              <w:ind w:left="0"/>
              <w:jc w:val="left"/>
              <w:rPr>
                <w:rFonts w:asciiTheme="minorHAnsi" w:hAnsiTheme="minorHAnsi" w:cs="Arial"/>
                <w:sz w:val="22"/>
                <w:szCs w:val="22"/>
                <w:shd w:val="clear" w:color="auto" w:fill="FFFFFF"/>
              </w:rPr>
            </w:pPr>
            <w:r>
              <w:rPr>
                <w:rFonts w:asciiTheme="minorHAnsi" w:hAnsiTheme="minorHAnsi" w:cs="Arial"/>
                <w:sz w:val="22"/>
                <w:szCs w:val="22"/>
                <w:shd w:val="clear" w:color="auto" w:fill="FFFFFF"/>
              </w:rPr>
              <w:t>Empty properties not in charge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WACC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Weighted Average Cost of Capital (the allowed return by Ofwat)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WaSC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Water and Sewerage Companies</w:t>
            </w:r>
          </w:p>
        </w:tc>
      </w:tr>
      <w:tr w:rsidR="00694558" w:rsidRPr="00BA20B3" w:rsidTr="00CF2560">
        <w:tc>
          <w:tcPr>
            <w:tcW w:w="1555" w:type="dxa"/>
          </w:tcPr>
          <w:p w:rsidR="00694558" w:rsidRPr="00BA20B3" w:rsidRDefault="00694558"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WaterSure</w:t>
            </w:r>
          </w:p>
        </w:tc>
        <w:tc>
          <w:tcPr>
            <w:tcW w:w="7461" w:type="dxa"/>
          </w:tcPr>
          <w:p w:rsidR="00694558" w:rsidRPr="00694558" w:rsidRDefault="00694558" w:rsidP="00A5454E">
            <w:pPr>
              <w:tabs>
                <w:tab w:val="clear" w:pos="851"/>
              </w:tabs>
              <w:spacing w:after="0"/>
              <w:ind w:left="0"/>
              <w:jc w:val="left"/>
              <w:rPr>
                <w:rFonts w:asciiTheme="minorHAnsi" w:hAnsiTheme="minorHAnsi"/>
                <w:sz w:val="22"/>
                <w:szCs w:val="22"/>
              </w:rPr>
            </w:pPr>
            <w:r w:rsidRPr="00694558">
              <w:rPr>
                <w:rFonts w:asciiTheme="minorHAnsi" w:hAnsiTheme="minorHAnsi"/>
                <w:sz w:val="22"/>
                <w:szCs w:val="22"/>
              </w:rPr>
              <w:t>Payment Scheme to assist those on a meter but where health issues require high water usage</w:t>
            </w:r>
          </w:p>
        </w:tc>
      </w:tr>
      <w:tr w:rsidR="00DC2F54" w:rsidRPr="00BA20B3" w:rsidTr="00CF2560">
        <w:tc>
          <w:tcPr>
            <w:tcW w:w="1555" w:type="dxa"/>
          </w:tcPr>
          <w:p w:rsidR="00DC2F54" w:rsidRPr="00BA20B3" w:rsidRDefault="00DC2F54"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WATRS</w:t>
            </w:r>
          </w:p>
        </w:tc>
        <w:tc>
          <w:tcPr>
            <w:tcW w:w="7461" w:type="dxa"/>
          </w:tcPr>
          <w:p w:rsidR="00DC2F54" w:rsidRPr="00BA20B3" w:rsidRDefault="00DC2F54" w:rsidP="00A5454E">
            <w:pPr>
              <w:tabs>
                <w:tab w:val="clear" w:pos="851"/>
              </w:tabs>
              <w:spacing w:after="0"/>
              <w:ind w:left="0"/>
              <w:jc w:val="left"/>
              <w:rPr>
                <w:rFonts w:asciiTheme="minorHAnsi" w:hAnsiTheme="minorHAnsi"/>
                <w:sz w:val="22"/>
                <w:szCs w:val="22"/>
              </w:rPr>
            </w:pPr>
            <w:r>
              <w:rPr>
                <w:rFonts w:asciiTheme="minorHAnsi" w:hAnsiTheme="minorHAnsi"/>
                <w:sz w:val="22"/>
                <w:szCs w:val="22"/>
              </w:rPr>
              <w:t>Water Redress Scheme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WINEP</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rPr>
              <w:t>Water Industry National Environment Programme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WISER</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cs="Arial"/>
                <w:sz w:val="22"/>
                <w:szCs w:val="22"/>
              </w:rPr>
              <w:t>Water Industry Strategic Environmental Requirements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WMMB</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Wall Mounted Meter Boxes</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WoC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Water only Company</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WRc</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Water Research Centre</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WRFIM</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Wholesale Revenue Forecasting Incentive Mechanism (established by Ofwat)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WRMP</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Water Resources Management Plan (statutory 25 year water supply and demand planning document)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WRSE</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Water Resources in the South East</w:t>
            </w:r>
          </w:p>
        </w:tc>
      </w:tr>
      <w:tr w:rsidR="00A5454E" w:rsidRPr="00BA20B3" w:rsidTr="00CF2560">
        <w:tc>
          <w:tcPr>
            <w:tcW w:w="1555"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WTWs</w:t>
            </w:r>
          </w:p>
        </w:tc>
        <w:tc>
          <w:tcPr>
            <w:tcW w:w="7461" w:type="dxa"/>
          </w:tcPr>
          <w:p w:rsidR="00A5454E" w:rsidRPr="00BA20B3" w:rsidRDefault="00A5454E" w:rsidP="00A5454E">
            <w:pPr>
              <w:tabs>
                <w:tab w:val="clear" w:pos="851"/>
              </w:tabs>
              <w:spacing w:after="0"/>
              <w:ind w:left="0"/>
              <w:jc w:val="left"/>
              <w:rPr>
                <w:rFonts w:asciiTheme="minorHAnsi" w:hAnsiTheme="minorHAnsi"/>
                <w:sz w:val="22"/>
                <w:szCs w:val="22"/>
              </w:rPr>
            </w:pPr>
            <w:r w:rsidRPr="00BA20B3">
              <w:rPr>
                <w:rFonts w:asciiTheme="minorHAnsi" w:hAnsiTheme="minorHAnsi"/>
                <w:sz w:val="22"/>
                <w:szCs w:val="22"/>
              </w:rPr>
              <w:t>Water treatment works</w:t>
            </w:r>
          </w:p>
        </w:tc>
      </w:tr>
    </w:tbl>
    <w:p w:rsidR="00BA20B3" w:rsidRDefault="00BA20B3" w:rsidP="00BA20B3"/>
    <w:sectPr w:rsidR="00BA20B3" w:rsidSect="00BA20B3">
      <w:pgSz w:w="11906" w:h="16838"/>
      <w:pgMar w:top="1440" w:right="1134" w:bottom="1440" w:left="1134" w:header="709" w:footer="709"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911" w:rsidRDefault="00E56911">
      <w:r>
        <w:separator/>
      </w:r>
    </w:p>
  </w:endnote>
  <w:endnote w:type="continuationSeparator" w:id="0">
    <w:p w:rsidR="00E56911" w:rsidRDefault="00E56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9D6" w:rsidRDefault="000D79D6" w:rsidP="00427C3F">
    <w:pPr>
      <w:pStyle w:val="Footer"/>
      <w:pBdr>
        <w:top w:val="none" w:sz="0" w:space="0" w:color="auto"/>
      </w:pBdr>
    </w:pPr>
    <w:r>
      <w:tab/>
    </w:r>
    <w:r>
      <w:tab/>
      <w:t>September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9D6" w:rsidRDefault="000D79D6" w:rsidP="00427C3F">
    <w:pPr>
      <w:pStyle w:val="Footer"/>
      <w:pBdr>
        <w:top w:val="none" w:sz="0" w:space="0" w:color="auto"/>
      </w:pBdr>
      <w:tabs>
        <w:tab w:val="clear" w:pos="8306"/>
        <w:tab w:val="right" w:pos="9638"/>
      </w:tabs>
    </w:pPr>
    <w:r>
      <w:tab/>
    </w:r>
    <w:r w:rsidRPr="001E5B89">
      <w:fldChar w:fldCharType="begin"/>
    </w:r>
    <w:r w:rsidRPr="001E5B89">
      <w:instrText xml:space="preserve"> PAGE </w:instrText>
    </w:r>
    <w:r w:rsidRPr="001E5B89">
      <w:fldChar w:fldCharType="separate"/>
    </w:r>
    <w:r w:rsidR="00B459E4">
      <w:rPr>
        <w:noProof/>
      </w:rPr>
      <w:t>1</w:t>
    </w:r>
    <w:r w:rsidRPr="001E5B89">
      <w:fldChar w:fldCharType="end"/>
    </w:r>
    <w:r>
      <w:tab/>
      <w:t>September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911" w:rsidRDefault="00E56911">
      <w:r>
        <w:separator/>
      </w:r>
    </w:p>
  </w:footnote>
  <w:footnote w:type="continuationSeparator" w:id="0">
    <w:p w:rsidR="00E56911" w:rsidRDefault="00E56911">
      <w:r>
        <w:continuationSeparator/>
      </w:r>
    </w:p>
  </w:footnote>
  <w:footnote w:id="1">
    <w:p w:rsidR="000D79D6" w:rsidRDefault="000D79D6" w:rsidP="00955576">
      <w:pPr>
        <w:pStyle w:val="FootnoteText"/>
      </w:pPr>
      <w:r>
        <w:rPr>
          <w:rStyle w:val="FootnoteReference"/>
        </w:rPr>
        <w:footnoteRef/>
      </w:r>
      <w:r>
        <w:t xml:space="preserve"> Ofwat (2017) Delivering Water 2020: our final methodology for the 2019 price review Appendix 5: Water resources control.</w:t>
      </w:r>
    </w:p>
  </w:footnote>
  <w:footnote w:id="2">
    <w:p w:rsidR="000D79D6" w:rsidRPr="001E09F0" w:rsidRDefault="000D79D6" w:rsidP="000F2153">
      <w:pPr>
        <w:pStyle w:val="FootnoteText"/>
        <w:jc w:val="both"/>
        <w:rPr>
          <w:rFonts w:ascii="Arial" w:hAnsi="Arial" w:cs="Arial"/>
          <w:sz w:val="16"/>
          <w:szCs w:val="16"/>
        </w:rPr>
      </w:pPr>
      <w:r w:rsidRPr="001E09F0">
        <w:rPr>
          <w:rStyle w:val="FootnoteReference"/>
          <w:rFonts w:ascii="Arial" w:hAnsi="Arial" w:cs="Arial"/>
          <w:sz w:val="16"/>
          <w:szCs w:val="16"/>
        </w:rPr>
        <w:footnoteRef/>
      </w:r>
      <w:r w:rsidRPr="001E09F0">
        <w:rPr>
          <w:rFonts w:ascii="Arial" w:hAnsi="Arial" w:cs="Arial"/>
          <w:sz w:val="16"/>
          <w:szCs w:val="16"/>
        </w:rPr>
        <w:t xml:space="preserve"> Given the consistency of Portsmouth Waters ranking across models, using the results from the more disaggregated models does not affect NERA’s conclusions on the overall net benefit of Portsmouth Water as an independent comparator.</w:t>
      </w:r>
    </w:p>
  </w:footnote>
  <w:footnote w:id="3">
    <w:p w:rsidR="000D79D6" w:rsidRDefault="000D79D6">
      <w:pPr>
        <w:pStyle w:val="FootnoteText"/>
      </w:pPr>
      <w:r w:rsidRPr="001E09F0">
        <w:rPr>
          <w:rStyle w:val="FootnoteReference"/>
          <w:rFonts w:ascii="Arial" w:hAnsi="Arial" w:cs="Arial"/>
          <w:sz w:val="16"/>
          <w:szCs w:val="16"/>
        </w:rPr>
        <w:footnoteRef/>
      </w:r>
      <w:r w:rsidRPr="001E09F0">
        <w:rPr>
          <w:rFonts w:ascii="Arial" w:hAnsi="Arial" w:cs="Arial"/>
          <w:sz w:val="16"/>
          <w:szCs w:val="16"/>
        </w:rPr>
        <w:t xml:space="preserve"> See Tab</w:t>
      </w:r>
      <w:r>
        <w:rPr>
          <w:rFonts w:ascii="Arial" w:hAnsi="Arial" w:cs="Arial"/>
          <w:sz w:val="16"/>
          <w:szCs w:val="16"/>
        </w:rPr>
        <w:t>l</w:t>
      </w:r>
      <w:r w:rsidRPr="001E09F0">
        <w:rPr>
          <w:rFonts w:ascii="Arial" w:hAnsi="Arial" w:cs="Arial"/>
          <w:sz w:val="16"/>
          <w:szCs w:val="16"/>
        </w:rPr>
        <w:t>e 3.4 of NERA’s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9D6" w:rsidRDefault="00E56911" w:rsidP="00427C3F">
    <w:pPr>
      <w:pStyle w:val="Header"/>
      <w:tabs>
        <w:tab w:val="clear" w:pos="8306"/>
        <w:tab w:val="right" w:pos="9638"/>
      </w:tabs>
    </w:pPr>
    <w:sdt>
      <w:sdtPr>
        <w:alias w:val="Title"/>
        <w:tag w:val=""/>
        <w:id w:val="-1696147002"/>
        <w:dataBinding w:prefixMappings="xmlns:ns0='http://purl.org/dc/elements/1.1/' xmlns:ns1='http://schemas.openxmlformats.org/package/2006/metadata/core-properties' " w:xpath="/ns1:coreProperties[1]/ns0:title[1]" w:storeItemID="{6C3C8BC8-F283-45AE-878A-BAB7291924A1}"/>
        <w:text/>
      </w:sdtPr>
      <w:sdtEndPr/>
      <w:sdtContent>
        <w:r w:rsidR="000D79D6">
          <w:t>PR19 Business Plan</w:t>
        </w:r>
      </w:sdtContent>
    </w:sdt>
    <w:r w:rsidR="000D79D6">
      <w:tab/>
    </w:r>
    <w:r w:rsidR="000D79D6">
      <w:tab/>
      <w:t>Portsmouth Water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5FFC"/>
    <w:multiLevelType w:val="hybridMultilevel"/>
    <w:tmpl w:val="03B80878"/>
    <w:lvl w:ilvl="0" w:tplc="57F6D39E">
      <w:start w:val="1"/>
      <w:numFmt w:val="decimal"/>
      <w:lvlText w:val="%1"/>
      <w:lvlJc w:val="left"/>
      <w:pPr>
        <w:ind w:left="1211" w:hanging="360"/>
      </w:pPr>
      <w:rPr>
        <w:rFonts w:hint="default"/>
        <w:sz w:val="2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28F6279"/>
    <w:multiLevelType w:val="hybridMultilevel"/>
    <w:tmpl w:val="253A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35D90"/>
    <w:multiLevelType w:val="hybridMultilevel"/>
    <w:tmpl w:val="7432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E5D2D"/>
    <w:multiLevelType w:val="hybridMultilevel"/>
    <w:tmpl w:val="BE76558C"/>
    <w:lvl w:ilvl="0" w:tplc="2E34CFE0">
      <w:start w:val="1"/>
      <w:numFmt w:val="bullet"/>
      <w:pStyle w:val="Bullet-1"/>
      <w:lvlText w:val=""/>
      <w:lvlJc w:val="left"/>
      <w:pPr>
        <w:ind w:left="720" w:hanging="360"/>
      </w:pPr>
      <w:rPr>
        <w:rFonts w:ascii="Symbol" w:hAnsi="Symbol" w:hint="default"/>
      </w:rPr>
    </w:lvl>
    <w:lvl w:ilvl="1" w:tplc="FBF2FE48">
      <w:start w:val="1"/>
      <w:numFmt w:val="bullet"/>
      <w:pStyle w:val="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929A4"/>
    <w:multiLevelType w:val="hybridMultilevel"/>
    <w:tmpl w:val="6094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71C65"/>
    <w:multiLevelType w:val="hybridMultilevel"/>
    <w:tmpl w:val="E63074F4"/>
    <w:lvl w:ilvl="0" w:tplc="0540BEB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51D4085"/>
    <w:multiLevelType w:val="multilevel"/>
    <w:tmpl w:val="A70CF2EC"/>
    <w:lvl w:ilvl="0">
      <w:start w:val="1"/>
      <w:numFmt w:val="bullet"/>
      <w:pStyle w:val="bullet2"/>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68771B3"/>
    <w:multiLevelType w:val="hybridMultilevel"/>
    <w:tmpl w:val="7E10BF5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D80ED7"/>
    <w:multiLevelType w:val="multilevel"/>
    <w:tmpl w:val="43B49E88"/>
    <w:styleLink w:val="MultiLevel"/>
    <w:lvl w:ilvl="0">
      <w:start w:val="1"/>
      <w:numFmt w:val="bullet"/>
      <w:lvlText w:val=""/>
      <w:lvlJc w:val="left"/>
      <w:pPr>
        <w:tabs>
          <w:tab w:val="num" w:pos="1531"/>
        </w:tabs>
        <w:ind w:left="1531" w:hanging="397"/>
      </w:pPr>
      <w:rPr>
        <w:rFonts w:ascii="Symbol" w:hAnsi="Symbol" w:hint="default"/>
        <w:color w:val="auto"/>
      </w:rPr>
    </w:lvl>
    <w:lvl w:ilvl="1">
      <w:start w:val="1"/>
      <w:numFmt w:val="bullet"/>
      <w:lvlText w:val=""/>
      <w:lvlJc w:val="left"/>
      <w:pPr>
        <w:tabs>
          <w:tab w:val="num" w:pos="720"/>
        </w:tabs>
        <w:ind w:left="1494" w:hanging="360"/>
      </w:pPr>
      <w:rPr>
        <w:rFonts w:ascii="Symbol" w:hAnsi="Symbol" w:hint="default"/>
        <w:color w:val="auto"/>
      </w:rPr>
    </w:lvl>
    <w:lvl w:ilvl="2">
      <w:start w:val="1"/>
      <w:numFmt w:val="bullet"/>
      <w:lvlText w:val=""/>
      <w:lvlJc w:val="left"/>
      <w:pPr>
        <w:tabs>
          <w:tab w:val="num" w:pos="1080"/>
        </w:tabs>
        <w:ind w:left="1494"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D8940F7"/>
    <w:multiLevelType w:val="hybridMultilevel"/>
    <w:tmpl w:val="1A6AD45C"/>
    <w:lvl w:ilvl="0" w:tplc="C1F8D050">
      <w:start w:val="1"/>
      <w:numFmt w:val="bullet"/>
      <w:pStyle w:val="Bullets2"/>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F786C6D"/>
    <w:multiLevelType w:val="hybridMultilevel"/>
    <w:tmpl w:val="DC58A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5B2C07"/>
    <w:multiLevelType w:val="hybridMultilevel"/>
    <w:tmpl w:val="7598ED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30322777"/>
    <w:multiLevelType w:val="hybridMultilevel"/>
    <w:tmpl w:val="89865D8E"/>
    <w:lvl w:ilvl="0" w:tplc="08090011">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15:restartNumberingAfterBreak="0">
    <w:nsid w:val="31B07282"/>
    <w:multiLevelType w:val="hybridMultilevel"/>
    <w:tmpl w:val="1EFCE916"/>
    <w:lvl w:ilvl="0" w:tplc="08090013">
      <w:start w:val="1"/>
      <w:numFmt w:val="upperRoman"/>
      <w:lvlText w:val="%1."/>
      <w:lvlJc w:val="righ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5B64DDF"/>
    <w:multiLevelType w:val="hybridMultilevel"/>
    <w:tmpl w:val="4E6A9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411038"/>
    <w:multiLevelType w:val="hybridMultilevel"/>
    <w:tmpl w:val="F8486906"/>
    <w:lvl w:ilvl="0" w:tplc="A6B85968">
      <w:start w:val="1"/>
      <w:numFmt w:val="lowerLetter"/>
      <w:lvlText w:val="%1."/>
      <w:lvlJc w:val="left"/>
      <w:pPr>
        <w:ind w:left="1571" w:hanging="360"/>
      </w:pPr>
      <w:rPr>
        <w:rFonts w:ascii="Arial" w:eastAsiaTheme="minorHAnsi" w:hAnsi="Arial" w:cs="Arial"/>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3D1C0B55"/>
    <w:multiLevelType w:val="hybridMultilevel"/>
    <w:tmpl w:val="525AB606"/>
    <w:lvl w:ilvl="0" w:tplc="FC0C0CD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7" w15:restartNumberingAfterBreak="0">
    <w:nsid w:val="3D46623F"/>
    <w:multiLevelType w:val="hybridMultilevel"/>
    <w:tmpl w:val="AD54FD9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46823C0D"/>
    <w:multiLevelType w:val="multilevel"/>
    <w:tmpl w:val="AD00784C"/>
    <w:styleLink w:val="Numbers"/>
    <w:lvl w:ilvl="0">
      <w:start w:val="1"/>
      <w:numFmt w:val="lowerRoman"/>
      <w:pStyle w:val="Numbers"/>
      <w:lvlText w:val="%1"/>
      <w:lvlJc w:val="left"/>
      <w:pPr>
        <w:tabs>
          <w:tab w:val="num" w:pos="357"/>
        </w:tabs>
        <w:ind w:left="1491" w:hanging="357"/>
      </w:pPr>
      <w:rPr>
        <w:rFonts w:hint="default"/>
        <w:color w:val="auto"/>
        <w:sz w:val="20"/>
      </w:rPr>
    </w:lvl>
    <w:lvl w:ilvl="1">
      <w:start w:val="1"/>
      <w:numFmt w:val="lowerRoman"/>
      <w:lvlText w:val="%2"/>
      <w:lvlJc w:val="left"/>
      <w:pPr>
        <w:tabs>
          <w:tab w:val="num" w:pos="357"/>
        </w:tabs>
        <w:ind w:left="1491" w:hanging="357"/>
      </w:pPr>
      <w:rPr>
        <w:rFonts w:hint="default"/>
        <w:color w:val="auto"/>
      </w:rPr>
    </w:lvl>
    <w:lvl w:ilvl="2">
      <w:start w:val="1"/>
      <w:numFmt w:val="lowerRoman"/>
      <w:lvlText w:val="%3)"/>
      <w:lvlJc w:val="lef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6BE2305"/>
    <w:multiLevelType w:val="hybridMultilevel"/>
    <w:tmpl w:val="D83AD58E"/>
    <w:lvl w:ilvl="0" w:tplc="90440AF0">
      <w:numFmt w:val="bullet"/>
      <w:lvlText w:val="-"/>
      <w:lvlJc w:val="left"/>
      <w:pPr>
        <w:ind w:left="1211" w:hanging="360"/>
      </w:pPr>
      <w:rPr>
        <w:rFonts w:ascii="Arial" w:eastAsia="Times New Roman" w:hAnsi="Arial" w:cs="Aria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20" w15:restartNumberingAfterBreak="0">
    <w:nsid w:val="49D95647"/>
    <w:multiLevelType w:val="hybridMultilevel"/>
    <w:tmpl w:val="2A3C9610"/>
    <w:lvl w:ilvl="0" w:tplc="AAE6B494">
      <w:start w:val="1"/>
      <w:numFmt w:val="decimal"/>
      <w:lvlText w:val="%1."/>
      <w:lvlJc w:val="left"/>
      <w:pPr>
        <w:ind w:left="1211" w:hanging="360"/>
      </w:p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start w:val="1"/>
      <w:numFmt w:val="lowerLetter"/>
      <w:lvlText w:val="%5."/>
      <w:lvlJc w:val="left"/>
      <w:pPr>
        <w:ind w:left="4091" w:hanging="360"/>
      </w:pPr>
    </w:lvl>
    <w:lvl w:ilvl="5" w:tplc="0809001B">
      <w:start w:val="1"/>
      <w:numFmt w:val="lowerRoman"/>
      <w:lvlText w:val="%6."/>
      <w:lvlJc w:val="right"/>
      <w:pPr>
        <w:ind w:left="4811" w:hanging="180"/>
      </w:pPr>
    </w:lvl>
    <w:lvl w:ilvl="6" w:tplc="0809000F">
      <w:start w:val="1"/>
      <w:numFmt w:val="decimal"/>
      <w:lvlText w:val="%7."/>
      <w:lvlJc w:val="left"/>
      <w:pPr>
        <w:ind w:left="5531" w:hanging="360"/>
      </w:pPr>
    </w:lvl>
    <w:lvl w:ilvl="7" w:tplc="08090019">
      <w:start w:val="1"/>
      <w:numFmt w:val="lowerLetter"/>
      <w:lvlText w:val="%8."/>
      <w:lvlJc w:val="left"/>
      <w:pPr>
        <w:ind w:left="6251" w:hanging="360"/>
      </w:pPr>
    </w:lvl>
    <w:lvl w:ilvl="8" w:tplc="0809001B">
      <w:start w:val="1"/>
      <w:numFmt w:val="lowerRoman"/>
      <w:lvlText w:val="%9."/>
      <w:lvlJc w:val="right"/>
      <w:pPr>
        <w:ind w:left="6971" w:hanging="180"/>
      </w:pPr>
    </w:lvl>
  </w:abstractNum>
  <w:abstractNum w:abstractNumId="21" w15:restartNumberingAfterBreak="0">
    <w:nsid w:val="55445727"/>
    <w:multiLevelType w:val="hybridMultilevel"/>
    <w:tmpl w:val="88AE22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5737475"/>
    <w:multiLevelType w:val="hybridMultilevel"/>
    <w:tmpl w:val="1D2EF008"/>
    <w:lvl w:ilvl="0" w:tplc="08090011">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595B473D"/>
    <w:multiLevelType w:val="hybridMultilevel"/>
    <w:tmpl w:val="21DC4D24"/>
    <w:lvl w:ilvl="0" w:tplc="6D8C19E0">
      <w:start w:val="1"/>
      <w:numFmt w:val="bullet"/>
      <w:pStyle w:val="Bullets"/>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20466F9C">
      <w:numFmt w:val="bullet"/>
      <w:lvlText w:val="•"/>
      <w:lvlJc w:val="left"/>
      <w:pPr>
        <w:ind w:left="3519" w:hanging="585"/>
      </w:pPr>
      <w:rPr>
        <w:rFonts w:ascii="Arial" w:eastAsia="Times New Roman" w:hAnsi="Arial" w:cs="Arial"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5A663D55"/>
    <w:multiLevelType w:val="hybridMultilevel"/>
    <w:tmpl w:val="35EE646A"/>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 w15:restartNumberingAfterBreak="0">
    <w:nsid w:val="5BB86669"/>
    <w:multiLevelType w:val="hybridMultilevel"/>
    <w:tmpl w:val="3D4E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C31BB5"/>
    <w:multiLevelType w:val="multilevel"/>
    <w:tmpl w:val="9BA6C1E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389"/>
        </w:tabs>
        <w:ind w:left="6389" w:hanging="576"/>
      </w:pPr>
      <w:rPr>
        <w:rFonts w:hint="default"/>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620F2406"/>
    <w:multiLevelType w:val="hybridMultilevel"/>
    <w:tmpl w:val="EFF07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80444D"/>
    <w:multiLevelType w:val="hybridMultilevel"/>
    <w:tmpl w:val="F7C8619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FC62D71"/>
    <w:multiLevelType w:val="hybridMultilevel"/>
    <w:tmpl w:val="BBB6A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6"/>
  </w:num>
  <w:num w:numId="3">
    <w:abstractNumId w:val="18"/>
  </w:num>
  <w:num w:numId="4">
    <w:abstractNumId w:val="23"/>
  </w:num>
  <w:num w:numId="5">
    <w:abstractNumId w:val="9"/>
  </w:num>
  <w:num w:numId="6">
    <w:abstractNumId w:val="3"/>
  </w:num>
  <w:num w:numId="7">
    <w:abstractNumId w:val="14"/>
  </w:num>
  <w:num w:numId="8">
    <w:abstractNumId w:val="29"/>
  </w:num>
  <w:num w:numId="9">
    <w:abstractNumId w:val="0"/>
  </w:num>
  <w:num w:numId="10">
    <w:abstractNumId w:val="11"/>
  </w:num>
  <w:num w:numId="11">
    <w:abstractNumId w:val="2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2"/>
  </w:num>
  <w:num w:numId="17">
    <w:abstractNumId w:val="21"/>
  </w:num>
  <w:num w:numId="18">
    <w:abstractNumId w:val="24"/>
  </w:num>
  <w:num w:numId="19">
    <w:abstractNumId w:val="16"/>
  </w:num>
  <w:num w:numId="20">
    <w:abstractNumId w:val="7"/>
  </w:num>
  <w:num w:numId="21">
    <w:abstractNumId w:val="4"/>
  </w:num>
  <w:num w:numId="22">
    <w:abstractNumId w:val="2"/>
  </w:num>
  <w:num w:numId="23">
    <w:abstractNumId w:val="25"/>
  </w:num>
  <w:num w:numId="24">
    <w:abstractNumId w:val="17"/>
  </w:num>
  <w:num w:numId="25">
    <w:abstractNumId w:val="6"/>
  </w:num>
  <w:num w:numId="26">
    <w:abstractNumId w:val="27"/>
  </w:num>
  <w:num w:numId="27">
    <w:abstractNumId w:val="5"/>
  </w:num>
  <w:num w:numId="28">
    <w:abstractNumId w:val="15"/>
  </w:num>
  <w:num w:numId="29">
    <w:abstractNumId w:val="13"/>
  </w:num>
  <w:num w:numId="30">
    <w:abstractNumId w:val="1"/>
  </w:num>
  <w:num w:numId="31">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B75"/>
    <w:rsid w:val="00000BCB"/>
    <w:rsid w:val="000015E8"/>
    <w:rsid w:val="00001BA8"/>
    <w:rsid w:val="00002B65"/>
    <w:rsid w:val="000030F6"/>
    <w:rsid w:val="000079A7"/>
    <w:rsid w:val="00011015"/>
    <w:rsid w:val="000115B7"/>
    <w:rsid w:val="00011B79"/>
    <w:rsid w:val="00016358"/>
    <w:rsid w:val="0001721D"/>
    <w:rsid w:val="00017B81"/>
    <w:rsid w:val="00017BAD"/>
    <w:rsid w:val="000320C6"/>
    <w:rsid w:val="00033B4D"/>
    <w:rsid w:val="000344BC"/>
    <w:rsid w:val="00034C90"/>
    <w:rsid w:val="000350C5"/>
    <w:rsid w:val="00035624"/>
    <w:rsid w:val="00040390"/>
    <w:rsid w:val="000415EA"/>
    <w:rsid w:val="00042648"/>
    <w:rsid w:val="0004609A"/>
    <w:rsid w:val="0005234B"/>
    <w:rsid w:val="00052E98"/>
    <w:rsid w:val="00053C80"/>
    <w:rsid w:val="0005412A"/>
    <w:rsid w:val="0005428A"/>
    <w:rsid w:val="0005519B"/>
    <w:rsid w:val="000558DE"/>
    <w:rsid w:val="0005595C"/>
    <w:rsid w:val="00055D88"/>
    <w:rsid w:val="00055FFF"/>
    <w:rsid w:val="0005768A"/>
    <w:rsid w:val="00057EF4"/>
    <w:rsid w:val="0006212F"/>
    <w:rsid w:val="000640F8"/>
    <w:rsid w:val="000644CF"/>
    <w:rsid w:val="00065612"/>
    <w:rsid w:val="0006675D"/>
    <w:rsid w:val="00066A58"/>
    <w:rsid w:val="00066DD5"/>
    <w:rsid w:val="00067353"/>
    <w:rsid w:val="0006738C"/>
    <w:rsid w:val="00067D3B"/>
    <w:rsid w:val="000707F8"/>
    <w:rsid w:val="00072F91"/>
    <w:rsid w:val="00075365"/>
    <w:rsid w:val="000754DA"/>
    <w:rsid w:val="000764DD"/>
    <w:rsid w:val="0008192E"/>
    <w:rsid w:val="0008237D"/>
    <w:rsid w:val="000844DD"/>
    <w:rsid w:val="00085BCD"/>
    <w:rsid w:val="00087AE3"/>
    <w:rsid w:val="00090BC0"/>
    <w:rsid w:val="0009157C"/>
    <w:rsid w:val="00093412"/>
    <w:rsid w:val="00094A24"/>
    <w:rsid w:val="000A0CF5"/>
    <w:rsid w:val="000A7A9A"/>
    <w:rsid w:val="000B485A"/>
    <w:rsid w:val="000B525A"/>
    <w:rsid w:val="000B676C"/>
    <w:rsid w:val="000B7FF1"/>
    <w:rsid w:val="000C1E50"/>
    <w:rsid w:val="000C273E"/>
    <w:rsid w:val="000C3499"/>
    <w:rsid w:val="000C468A"/>
    <w:rsid w:val="000C6953"/>
    <w:rsid w:val="000D0839"/>
    <w:rsid w:val="000D79D6"/>
    <w:rsid w:val="000E0035"/>
    <w:rsid w:val="000E00EE"/>
    <w:rsid w:val="000E138C"/>
    <w:rsid w:val="000E1EE1"/>
    <w:rsid w:val="000E3F18"/>
    <w:rsid w:val="000E56A1"/>
    <w:rsid w:val="000F2153"/>
    <w:rsid w:val="000F2EC8"/>
    <w:rsid w:val="00100D43"/>
    <w:rsid w:val="00103CEB"/>
    <w:rsid w:val="00104BA3"/>
    <w:rsid w:val="00104FC7"/>
    <w:rsid w:val="00105E95"/>
    <w:rsid w:val="001103D7"/>
    <w:rsid w:val="00110F38"/>
    <w:rsid w:val="00113527"/>
    <w:rsid w:val="00115391"/>
    <w:rsid w:val="0011591B"/>
    <w:rsid w:val="00121AEE"/>
    <w:rsid w:val="001230A4"/>
    <w:rsid w:val="00123182"/>
    <w:rsid w:val="001231C6"/>
    <w:rsid w:val="00124100"/>
    <w:rsid w:val="00130EC0"/>
    <w:rsid w:val="00131E7B"/>
    <w:rsid w:val="001402BD"/>
    <w:rsid w:val="00142FB2"/>
    <w:rsid w:val="0014333B"/>
    <w:rsid w:val="00146126"/>
    <w:rsid w:val="00151118"/>
    <w:rsid w:val="00151C79"/>
    <w:rsid w:val="001523F8"/>
    <w:rsid w:val="00152CFB"/>
    <w:rsid w:val="00152E5E"/>
    <w:rsid w:val="001564E0"/>
    <w:rsid w:val="001577FB"/>
    <w:rsid w:val="0016081C"/>
    <w:rsid w:val="00160E87"/>
    <w:rsid w:val="00163EB8"/>
    <w:rsid w:val="00164316"/>
    <w:rsid w:val="00172A0A"/>
    <w:rsid w:val="00173661"/>
    <w:rsid w:val="00175AAB"/>
    <w:rsid w:val="001772BB"/>
    <w:rsid w:val="00177760"/>
    <w:rsid w:val="0018278B"/>
    <w:rsid w:val="00183241"/>
    <w:rsid w:val="001837DF"/>
    <w:rsid w:val="00183801"/>
    <w:rsid w:val="00185CAD"/>
    <w:rsid w:val="001860A3"/>
    <w:rsid w:val="0018633E"/>
    <w:rsid w:val="001868AC"/>
    <w:rsid w:val="00187317"/>
    <w:rsid w:val="001902A6"/>
    <w:rsid w:val="0019042F"/>
    <w:rsid w:val="00191E72"/>
    <w:rsid w:val="00192770"/>
    <w:rsid w:val="001928D5"/>
    <w:rsid w:val="001932BC"/>
    <w:rsid w:val="00193EA2"/>
    <w:rsid w:val="00194209"/>
    <w:rsid w:val="001A2F44"/>
    <w:rsid w:val="001A47C3"/>
    <w:rsid w:val="001A4ABE"/>
    <w:rsid w:val="001B3F3B"/>
    <w:rsid w:val="001B59EB"/>
    <w:rsid w:val="001C0F1E"/>
    <w:rsid w:val="001C50CC"/>
    <w:rsid w:val="001C6D6C"/>
    <w:rsid w:val="001C7246"/>
    <w:rsid w:val="001D08E4"/>
    <w:rsid w:val="001D2E74"/>
    <w:rsid w:val="001D2ED9"/>
    <w:rsid w:val="001D6930"/>
    <w:rsid w:val="001D6A67"/>
    <w:rsid w:val="001D6E1C"/>
    <w:rsid w:val="001E09F0"/>
    <w:rsid w:val="001E0DCD"/>
    <w:rsid w:val="001E0F65"/>
    <w:rsid w:val="001E16C5"/>
    <w:rsid w:val="001E5B89"/>
    <w:rsid w:val="001E670E"/>
    <w:rsid w:val="001E6710"/>
    <w:rsid w:val="001E6DDD"/>
    <w:rsid w:val="001E6EE9"/>
    <w:rsid w:val="001F15E8"/>
    <w:rsid w:val="001F3FA5"/>
    <w:rsid w:val="001F3FC3"/>
    <w:rsid w:val="001F7FB4"/>
    <w:rsid w:val="00201302"/>
    <w:rsid w:val="00203ADB"/>
    <w:rsid w:val="0020756E"/>
    <w:rsid w:val="00210CD1"/>
    <w:rsid w:val="00212458"/>
    <w:rsid w:val="00212F4A"/>
    <w:rsid w:val="00214014"/>
    <w:rsid w:val="002145BB"/>
    <w:rsid w:val="0021671A"/>
    <w:rsid w:val="00221FBE"/>
    <w:rsid w:val="0022288B"/>
    <w:rsid w:val="00224E70"/>
    <w:rsid w:val="00231EB1"/>
    <w:rsid w:val="00233DCF"/>
    <w:rsid w:val="00234FF7"/>
    <w:rsid w:val="00236AA5"/>
    <w:rsid w:val="00240A2B"/>
    <w:rsid w:val="00241146"/>
    <w:rsid w:val="0024233B"/>
    <w:rsid w:val="002469EC"/>
    <w:rsid w:val="00246AD9"/>
    <w:rsid w:val="0025314F"/>
    <w:rsid w:val="00253D24"/>
    <w:rsid w:val="002548B5"/>
    <w:rsid w:val="00257A56"/>
    <w:rsid w:val="00265353"/>
    <w:rsid w:val="00267729"/>
    <w:rsid w:val="00271BB7"/>
    <w:rsid w:val="00271EFC"/>
    <w:rsid w:val="002746D3"/>
    <w:rsid w:val="00275047"/>
    <w:rsid w:val="0027514B"/>
    <w:rsid w:val="00281962"/>
    <w:rsid w:val="00281B49"/>
    <w:rsid w:val="002848C1"/>
    <w:rsid w:val="00285B58"/>
    <w:rsid w:val="00285C74"/>
    <w:rsid w:val="0029130D"/>
    <w:rsid w:val="00292533"/>
    <w:rsid w:val="0029294B"/>
    <w:rsid w:val="00292A49"/>
    <w:rsid w:val="002936A0"/>
    <w:rsid w:val="00294E23"/>
    <w:rsid w:val="00294E3E"/>
    <w:rsid w:val="0029625D"/>
    <w:rsid w:val="002A60ED"/>
    <w:rsid w:val="002A7E9C"/>
    <w:rsid w:val="002B0366"/>
    <w:rsid w:val="002B538D"/>
    <w:rsid w:val="002B6DEF"/>
    <w:rsid w:val="002C1A56"/>
    <w:rsid w:val="002C2D0A"/>
    <w:rsid w:val="002C31FA"/>
    <w:rsid w:val="002D2C55"/>
    <w:rsid w:val="002D5BCB"/>
    <w:rsid w:val="002D6B77"/>
    <w:rsid w:val="002D7CEC"/>
    <w:rsid w:val="002E2067"/>
    <w:rsid w:val="002E2F7A"/>
    <w:rsid w:val="002E3915"/>
    <w:rsid w:val="002E7077"/>
    <w:rsid w:val="002F6124"/>
    <w:rsid w:val="00304E1F"/>
    <w:rsid w:val="00305136"/>
    <w:rsid w:val="0030574F"/>
    <w:rsid w:val="00305B58"/>
    <w:rsid w:val="00306227"/>
    <w:rsid w:val="00310F69"/>
    <w:rsid w:val="00312A77"/>
    <w:rsid w:val="00313D46"/>
    <w:rsid w:val="003154BF"/>
    <w:rsid w:val="00316654"/>
    <w:rsid w:val="00320F9D"/>
    <w:rsid w:val="00324952"/>
    <w:rsid w:val="003258A6"/>
    <w:rsid w:val="003259BE"/>
    <w:rsid w:val="0033165F"/>
    <w:rsid w:val="00334DB0"/>
    <w:rsid w:val="00335842"/>
    <w:rsid w:val="00335CE0"/>
    <w:rsid w:val="0033629F"/>
    <w:rsid w:val="00336B7B"/>
    <w:rsid w:val="00336BA7"/>
    <w:rsid w:val="00343182"/>
    <w:rsid w:val="003441ED"/>
    <w:rsid w:val="00344FCB"/>
    <w:rsid w:val="0034678D"/>
    <w:rsid w:val="003477F1"/>
    <w:rsid w:val="00350652"/>
    <w:rsid w:val="0035083C"/>
    <w:rsid w:val="00351447"/>
    <w:rsid w:val="003532AC"/>
    <w:rsid w:val="003561B2"/>
    <w:rsid w:val="00356926"/>
    <w:rsid w:val="00356FE7"/>
    <w:rsid w:val="0036557D"/>
    <w:rsid w:val="00365802"/>
    <w:rsid w:val="003702ED"/>
    <w:rsid w:val="00371D4C"/>
    <w:rsid w:val="00373676"/>
    <w:rsid w:val="00374B64"/>
    <w:rsid w:val="0037668E"/>
    <w:rsid w:val="003825CE"/>
    <w:rsid w:val="0038262D"/>
    <w:rsid w:val="0038789B"/>
    <w:rsid w:val="00387E54"/>
    <w:rsid w:val="00391684"/>
    <w:rsid w:val="00392B21"/>
    <w:rsid w:val="00393C0D"/>
    <w:rsid w:val="003941AC"/>
    <w:rsid w:val="00397005"/>
    <w:rsid w:val="003A07F5"/>
    <w:rsid w:val="003A11C1"/>
    <w:rsid w:val="003A3285"/>
    <w:rsid w:val="003A32CA"/>
    <w:rsid w:val="003A65D3"/>
    <w:rsid w:val="003A6F6A"/>
    <w:rsid w:val="003B02AB"/>
    <w:rsid w:val="003B0E72"/>
    <w:rsid w:val="003B3646"/>
    <w:rsid w:val="003C05B4"/>
    <w:rsid w:val="003C2A9B"/>
    <w:rsid w:val="003C41DC"/>
    <w:rsid w:val="003C44A9"/>
    <w:rsid w:val="003C6B7F"/>
    <w:rsid w:val="003C6CA3"/>
    <w:rsid w:val="003D0834"/>
    <w:rsid w:val="003D0BD7"/>
    <w:rsid w:val="003D24D0"/>
    <w:rsid w:val="003D2CCF"/>
    <w:rsid w:val="003D37A0"/>
    <w:rsid w:val="003D4358"/>
    <w:rsid w:val="003D4A7E"/>
    <w:rsid w:val="003D5AA1"/>
    <w:rsid w:val="003D6AD7"/>
    <w:rsid w:val="003D6C26"/>
    <w:rsid w:val="003E242E"/>
    <w:rsid w:val="003E30E3"/>
    <w:rsid w:val="003E4256"/>
    <w:rsid w:val="003E7297"/>
    <w:rsid w:val="003E7A75"/>
    <w:rsid w:val="003F04DA"/>
    <w:rsid w:val="003F1850"/>
    <w:rsid w:val="003F1BDA"/>
    <w:rsid w:val="003F238D"/>
    <w:rsid w:val="003F2A9D"/>
    <w:rsid w:val="003F36CE"/>
    <w:rsid w:val="0040182A"/>
    <w:rsid w:val="004030B1"/>
    <w:rsid w:val="004033E3"/>
    <w:rsid w:val="00407B3A"/>
    <w:rsid w:val="00407E05"/>
    <w:rsid w:val="004132EC"/>
    <w:rsid w:val="00413DB8"/>
    <w:rsid w:val="004157FD"/>
    <w:rsid w:val="00420BCF"/>
    <w:rsid w:val="00423A14"/>
    <w:rsid w:val="00423B36"/>
    <w:rsid w:val="0042456D"/>
    <w:rsid w:val="004260AB"/>
    <w:rsid w:val="004267B5"/>
    <w:rsid w:val="004275DC"/>
    <w:rsid w:val="00427C3F"/>
    <w:rsid w:val="00430DFC"/>
    <w:rsid w:val="00431326"/>
    <w:rsid w:val="004315FB"/>
    <w:rsid w:val="00431DD8"/>
    <w:rsid w:val="00432633"/>
    <w:rsid w:val="00440D22"/>
    <w:rsid w:val="004423C7"/>
    <w:rsid w:val="004445D5"/>
    <w:rsid w:val="004456AC"/>
    <w:rsid w:val="00450260"/>
    <w:rsid w:val="00451035"/>
    <w:rsid w:val="00451E46"/>
    <w:rsid w:val="00453F64"/>
    <w:rsid w:val="004541F0"/>
    <w:rsid w:val="00455EE7"/>
    <w:rsid w:val="00457BB5"/>
    <w:rsid w:val="004615AE"/>
    <w:rsid w:val="004621D9"/>
    <w:rsid w:val="0047349B"/>
    <w:rsid w:val="004769F9"/>
    <w:rsid w:val="00482CC5"/>
    <w:rsid w:val="00482EAF"/>
    <w:rsid w:val="00483B16"/>
    <w:rsid w:val="0048431C"/>
    <w:rsid w:val="00486865"/>
    <w:rsid w:val="00486E1A"/>
    <w:rsid w:val="00486F6F"/>
    <w:rsid w:val="00487950"/>
    <w:rsid w:val="00487EB6"/>
    <w:rsid w:val="00494243"/>
    <w:rsid w:val="004946CB"/>
    <w:rsid w:val="00495BAA"/>
    <w:rsid w:val="004977F6"/>
    <w:rsid w:val="004A19A8"/>
    <w:rsid w:val="004A1A6F"/>
    <w:rsid w:val="004A2C5C"/>
    <w:rsid w:val="004A3D05"/>
    <w:rsid w:val="004A3FE6"/>
    <w:rsid w:val="004A4F07"/>
    <w:rsid w:val="004A571D"/>
    <w:rsid w:val="004A627C"/>
    <w:rsid w:val="004A6D36"/>
    <w:rsid w:val="004A7BB9"/>
    <w:rsid w:val="004B1318"/>
    <w:rsid w:val="004B238E"/>
    <w:rsid w:val="004B363A"/>
    <w:rsid w:val="004B3D69"/>
    <w:rsid w:val="004B4AF3"/>
    <w:rsid w:val="004B539E"/>
    <w:rsid w:val="004B5FDC"/>
    <w:rsid w:val="004C0133"/>
    <w:rsid w:val="004C34D0"/>
    <w:rsid w:val="004C673E"/>
    <w:rsid w:val="004D00C8"/>
    <w:rsid w:val="004D14BB"/>
    <w:rsid w:val="004D2E27"/>
    <w:rsid w:val="004D4055"/>
    <w:rsid w:val="004D6CD3"/>
    <w:rsid w:val="004D716C"/>
    <w:rsid w:val="004E0666"/>
    <w:rsid w:val="004E163C"/>
    <w:rsid w:val="004E2B76"/>
    <w:rsid w:val="004E2E7D"/>
    <w:rsid w:val="004E3057"/>
    <w:rsid w:val="004E3B3B"/>
    <w:rsid w:val="004E5AEA"/>
    <w:rsid w:val="004F44C7"/>
    <w:rsid w:val="004F4669"/>
    <w:rsid w:val="005011BD"/>
    <w:rsid w:val="005023E9"/>
    <w:rsid w:val="00503457"/>
    <w:rsid w:val="0050430B"/>
    <w:rsid w:val="00504B6C"/>
    <w:rsid w:val="00504EB3"/>
    <w:rsid w:val="00505B02"/>
    <w:rsid w:val="005115F9"/>
    <w:rsid w:val="005131B2"/>
    <w:rsid w:val="00513D7E"/>
    <w:rsid w:val="00521760"/>
    <w:rsid w:val="00522296"/>
    <w:rsid w:val="005257DA"/>
    <w:rsid w:val="00531B8B"/>
    <w:rsid w:val="00533998"/>
    <w:rsid w:val="00541DE6"/>
    <w:rsid w:val="00541DFE"/>
    <w:rsid w:val="00544B7C"/>
    <w:rsid w:val="00545AE9"/>
    <w:rsid w:val="005463F4"/>
    <w:rsid w:val="005471C9"/>
    <w:rsid w:val="005511B5"/>
    <w:rsid w:val="005522A0"/>
    <w:rsid w:val="0055333A"/>
    <w:rsid w:val="005550C6"/>
    <w:rsid w:val="005553EF"/>
    <w:rsid w:val="00556CF7"/>
    <w:rsid w:val="00560B22"/>
    <w:rsid w:val="00560D99"/>
    <w:rsid w:val="0056400A"/>
    <w:rsid w:val="0056593C"/>
    <w:rsid w:val="005667B1"/>
    <w:rsid w:val="005672BC"/>
    <w:rsid w:val="00570CD3"/>
    <w:rsid w:val="005731E6"/>
    <w:rsid w:val="0057370F"/>
    <w:rsid w:val="005738FA"/>
    <w:rsid w:val="0058154A"/>
    <w:rsid w:val="0058181A"/>
    <w:rsid w:val="00583992"/>
    <w:rsid w:val="00584B77"/>
    <w:rsid w:val="005867C4"/>
    <w:rsid w:val="00587A59"/>
    <w:rsid w:val="0059016D"/>
    <w:rsid w:val="00590833"/>
    <w:rsid w:val="00592895"/>
    <w:rsid w:val="00592E13"/>
    <w:rsid w:val="00593864"/>
    <w:rsid w:val="005976D4"/>
    <w:rsid w:val="005A1CB0"/>
    <w:rsid w:val="005A7032"/>
    <w:rsid w:val="005A73F6"/>
    <w:rsid w:val="005A7FEF"/>
    <w:rsid w:val="005B4E27"/>
    <w:rsid w:val="005B620C"/>
    <w:rsid w:val="005C0ED1"/>
    <w:rsid w:val="005C23DF"/>
    <w:rsid w:val="005C2718"/>
    <w:rsid w:val="005C2748"/>
    <w:rsid w:val="005C4855"/>
    <w:rsid w:val="005C61B7"/>
    <w:rsid w:val="005C7EF5"/>
    <w:rsid w:val="005D2A11"/>
    <w:rsid w:val="005D4761"/>
    <w:rsid w:val="005D496B"/>
    <w:rsid w:val="005D72EF"/>
    <w:rsid w:val="005D7D8C"/>
    <w:rsid w:val="005E19AE"/>
    <w:rsid w:val="005E2A8B"/>
    <w:rsid w:val="005E4D50"/>
    <w:rsid w:val="005E5FCF"/>
    <w:rsid w:val="005E61BF"/>
    <w:rsid w:val="005F0167"/>
    <w:rsid w:val="005F05C4"/>
    <w:rsid w:val="005F2894"/>
    <w:rsid w:val="005F36E7"/>
    <w:rsid w:val="005F3A19"/>
    <w:rsid w:val="005F41B0"/>
    <w:rsid w:val="005F57A0"/>
    <w:rsid w:val="005F5B0C"/>
    <w:rsid w:val="005F6BA1"/>
    <w:rsid w:val="00601C9F"/>
    <w:rsid w:val="00601FE0"/>
    <w:rsid w:val="0060424F"/>
    <w:rsid w:val="006071D6"/>
    <w:rsid w:val="00610632"/>
    <w:rsid w:val="006121BD"/>
    <w:rsid w:val="00612FB5"/>
    <w:rsid w:val="0061319F"/>
    <w:rsid w:val="00614DE0"/>
    <w:rsid w:val="00615639"/>
    <w:rsid w:val="00615934"/>
    <w:rsid w:val="0061773C"/>
    <w:rsid w:val="00620ADF"/>
    <w:rsid w:val="00620F8D"/>
    <w:rsid w:val="00624139"/>
    <w:rsid w:val="00626880"/>
    <w:rsid w:val="0063257B"/>
    <w:rsid w:val="00634986"/>
    <w:rsid w:val="00636910"/>
    <w:rsid w:val="00636A6D"/>
    <w:rsid w:val="00637CB8"/>
    <w:rsid w:val="00640925"/>
    <w:rsid w:val="00640DFC"/>
    <w:rsid w:val="0064283F"/>
    <w:rsid w:val="00643BF9"/>
    <w:rsid w:val="00645028"/>
    <w:rsid w:val="006474AA"/>
    <w:rsid w:val="00647E02"/>
    <w:rsid w:val="00651948"/>
    <w:rsid w:val="00656B11"/>
    <w:rsid w:val="006574DF"/>
    <w:rsid w:val="006664E2"/>
    <w:rsid w:val="00666541"/>
    <w:rsid w:val="00670490"/>
    <w:rsid w:val="0067156E"/>
    <w:rsid w:val="00672145"/>
    <w:rsid w:val="00673174"/>
    <w:rsid w:val="00677646"/>
    <w:rsid w:val="00677A38"/>
    <w:rsid w:val="00682BD0"/>
    <w:rsid w:val="006832F0"/>
    <w:rsid w:val="00683704"/>
    <w:rsid w:val="00691309"/>
    <w:rsid w:val="00691989"/>
    <w:rsid w:val="0069261D"/>
    <w:rsid w:val="00693545"/>
    <w:rsid w:val="00694558"/>
    <w:rsid w:val="006961CB"/>
    <w:rsid w:val="0069753B"/>
    <w:rsid w:val="006A04F0"/>
    <w:rsid w:val="006A1EB6"/>
    <w:rsid w:val="006A22EF"/>
    <w:rsid w:val="006A2E3B"/>
    <w:rsid w:val="006A4E65"/>
    <w:rsid w:val="006B2A45"/>
    <w:rsid w:val="006B4148"/>
    <w:rsid w:val="006B7059"/>
    <w:rsid w:val="006B7D96"/>
    <w:rsid w:val="006C2B42"/>
    <w:rsid w:val="006C38F2"/>
    <w:rsid w:val="006C51AF"/>
    <w:rsid w:val="006D1230"/>
    <w:rsid w:val="006D12EE"/>
    <w:rsid w:val="006D3AF3"/>
    <w:rsid w:val="006D3DA7"/>
    <w:rsid w:val="006D4981"/>
    <w:rsid w:val="006D50A2"/>
    <w:rsid w:val="006D5E0A"/>
    <w:rsid w:val="006D5F90"/>
    <w:rsid w:val="006D689C"/>
    <w:rsid w:val="006D759F"/>
    <w:rsid w:val="006D7B37"/>
    <w:rsid w:val="006E0C14"/>
    <w:rsid w:val="006E11E7"/>
    <w:rsid w:val="006E20C1"/>
    <w:rsid w:val="006E38FA"/>
    <w:rsid w:val="006E3D62"/>
    <w:rsid w:val="006E4BBC"/>
    <w:rsid w:val="006E52B5"/>
    <w:rsid w:val="006E58D2"/>
    <w:rsid w:val="006E5E7E"/>
    <w:rsid w:val="006F1729"/>
    <w:rsid w:val="006F1932"/>
    <w:rsid w:val="006F337A"/>
    <w:rsid w:val="006F512E"/>
    <w:rsid w:val="006F76A4"/>
    <w:rsid w:val="00700A79"/>
    <w:rsid w:val="00706679"/>
    <w:rsid w:val="007077FC"/>
    <w:rsid w:val="00707FBA"/>
    <w:rsid w:val="00710DA8"/>
    <w:rsid w:val="0071202E"/>
    <w:rsid w:val="0071436D"/>
    <w:rsid w:val="00715372"/>
    <w:rsid w:val="00716422"/>
    <w:rsid w:val="00721498"/>
    <w:rsid w:val="00724C14"/>
    <w:rsid w:val="00724E1F"/>
    <w:rsid w:val="00732135"/>
    <w:rsid w:val="00732359"/>
    <w:rsid w:val="00732F33"/>
    <w:rsid w:val="00735336"/>
    <w:rsid w:val="00735704"/>
    <w:rsid w:val="0074163F"/>
    <w:rsid w:val="0074401D"/>
    <w:rsid w:val="007444BD"/>
    <w:rsid w:val="0074648E"/>
    <w:rsid w:val="007501C4"/>
    <w:rsid w:val="007502DA"/>
    <w:rsid w:val="00752754"/>
    <w:rsid w:val="00754600"/>
    <w:rsid w:val="007556EC"/>
    <w:rsid w:val="00760118"/>
    <w:rsid w:val="00762933"/>
    <w:rsid w:val="0076298F"/>
    <w:rsid w:val="0076401A"/>
    <w:rsid w:val="00766755"/>
    <w:rsid w:val="00767076"/>
    <w:rsid w:val="00771587"/>
    <w:rsid w:val="00772301"/>
    <w:rsid w:val="00772AFC"/>
    <w:rsid w:val="00772B39"/>
    <w:rsid w:val="0077398E"/>
    <w:rsid w:val="007769AE"/>
    <w:rsid w:val="00776E2C"/>
    <w:rsid w:val="00777C75"/>
    <w:rsid w:val="00783F0C"/>
    <w:rsid w:val="00784588"/>
    <w:rsid w:val="00784942"/>
    <w:rsid w:val="0078633A"/>
    <w:rsid w:val="00790505"/>
    <w:rsid w:val="00791BF9"/>
    <w:rsid w:val="00793044"/>
    <w:rsid w:val="0079430F"/>
    <w:rsid w:val="007A1FBB"/>
    <w:rsid w:val="007A2235"/>
    <w:rsid w:val="007A39F3"/>
    <w:rsid w:val="007A3AB3"/>
    <w:rsid w:val="007A5521"/>
    <w:rsid w:val="007A66D9"/>
    <w:rsid w:val="007B24EF"/>
    <w:rsid w:val="007B2AE9"/>
    <w:rsid w:val="007B6DFB"/>
    <w:rsid w:val="007B76C2"/>
    <w:rsid w:val="007B78CC"/>
    <w:rsid w:val="007B7FE8"/>
    <w:rsid w:val="007C079B"/>
    <w:rsid w:val="007C373D"/>
    <w:rsid w:val="007C5599"/>
    <w:rsid w:val="007C5AC6"/>
    <w:rsid w:val="007D0260"/>
    <w:rsid w:val="007D0A69"/>
    <w:rsid w:val="007D4E99"/>
    <w:rsid w:val="007D5E04"/>
    <w:rsid w:val="007D6CA6"/>
    <w:rsid w:val="007D7444"/>
    <w:rsid w:val="007E2539"/>
    <w:rsid w:val="007E5436"/>
    <w:rsid w:val="007E65DF"/>
    <w:rsid w:val="007E696C"/>
    <w:rsid w:val="007E70F6"/>
    <w:rsid w:val="007E7347"/>
    <w:rsid w:val="007F091B"/>
    <w:rsid w:val="007F5905"/>
    <w:rsid w:val="007F6FD3"/>
    <w:rsid w:val="007F722B"/>
    <w:rsid w:val="00800C5D"/>
    <w:rsid w:val="00800E84"/>
    <w:rsid w:val="00801F1E"/>
    <w:rsid w:val="00802B2B"/>
    <w:rsid w:val="00802C3E"/>
    <w:rsid w:val="008041B4"/>
    <w:rsid w:val="00806312"/>
    <w:rsid w:val="00806DD5"/>
    <w:rsid w:val="00812E2E"/>
    <w:rsid w:val="008138D4"/>
    <w:rsid w:val="0081610E"/>
    <w:rsid w:val="00816A14"/>
    <w:rsid w:val="0081766C"/>
    <w:rsid w:val="008208A0"/>
    <w:rsid w:val="00820A8B"/>
    <w:rsid w:val="00824DA6"/>
    <w:rsid w:val="008273E1"/>
    <w:rsid w:val="00830616"/>
    <w:rsid w:val="008326C2"/>
    <w:rsid w:val="00845529"/>
    <w:rsid w:val="008475FD"/>
    <w:rsid w:val="0085097E"/>
    <w:rsid w:val="00850C3A"/>
    <w:rsid w:val="008524D5"/>
    <w:rsid w:val="00852A21"/>
    <w:rsid w:val="00855092"/>
    <w:rsid w:val="008571A6"/>
    <w:rsid w:val="00863E96"/>
    <w:rsid w:val="00864354"/>
    <w:rsid w:val="0086633C"/>
    <w:rsid w:val="00867C57"/>
    <w:rsid w:val="00867E9B"/>
    <w:rsid w:val="00871242"/>
    <w:rsid w:val="00872BAF"/>
    <w:rsid w:val="008809A2"/>
    <w:rsid w:val="00880A16"/>
    <w:rsid w:val="008813E5"/>
    <w:rsid w:val="0088437E"/>
    <w:rsid w:val="008865AD"/>
    <w:rsid w:val="00887EF6"/>
    <w:rsid w:val="00891CDD"/>
    <w:rsid w:val="00892D06"/>
    <w:rsid w:val="0089460D"/>
    <w:rsid w:val="00894678"/>
    <w:rsid w:val="008956D2"/>
    <w:rsid w:val="00897808"/>
    <w:rsid w:val="008A11E0"/>
    <w:rsid w:val="008A354D"/>
    <w:rsid w:val="008A5935"/>
    <w:rsid w:val="008A6EEB"/>
    <w:rsid w:val="008B0746"/>
    <w:rsid w:val="008B1A93"/>
    <w:rsid w:val="008B3495"/>
    <w:rsid w:val="008B3944"/>
    <w:rsid w:val="008B39F8"/>
    <w:rsid w:val="008B4529"/>
    <w:rsid w:val="008B5A70"/>
    <w:rsid w:val="008B5AC2"/>
    <w:rsid w:val="008B62E5"/>
    <w:rsid w:val="008B7D31"/>
    <w:rsid w:val="008C12B8"/>
    <w:rsid w:val="008C1817"/>
    <w:rsid w:val="008C3007"/>
    <w:rsid w:val="008C48C4"/>
    <w:rsid w:val="008C7DB5"/>
    <w:rsid w:val="008D0D82"/>
    <w:rsid w:val="008D2111"/>
    <w:rsid w:val="008D461B"/>
    <w:rsid w:val="008D497C"/>
    <w:rsid w:val="008D5DBB"/>
    <w:rsid w:val="008E006F"/>
    <w:rsid w:val="008E3D1F"/>
    <w:rsid w:val="008E5008"/>
    <w:rsid w:val="008E504C"/>
    <w:rsid w:val="008E7569"/>
    <w:rsid w:val="008F0192"/>
    <w:rsid w:val="008F483C"/>
    <w:rsid w:val="008F4A1A"/>
    <w:rsid w:val="008F4AC9"/>
    <w:rsid w:val="008F7E7A"/>
    <w:rsid w:val="00903BB8"/>
    <w:rsid w:val="009049C4"/>
    <w:rsid w:val="00905764"/>
    <w:rsid w:val="00906048"/>
    <w:rsid w:val="00906DC4"/>
    <w:rsid w:val="009113DF"/>
    <w:rsid w:val="00914092"/>
    <w:rsid w:val="0091666C"/>
    <w:rsid w:val="00917B21"/>
    <w:rsid w:val="009216AE"/>
    <w:rsid w:val="00921EDA"/>
    <w:rsid w:val="009258ED"/>
    <w:rsid w:val="00926D8A"/>
    <w:rsid w:val="00930199"/>
    <w:rsid w:val="00932301"/>
    <w:rsid w:val="00932C1F"/>
    <w:rsid w:val="00934560"/>
    <w:rsid w:val="0093605D"/>
    <w:rsid w:val="009375AE"/>
    <w:rsid w:val="009410FF"/>
    <w:rsid w:val="009411E0"/>
    <w:rsid w:val="00942EFF"/>
    <w:rsid w:val="00943564"/>
    <w:rsid w:val="00946884"/>
    <w:rsid w:val="00946D16"/>
    <w:rsid w:val="00947644"/>
    <w:rsid w:val="00950D22"/>
    <w:rsid w:val="00954114"/>
    <w:rsid w:val="00954AB1"/>
    <w:rsid w:val="00955576"/>
    <w:rsid w:val="009561C0"/>
    <w:rsid w:val="00960087"/>
    <w:rsid w:val="009619B6"/>
    <w:rsid w:val="009622B6"/>
    <w:rsid w:val="00964B14"/>
    <w:rsid w:val="0096642E"/>
    <w:rsid w:val="009676F1"/>
    <w:rsid w:val="00971216"/>
    <w:rsid w:val="00971429"/>
    <w:rsid w:val="00971B89"/>
    <w:rsid w:val="00972A42"/>
    <w:rsid w:val="00977912"/>
    <w:rsid w:val="00982C97"/>
    <w:rsid w:val="009845F5"/>
    <w:rsid w:val="009847D6"/>
    <w:rsid w:val="00985440"/>
    <w:rsid w:val="00994ADF"/>
    <w:rsid w:val="00995ADC"/>
    <w:rsid w:val="0099774F"/>
    <w:rsid w:val="009A09B3"/>
    <w:rsid w:val="009A0EB2"/>
    <w:rsid w:val="009A2FEB"/>
    <w:rsid w:val="009A3613"/>
    <w:rsid w:val="009A3F77"/>
    <w:rsid w:val="009A5C18"/>
    <w:rsid w:val="009A5CBC"/>
    <w:rsid w:val="009A613C"/>
    <w:rsid w:val="009A6AC1"/>
    <w:rsid w:val="009B1B25"/>
    <w:rsid w:val="009B274F"/>
    <w:rsid w:val="009B3BD2"/>
    <w:rsid w:val="009B5392"/>
    <w:rsid w:val="009B67BD"/>
    <w:rsid w:val="009B6920"/>
    <w:rsid w:val="009B7E2C"/>
    <w:rsid w:val="009C04FC"/>
    <w:rsid w:val="009C2AFE"/>
    <w:rsid w:val="009C45B3"/>
    <w:rsid w:val="009C5AE0"/>
    <w:rsid w:val="009C5B37"/>
    <w:rsid w:val="009D22BB"/>
    <w:rsid w:val="009D2322"/>
    <w:rsid w:val="009D27B4"/>
    <w:rsid w:val="009D4BC9"/>
    <w:rsid w:val="009E1269"/>
    <w:rsid w:val="009E44A6"/>
    <w:rsid w:val="009E799D"/>
    <w:rsid w:val="009E7BCB"/>
    <w:rsid w:val="009E7F78"/>
    <w:rsid w:val="009F31B6"/>
    <w:rsid w:val="009F3B2A"/>
    <w:rsid w:val="009F4044"/>
    <w:rsid w:val="009F429F"/>
    <w:rsid w:val="00A01AFC"/>
    <w:rsid w:val="00A02ED8"/>
    <w:rsid w:val="00A03169"/>
    <w:rsid w:val="00A03E9A"/>
    <w:rsid w:val="00A05BD7"/>
    <w:rsid w:val="00A06465"/>
    <w:rsid w:val="00A075F3"/>
    <w:rsid w:val="00A07DDD"/>
    <w:rsid w:val="00A11C39"/>
    <w:rsid w:val="00A11EF3"/>
    <w:rsid w:val="00A15169"/>
    <w:rsid w:val="00A155F5"/>
    <w:rsid w:val="00A1655D"/>
    <w:rsid w:val="00A20BBA"/>
    <w:rsid w:val="00A2127C"/>
    <w:rsid w:val="00A22188"/>
    <w:rsid w:val="00A23EEA"/>
    <w:rsid w:val="00A247C3"/>
    <w:rsid w:val="00A25890"/>
    <w:rsid w:val="00A30BB7"/>
    <w:rsid w:val="00A31474"/>
    <w:rsid w:val="00A32C4B"/>
    <w:rsid w:val="00A343B1"/>
    <w:rsid w:val="00A3505E"/>
    <w:rsid w:val="00A35834"/>
    <w:rsid w:val="00A37352"/>
    <w:rsid w:val="00A407A5"/>
    <w:rsid w:val="00A42A6E"/>
    <w:rsid w:val="00A4394A"/>
    <w:rsid w:val="00A44009"/>
    <w:rsid w:val="00A4500F"/>
    <w:rsid w:val="00A4741E"/>
    <w:rsid w:val="00A47852"/>
    <w:rsid w:val="00A478AD"/>
    <w:rsid w:val="00A5052C"/>
    <w:rsid w:val="00A50739"/>
    <w:rsid w:val="00A50ABF"/>
    <w:rsid w:val="00A5176E"/>
    <w:rsid w:val="00A52330"/>
    <w:rsid w:val="00A5454E"/>
    <w:rsid w:val="00A54826"/>
    <w:rsid w:val="00A563F8"/>
    <w:rsid w:val="00A57BFE"/>
    <w:rsid w:val="00A60187"/>
    <w:rsid w:val="00A61600"/>
    <w:rsid w:val="00A61F53"/>
    <w:rsid w:val="00A6260C"/>
    <w:rsid w:val="00A62C0C"/>
    <w:rsid w:val="00A64AE0"/>
    <w:rsid w:val="00A655D4"/>
    <w:rsid w:val="00A66660"/>
    <w:rsid w:val="00A67852"/>
    <w:rsid w:val="00A67DB9"/>
    <w:rsid w:val="00A732E3"/>
    <w:rsid w:val="00A73A0F"/>
    <w:rsid w:val="00A73BB9"/>
    <w:rsid w:val="00A75248"/>
    <w:rsid w:val="00A77DAE"/>
    <w:rsid w:val="00A77EDD"/>
    <w:rsid w:val="00A80880"/>
    <w:rsid w:val="00A80A4A"/>
    <w:rsid w:val="00A82BD6"/>
    <w:rsid w:val="00A84913"/>
    <w:rsid w:val="00A92B85"/>
    <w:rsid w:val="00A93666"/>
    <w:rsid w:val="00AA2234"/>
    <w:rsid w:val="00AA4F8F"/>
    <w:rsid w:val="00AA565B"/>
    <w:rsid w:val="00AA727A"/>
    <w:rsid w:val="00AA7447"/>
    <w:rsid w:val="00AA7C1B"/>
    <w:rsid w:val="00AB0D07"/>
    <w:rsid w:val="00AB3514"/>
    <w:rsid w:val="00AB45BC"/>
    <w:rsid w:val="00AB539B"/>
    <w:rsid w:val="00AB5B6F"/>
    <w:rsid w:val="00AB6F74"/>
    <w:rsid w:val="00AB7B75"/>
    <w:rsid w:val="00AC0901"/>
    <w:rsid w:val="00AC16F2"/>
    <w:rsid w:val="00AC1F11"/>
    <w:rsid w:val="00AC257D"/>
    <w:rsid w:val="00AC3892"/>
    <w:rsid w:val="00AC5C91"/>
    <w:rsid w:val="00AD02B5"/>
    <w:rsid w:val="00AD039A"/>
    <w:rsid w:val="00AD245E"/>
    <w:rsid w:val="00AD2EB3"/>
    <w:rsid w:val="00AD3CFA"/>
    <w:rsid w:val="00AD4D16"/>
    <w:rsid w:val="00AD57D8"/>
    <w:rsid w:val="00AE11CA"/>
    <w:rsid w:val="00AE1348"/>
    <w:rsid w:val="00AE1B77"/>
    <w:rsid w:val="00AE341B"/>
    <w:rsid w:val="00AE3AD6"/>
    <w:rsid w:val="00AE3BA3"/>
    <w:rsid w:val="00AE4547"/>
    <w:rsid w:val="00AE6843"/>
    <w:rsid w:val="00AE7C3C"/>
    <w:rsid w:val="00AF49E8"/>
    <w:rsid w:val="00AF4CBF"/>
    <w:rsid w:val="00AF5729"/>
    <w:rsid w:val="00AF64DD"/>
    <w:rsid w:val="00AF7665"/>
    <w:rsid w:val="00B00BC1"/>
    <w:rsid w:val="00B021FC"/>
    <w:rsid w:val="00B0278B"/>
    <w:rsid w:val="00B03A0C"/>
    <w:rsid w:val="00B04492"/>
    <w:rsid w:val="00B055D6"/>
    <w:rsid w:val="00B0614F"/>
    <w:rsid w:val="00B15756"/>
    <w:rsid w:val="00B17568"/>
    <w:rsid w:val="00B21784"/>
    <w:rsid w:val="00B21B84"/>
    <w:rsid w:val="00B23BF4"/>
    <w:rsid w:val="00B24CAC"/>
    <w:rsid w:val="00B24F29"/>
    <w:rsid w:val="00B25737"/>
    <w:rsid w:val="00B2601B"/>
    <w:rsid w:val="00B272B9"/>
    <w:rsid w:val="00B30BB3"/>
    <w:rsid w:val="00B30D0D"/>
    <w:rsid w:val="00B32CB1"/>
    <w:rsid w:val="00B34517"/>
    <w:rsid w:val="00B34754"/>
    <w:rsid w:val="00B34DD5"/>
    <w:rsid w:val="00B3623D"/>
    <w:rsid w:val="00B40579"/>
    <w:rsid w:val="00B41D26"/>
    <w:rsid w:val="00B437C3"/>
    <w:rsid w:val="00B4398F"/>
    <w:rsid w:val="00B43E58"/>
    <w:rsid w:val="00B44ED5"/>
    <w:rsid w:val="00B45532"/>
    <w:rsid w:val="00B459E4"/>
    <w:rsid w:val="00B459F8"/>
    <w:rsid w:val="00B506B3"/>
    <w:rsid w:val="00B5122B"/>
    <w:rsid w:val="00B51569"/>
    <w:rsid w:val="00B53433"/>
    <w:rsid w:val="00B53B38"/>
    <w:rsid w:val="00B54605"/>
    <w:rsid w:val="00B56EE7"/>
    <w:rsid w:val="00B61258"/>
    <w:rsid w:val="00B63614"/>
    <w:rsid w:val="00B668EE"/>
    <w:rsid w:val="00B7366A"/>
    <w:rsid w:val="00B73C0A"/>
    <w:rsid w:val="00B74755"/>
    <w:rsid w:val="00B75343"/>
    <w:rsid w:val="00B75CD9"/>
    <w:rsid w:val="00B75DFB"/>
    <w:rsid w:val="00B75EB2"/>
    <w:rsid w:val="00B8476B"/>
    <w:rsid w:val="00B857A5"/>
    <w:rsid w:val="00B86279"/>
    <w:rsid w:val="00B87D17"/>
    <w:rsid w:val="00B9331E"/>
    <w:rsid w:val="00B933E9"/>
    <w:rsid w:val="00B94694"/>
    <w:rsid w:val="00B9500B"/>
    <w:rsid w:val="00BA1427"/>
    <w:rsid w:val="00BA20B3"/>
    <w:rsid w:val="00BA3A26"/>
    <w:rsid w:val="00BB506C"/>
    <w:rsid w:val="00BB5C0D"/>
    <w:rsid w:val="00BB762E"/>
    <w:rsid w:val="00BB7E95"/>
    <w:rsid w:val="00BC07D0"/>
    <w:rsid w:val="00BC1398"/>
    <w:rsid w:val="00BC3719"/>
    <w:rsid w:val="00BC61CD"/>
    <w:rsid w:val="00BD13AB"/>
    <w:rsid w:val="00BD1EDE"/>
    <w:rsid w:val="00BD2881"/>
    <w:rsid w:val="00BD4351"/>
    <w:rsid w:val="00BD6A73"/>
    <w:rsid w:val="00BD6F93"/>
    <w:rsid w:val="00BE05BE"/>
    <w:rsid w:val="00BE1AC5"/>
    <w:rsid w:val="00BE1CFF"/>
    <w:rsid w:val="00BE2023"/>
    <w:rsid w:val="00BE2349"/>
    <w:rsid w:val="00BE33E3"/>
    <w:rsid w:val="00BE487E"/>
    <w:rsid w:val="00BE6A8A"/>
    <w:rsid w:val="00BF3530"/>
    <w:rsid w:val="00BF3BF0"/>
    <w:rsid w:val="00BF548D"/>
    <w:rsid w:val="00BF76DE"/>
    <w:rsid w:val="00C026F7"/>
    <w:rsid w:val="00C02D69"/>
    <w:rsid w:val="00C041FB"/>
    <w:rsid w:val="00C0433D"/>
    <w:rsid w:val="00C05702"/>
    <w:rsid w:val="00C07CAE"/>
    <w:rsid w:val="00C11E34"/>
    <w:rsid w:val="00C12583"/>
    <w:rsid w:val="00C12F28"/>
    <w:rsid w:val="00C146E9"/>
    <w:rsid w:val="00C15806"/>
    <w:rsid w:val="00C22508"/>
    <w:rsid w:val="00C23973"/>
    <w:rsid w:val="00C2402B"/>
    <w:rsid w:val="00C24FDE"/>
    <w:rsid w:val="00C300BF"/>
    <w:rsid w:val="00C3022E"/>
    <w:rsid w:val="00C35EA9"/>
    <w:rsid w:val="00C3703C"/>
    <w:rsid w:val="00C378A1"/>
    <w:rsid w:val="00C4036F"/>
    <w:rsid w:val="00C4428F"/>
    <w:rsid w:val="00C500A4"/>
    <w:rsid w:val="00C50E6C"/>
    <w:rsid w:val="00C51A49"/>
    <w:rsid w:val="00C533D4"/>
    <w:rsid w:val="00C54880"/>
    <w:rsid w:val="00C568D0"/>
    <w:rsid w:val="00C5700E"/>
    <w:rsid w:val="00C5794E"/>
    <w:rsid w:val="00C57EB6"/>
    <w:rsid w:val="00C60D6C"/>
    <w:rsid w:val="00C629B2"/>
    <w:rsid w:val="00C6348C"/>
    <w:rsid w:val="00C63A37"/>
    <w:rsid w:val="00C67062"/>
    <w:rsid w:val="00C741CA"/>
    <w:rsid w:val="00C77FE8"/>
    <w:rsid w:val="00C87131"/>
    <w:rsid w:val="00C87A63"/>
    <w:rsid w:val="00C87B5B"/>
    <w:rsid w:val="00C901A8"/>
    <w:rsid w:val="00C90979"/>
    <w:rsid w:val="00C94668"/>
    <w:rsid w:val="00C95542"/>
    <w:rsid w:val="00C95E00"/>
    <w:rsid w:val="00CA0FDD"/>
    <w:rsid w:val="00CA5306"/>
    <w:rsid w:val="00CA54C7"/>
    <w:rsid w:val="00CB2CEF"/>
    <w:rsid w:val="00CB35BC"/>
    <w:rsid w:val="00CB4267"/>
    <w:rsid w:val="00CB48F0"/>
    <w:rsid w:val="00CB68A8"/>
    <w:rsid w:val="00CB7B1D"/>
    <w:rsid w:val="00CC0420"/>
    <w:rsid w:val="00CC120E"/>
    <w:rsid w:val="00CC26B1"/>
    <w:rsid w:val="00CC31F6"/>
    <w:rsid w:val="00CC5366"/>
    <w:rsid w:val="00CD0ED9"/>
    <w:rsid w:val="00CD1D5C"/>
    <w:rsid w:val="00CD3C5C"/>
    <w:rsid w:val="00CD58D3"/>
    <w:rsid w:val="00CD5AA7"/>
    <w:rsid w:val="00CD6D2C"/>
    <w:rsid w:val="00CE023A"/>
    <w:rsid w:val="00CE057D"/>
    <w:rsid w:val="00CE18FA"/>
    <w:rsid w:val="00CE1D5C"/>
    <w:rsid w:val="00CE59B9"/>
    <w:rsid w:val="00CF2560"/>
    <w:rsid w:val="00CF30C6"/>
    <w:rsid w:val="00CF38D7"/>
    <w:rsid w:val="00CF3C35"/>
    <w:rsid w:val="00CF5E09"/>
    <w:rsid w:val="00CF6E8C"/>
    <w:rsid w:val="00D12E25"/>
    <w:rsid w:val="00D14A07"/>
    <w:rsid w:val="00D16001"/>
    <w:rsid w:val="00D3206E"/>
    <w:rsid w:val="00D32687"/>
    <w:rsid w:val="00D3275D"/>
    <w:rsid w:val="00D3378D"/>
    <w:rsid w:val="00D37A94"/>
    <w:rsid w:val="00D40D86"/>
    <w:rsid w:val="00D42C19"/>
    <w:rsid w:val="00D44686"/>
    <w:rsid w:val="00D456BC"/>
    <w:rsid w:val="00D4588C"/>
    <w:rsid w:val="00D51376"/>
    <w:rsid w:val="00D52F5B"/>
    <w:rsid w:val="00D52F6B"/>
    <w:rsid w:val="00D53759"/>
    <w:rsid w:val="00D552C4"/>
    <w:rsid w:val="00D60125"/>
    <w:rsid w:val="00D61AC1"/>
    <w:rsid w:val="00D61ECC"/>
    <w:rsid w:val="00D645C1"/>
    <w:rsid w:val="00D65005"/>
    <w:rsid w:val="00D65F3E"/>
    <w:rsid w:val="00D673AC"/>
    <w:rsid w:val="00D70395"/>
    <w:rsid w:val="00D705AC"/>
    <w:rsid w:val="00D70FA9"/>
    <w:rsid w:val="00D724E8"/>
    <w:rsid w:val="00D725BB"/>
    <w:rsid w:val="00D73BAD"/>
    <w:rsid w:val="00D80E7A"/>
    <w:rsid w:val="00D81FCA"/>
    <w:rsid w:val="00D838AE"/>
    <w:rsid w:val="00D8589D"/>
    <w:rsid w:val="00D85AAB"/>
    <w:rsid w:val="00D877CF"/>
    <w:rsid w:val="00D87981"/>
    <w:rsid w:val="00D92F0C"/>
    <w:rsid w:val="00D931CA"/>
    <w:rsid w:val="00D93781"/>
    <w:rsid w:val="00DA0421"/>
    <w:rsid w:val="00DA0771"/>
    <w:rsid w:val="00DA09B6"/>
    <w:rsid w:val="00DA26F1"/>
    <w:rsid w:val="00DA2927"/>
    <w:rsid w:val="00DA3F7D"/>
    <w:rsid w:val="00DA49C5"/>
    <w:rsid w:val="00DA60D2"/>
    <w:rsid w:val="00DA6223"/>
    <w:rsid w:val="00DB38E2"/>
    <w:rsid w:val="00DB395E"/>
    <w:rsid w:val="00DB4548"/>
    <w:rsid w:val="00DB640C"/>
    <w:rsid w:val="00DB6592"/>
    <w:rsid w:val="00DC0EAC"/>
    <w:rsid w:val="00DC13ED"/>
    <w:rsid w:val="00DC1C14"/>
    <w:rsid w:val="00DC1E56"/>
    <w:rsid w:val="00DC2F54"/>
    <w:rsid w:val="00DC3BE9"/>
    <w:rsid w:val="00DC47B8"/>
    <w:rsid w:val="00DD0D72"/>
    <w:rsid w:val="00DD1BED"/>
    <w:rsid w:val="00DD251F"/>
    <w:rsid w:val="00DD2A95"/>
    <w:rsid w:val="00DD322F"/>
    <w:rsid w:val="00DD52A9"/>
    <w:rsid w:val="00DD5B9D"/>
    <w:rsid w:val="00DE0DD9"/>
    <w:rsid w:val="00DE0E1B"/>
    <w:rsid w:val="00DE3CA6"/>
    <w:rsid w:val="00DE66B9"/>
    <w:rsid w:val="00DE6B27"/>
    <w:rsid w:val="00DF081B"/>
    <w:rsid w:val="00DF1DAC"/>
    <w:rsid w:val="00DF22C9"/>
    <w:rsid w:val="00DF29EF"/>
    <w:rsid w:val="00DF2CA5"/>
    <w:rsid w:val="00DF495E"/>
    <w:rsid w:val="00DF4F8C"/>
    <w:rsid w:val="00DF5C03"/>
    <w:rsid w:val="00DF6628"/>
    <w:rsid w:val="00DF6A75"/>
    <w:rsid w:val="00E07A50"/>
    <w:rsid w:val="00E12974"/>
    <w:rsid w:val="00E24F68"/>
    <w:rsid w:val="00E30C4C"/>
    <w:rsid w:val="00E312F3"/>
    <w:rsid w:val="00E34542"/>
    <w:rsid w:val="00E35CCE"/>
    <w:rsid w:val="00E3666D"/>
    <w:rsid w:val="00E36F9C"/>
    <w:rsid w:val="00E41E82"/>
    <w:rsid w:val="00E4328D"/>
    <w:rsid w:val="00E440DB"/>
    <w:rsid w:val="00E449ED"/>
    <w:rsid w:val="00E45A60"/>
    <w:rsid w:val="00E46096"/>
    <w:rsid w:val="00E462F6"/>
    <w:rsid w:val="00E4688F"/>
    <w:rsid w:val="00E500D9"/>
    <w:rsid w:val="00E51D85"/>
    <w:rsid w:val="00E52B18"/>
    <w:rsid w:val="00E544FC"/>
    <w:rsid w:val="00E56911"/>
    <w:rsid w:val="00E56F8B"/>
    <w:rsid w:val="00E61AF6"/>
    <w:rsid w:val="00E66B8D"/>
    <w:rsid w:val="00E7034A"/>
    <w:rsid w:val="00E723E7"/>
    <w:rsid w:val="00E72793"/>
    <w:rsid w:val="00E7298C"/>
    <w:rsid w:val="00E73674"/>
    <w:rsid w:val="00E74470"/>
    <w:rsid w:val="00E76864"/>
    <w:rsid w:val="00E80D1A"/>
    <w:rsid w:val="00E85076"/>
    <w:rsid w:val="00E86E63"/>
    <w:rsid w:val="00E874CA"/>
    <w:rsid w:val="00E87CB8"/>
    <w:rsid w:val="00E91D03"/>
    <w:rsid w:val="00E91F89"/>
    <w:rsid w:val="00E93135"/>
    <w:rsid w:val="00E93C7F"/>
    <w:rsid w:val="00E95BED"/>
    <w:rsid w:val="00E96E46"/>
    <w:rsid w:val="00E97298"/>
    <w:rsid w:val="00EA001F"/>
    <w:rsid w:val="00EA2906"/>
    <w:rsid w:val="00EA5626"/>
    <w:rsid w:val="00EA5670"/>
    <w:rsid w:val="00EA58F6"/>
    <w:rsid w:val="00EA5FAD"/>
    <w:rsid w:val="00EA7148"/>
    <w:rsid w:val="00EB1D4C"/>
    <w:rsid w:val="00EB2E82"/>
    <w:rsid w:val="00EC0D2D"/>
    <w:rsid w:val="00EC1EEA"/>
    <w:rsid w:val="00EC2F8C"/>
    <w:rsid w:val="00EC553C"/>
    <w:rsid w:val="00ED02A9"/>
    <w:rsid w:val="00ED27E0"/>
    <w:rsid w:val="00ED33ED"/>
    <w:rsid w:val="00ED3964"/>
    <w:rsid w:val="00ED5046"/>
    <w:rsid w:val="00ED6865"/>
    <w:rsid w:val="00ED732A"/>
    <w:rsid w:val="00ED7801"/>
    <w:rsid w:val="00EE0DB3"/>
    <w:rsid w:val="00EE2140"/>
    <w:rsid w:val="00EE23E4"/>
    <w:rsid w:val="00EE35F6"/>
    <w:rsid w:val="00EE3837"/>
    <w:rsid w:val="00EE38B1"/>
    <w:rsid w:val="00EE6C5D"/>
    <w:rsid w:val="00EE7276"/>
    <w:rsid w:val="00EE7B1C"/>
    <w:rsid w:val="00EF0E03"/>
    <w:rsid w:val="00EF118F"/>
    <w:rsid w:val="00EF47E1"/>
    <w:rsid w:val="00EF522B"/>
    <w:rsid w:val="00EF5232"/>
    <w:rsid w:val="00F00A0D"/>
    <w:rsid w:val="00F00C80"/>
    <w:rsid w:val="00F01318"/>
    <w:rsid w:val="00F01D56"/>
    <w:rsid w:val="00F023E8"/>
    <w:rsid w:val="00F044B2"/>
    <w:rsid w:val="00F108D0"/>
    <w:rsid w:val="00F1314B"/>
    <w:rsid w:val="00F15852"/>
    <w:rsid w:val="00F206D0"/>
    <w:rsid w:val="00F2161B"/>
    <w:rsid w:val="00F21FB4"/>
    <w:rsid w:val="00F237D0"/>
    <w:rsid w:val="00F23E5F"/>
    <w:rsid w:val="00F269D9"/>
    <w:rsid w:val="00F26BB5"/>
    <w:rsid w:val="00F30667"/>
    <w:rsid w:val="00F306A4"/>
    <w:rsid w:val="00F3172E"/>
    <w:rsid w:val="00F31CF3"/>
    <w:rsid w:val="00F3354B"/>
    <w:rsid w:val="00F340DF"/>
    <w:rsid w:val="00F34EA1"/>
    <w:rsid w:val="00F35240"/>
    <w:rsid w:val="00F368BA"/>
    <w:rsid w:val="00F36A06"/>
    <w:rsid w:val="00F414AC"/>
    <w:rsid w:val="00F42321"/>
    <w:rsid w:val="00F438B9"/>
    <w:rsid w:val="00F46477"/>
    <w:rsid w:val="00F46972"/>
    <w:rsid w:val="00F46992"/>
    <w:rsid w:val="00F5261E"/>
    <w:rsid w:val="00F568A5"/>
    <w:rsid w:val="00F61B95"/>
    <w:rsid w:val="00F64426"/>
    <w:rsid w:val="00F71D07"/>
    <w:rsid w:val="00F723A7"/>
    <w:rsid w:val="00F73055"/>
    <w:rsid w:val="00F7309A"/>
    <w:rsid w:val="00F764B3"/>
    <w:rsid w:val="00F76973"/>
    <w:rsid w:val="00F77FDC"/>
    <w:rsid w:val="00F81228"/>
    <w:rsid w:val="00F836B4"/>
    <w:rsid w:val="00F83A1C"/>
    <w:rsid w:val="00F83A7D"/>
    <w:rsid w:val="00F84CC7"/>
    <w:rsid w:val="00F84F6A"/>
    <w:rsid w:val="00F84FF9"/>
    <w:rsid w:val="00F87A1B"/>
    <w:rsid w:val="00F91909"/>
    <w:rsid w:val="00F91C8C"/>
    <w:rsid w:val="00F91CAE"/>
    <w:rsid w:val="00F9476A"/>
    <w:rsid w:val="00F970EE"/>
    <w:rsid w:val="00FA2BFF"/>
    <w:rsid w:val="00FA3F79"/>
    <w:rsid w:val="00FA553B"/>
    <w:rsid w:val="00FA6638"/>
    <w:rsid w:val="00FB14F9"/>
    <w:rsid w:val="00FB1956"/>
    <w:rsid w:val="00FB34F1"/>
    <w:rsid w:val="00FB482C"/>
    <w:rsid w:val="00FB4A40"/>
    <w:rsid w:val="00FB768F"/>
    <w:rsid w:val="00FC13AC"/>
    <w:rsid w:val="00FC1419"/>
    <w:rsid w:val="00FC4EFF"/>
    <w:rsid w:val="00FC7C56"/>
    <w:rsid w:val="00FD1CE4"/>
    <w:rsid w:val="00FD2CEC"/>
    <w:rsid w:val="00FD6365"/>
    <w:rsid w:val="00FD6634"/>
    <w:rsid w:val="00FE0030"/>
    <w:rsid w:val="00FE279C"/>
    <w:rsid w:val="00FE3056"/>
    <w:rsid w:val="00FE42E8"/>
    <w:rsid w:val="00FE4584"/>
    <w:rsid w:val="00FE4F7F"/>
    <w:rsid w:val="00FE5587"/>
    <w:rsid w:val="00FE58B3"/>
    <w:rsid w:val="00FE6878"/>
    <w:rsid w:val="00FF25BF"/>
    <w:rsid w:val="00FF41FA"/>
    <w:rsid w:val="00FF69D1"/>
    <w:rsid w:val="00FF69F5"/>
    <w:rsid w:val="00FF6AE8"/>
    <w:rsid w:val="00FF6B0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20928B"/>
  <w15:chartTrackingRefBased/>
  <w15:docId w15:val="{64D6F668-62C3-4793-BA66-C7A4A8DD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uiPriority="99" w:qFormat="1"/>
    <w:lsdException w:name="heading 6" w:qFormat="1"/>
    <w:lsdException w:name="heading 7"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6"/>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953"/>
    <w:pPr>
      <w:tabs>
        <w:tab w:val="left" w:pos="851"/>
      </w:tabs>
      <w:spacing w:after="240"/>
      <w:ind w:left="851"/>
      <w:jc w:val="both"/>
    </w:pPr>
    <w:rPr>
      <w:rFonts w:ascii="Arial" w:hAnsi="Arial"/>
      <w:sz w:val="24"/>
      <w:szCs w:val="24"/>
    </w:rPr>
  </w:style>
  <w:style w:type="paragraph" w:styleId="Heading1">
    <w:name w:val="heading 1"/>
    <w:basedOn w:val="Normal"/>
    <w:next w:val="Normal"/>
    <w:link w:val="Heading1Char"/>
    <w:uiPriority w:val="9"/>
    <w:qFormat/>
    <w:rsid w:val="0019042F"/>
    <w:pPr>
      <w:keepNext/>
      <w:numPr>
        <w:numId w:val="2"/>
      </w:numPr>
      <w:tabs>
        <w:tab w:val="clear" w:pos="432"/>
      </w:tabs>
      <w:ind w:left="851" w:hanging="851"/>
      <w:outlineLvl w:val="0"/>
    </w:pPr>
    <w:rPr>
      <w:rFonts w:cs="Arial"/>
      <w:b/>
      <w:bCs/>
      <w:caps/>
      <w:color w:val="2E74B5" w:themeColor="accent1" w:themeShade="BF"/>
      <w:kern w:val="32"/>
      <w:szCs w:val="32"/>
    </w:rPr>
  </w:style>
  <w:style w:type="paragraph" w:styleId="Heading2">
    <w:name w:val="heading 2"/>
    <w:basedOn w:val="Normal"/>
    <w:next w:val="Normal"/>
    <w:link w:val="Heading2Char"/>
    <w:uiPriority w:val="9"/>
    <w:qFormat/>
    <w:rsid w:val="00C60D6C"/>
    <w:pPr>
      <w:keepNext/>
      <w:numPr>
        <w:ilvl w:val="1"/>
        <w:numId w:val="2"/>
      </w:numPr>
      <w:tabs>
        <w:tab w:val="clear" w:pos="6389"/>
      </w:tabs>
      <w:ind w:left="851" w:hanging="851"/>
      <w:outlineLvl w:val="1"/>
    </w:pPr>
    <w:rPr>
      <w:rFonts w:cs="Arial"/>
      <w:b/>
      <w:bCs/>
      <w:iCs/>
      <w:color w:val="2E74B5" w:themeColor="accent1" w:themeShade="BF"/>
      <w:szCs w:val="28"/>
      <w:u w:val="single"/>
    </w:rPr>
  </w:style>
  <w:style w:type="paragraph" w:styleId="Heading3">
    <w:name w:val="heading 3"/>
    <w:basedOn w:val="Normal"/>
    <w:next w:val="Normal"/>
    <w:link w:val="Heading3Char"/>
    <w:uiPriority w:val="9"/>
    <w:qFormat/>
    <w:rsid w:val="0019042F"/>
    <w:pPr>
      <w:keepNext/>
      <w:numPr>
        <w:ilvl w:val="2"/>
        <w:numId w:val="2"/>
      </w:numPr>
      <w:tabs>
        <w:tab w:val="clear" w:pos="720"/>
      </w:tabs>
      <w:ind w:left="1134" w:hanging="1134"/>
      <w:outlineLvl w:val="2"/>
    </w:pPr>
    <w:rPr>
      <w:rFonts w:cs="Arial"/>
      <w:b/>
      <w:bCs/>
      <w:color w:val="2E74B5" w:themeColor="accent1" w:themeShade="BF"/>
      <w:szCs w:val="26"/>
    </w:rPr>
  </w:style>
  <w:style w:type="paragraph" w:styleId="Heading4">
    <w:name w:val="heading 4"/>
    <w:basedOn w:val="Normal"/>
    <w:next w:val="Normal"/>
    <w:link w:val="Heading4Char"/>
    <w:qFormat/>
    <w:rsid w:val="0006738C"/>
    <w:pPr>
      <w:keepNext/>
      <w:numPr>
        <w:ilvl w:val="3"/>
        <w:numId w:val="2"/>
      </w:numPr>
      <w:tabs>
        <w:tab w:val="clear" w:pos="864"/>
      </w:tabs>
      <w:ind w:left="1134" w:hanging="1134"/>
      <w:outlineLvl w:val="3"/>
    </w:pPr>
    <w:rPr>
      <w:bCs/>
      <w:i/>
      <w:szCs w:val="28"/>
    </w:rPr>
  </w:style>
  <w:style w:type="paragraph" w:styleId="Heading5">
    <w:name w:val="heading 5"/>
    <w:basedOn w:val="Normal"/>
    <w:next w:val="Normal"/>
    <w:link w:val="Heading5Char"/>
    <w:uiPriority w:val="99"/>
    <w:qFormat/>
    <w:rsid w:val="001E5B89"/>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1E5B89"/>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1E5B89"/>
    <w:pPr>
      <w:numPr>
        <w:ilvl w:val="6"/>
        <w:numId w:val="2"/>
      </w:num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1E5B89"/>
    <w:pPr>
      <w:numPr>
        <w:ilvl w:val="7"/>
        <w:numId w:val="2"/>
      </w:numPr>
      <w:spacing w:before="240" w:after="60"/>
      <w:outlineLvl w:val="7"/>
    </w:pPr>
    <w:rPr>
      <w:rFonts w:ascii="Times New Roman" w:hAnsi="Times New Roman"/>
      <w:i/>
      <w:iCs/>
    </w:rPr>
  </w:style>
  <w:style w:type="paragraph" w:styleId="Heading9">
    <w:name w:val="heading 9"/>
    <w:basedOn w:val="Normal"/>
    <w:next w:val="Normal"/>
    <w:link w:val="Heading9Char"/>
    <w:qFormat/>
    <w:rsid w:val="001E5B89"/>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9A5CBC"/>
    <w:pPr>
      <w:pBdr>
        <w:bottom w:val="single" w:sz="4" w:space="1" w:color="auto"/>
      </w:pBdr>
      <w:tabs>
        <w:tab w:val="center" w:pos="4153"/>
        <w:tab w:val="right" w:pos="8306"/>
      </w:tabs>
    </w:pPr>
    <w:rPr>
      <w:rFonts w:ascii="Arial" w:hAnsi="Arial"/>
      <w:b/>
      <w:i/>
      <w:szCs w:val="24"/>
    </w:rPr>
  </w:style>
  <w:style w:type="paragraph" w:styleId="Footer">
    <w:name w:val="footer"/>
    <w:link w:val="FooterChar"/>
    <w:uiPriority w:val="99"/>
    <w:rsid w:val="009A5CBC"/>
    <w:pPr>
      <w:pBdr>
        <w:top w:val="single" w:sz="4" w:space="1" w:color="000000"/>
      </w:pBdr>
      <w:tabs>
        <w:tab w:val="center" w:pos="4153"/>
        <w:tab w:val="right" w:pos="8306"/>
      </w:tabs>
    </w:pPr>
    <w:rPr>
      <w:rFonts w:ascii="Arial" w:hAnsi="Arial"/>
      <w:b/>
      <w:i/>
      <w:szCs w:val="24"/>
    </w:rPr>
  </w:style>
  <w:style w:type="character" w:styleId="PageNumber">
    <w:name w:val="page number"/>
    <w:basedOn w:val="DefaultParagraphFont"/>
    <w:rsid w:val="001E5B89"/>
    <w:rPr>
      <w:rFonts w:ascii="Arial" w:hAnsi="Arial"/>
      <w:b/>
      <w:i/>
      <w:sz w:val="20"/>
    </w:rPr>
  </w:style>
  <w:style w:type="paragraph" w:customStyle="1" w:styleId="Tableofcontents">
    <w:name w:val="Table of contents"/>
    <w:next w:val="Normal"/>
    <w:rsid w:val="009A5CBC"/>
    <w:pPr>
      <w:pBdr>
        <w:top w:val="single" w:sz="6" w:space="1" w:color="C0C0C0"/>
        <w:left w:val="single" w:sz="6" w:space="4" w:color="C0C0C0"/>
        <w:bottom w:val="single" w:sz="12" w:space="1" w:color="000000"/>
        <w:right w:val="single" w:sz="6" w:space="4" w:color="C0C0C0"/>
      </w:pBdr>
    </w:pPr>
    <w:rPr>
      <w:rFonts w:ascii="Arial" w:hAnsi="Arial"/>
      <w:sz w:val="24"/>
      <w:szCs w:val="24"/>
    </w:rPr>
  </w:style>
  <w:style w:type="numbering" w:customStyle="1" w:styleId="MultiLevel">
    <w:name w:val="Multi Level"/>
    <w:basedOn w:val="NoList"/>
    <w:rsid w:val="00EF0E03"/>
    <w:pPr>
      <w:numPr>
        <w:numId w:val="1"/>
      </w:numPr>
    </w:pPr>
  </w:style>
  <w:style w:type="numbering" w:customStyle="1" w:styleId="Numbers">
    <w:name w:val="Numbers"/>
    <w:basedOn w:val="NoList"/>
    <w:rsid w:val="009B6920"/>
    <w:pPr>
      <w:numPr>
        <w:numId w:val="3"/>
      </w:numPr>
    </w:pPr>
  </w:style>
  <w:style w:type="character" w:styleId="PlaceholderText">
    <w:name w:val="Placeholder Text"/>
    <w:basedOn w:val="DefaultParagraphFont"/>
    <w:uiPriority w:val="99"/>
    <w:semiHidden/>
    <w:rsid w:val="00104FC7"/>
    <w:rPr>
      <w:color w:val="808080"/>
    </w:rPr>
  </w:style>
  <w:style w:type="paragraph" w:customStyle="1" w:styleId="thirdbullet">
    <w:name w:val="third bullet"/>
    <w:basedOn w:val="Normal"/>
    <w:rsid w:val="00104FC7"/>
    <w:pPr>
      <w:ind w:left="3240"/>
    </w:pPr>
  </w:style>
  <w:style w:type="paragraph" w:styleId="BalloonText">
    <w:name w:val="Balloon Text"/>
    <w:basedOn w:val="Normal"/>
    <w:link w:val="BalloonTextChar"/>
    <w:uiPriority w:val="99"/>
    <w:semiHidden/>
    <w:rsid w:val="009A5CBC"/>
    <w:rPr>
      <w:rFonts w:ascii="Tahoma" w:hAnsi="Tahoma" w:cs="Tahoma"/>
      <w:sz w:val="16"/>
      <w:szCs w:val="16"/>
    </w:rPr>
  </w:style>
  <w:style w:type="paragraph" w:customStyle="1" w:styleId="TitlePage">
    <w:name w:val="Title Page"/>
    <w:next w:val="Normal"/>
    <w:rsid w:val="009A5CBC"/>
    <w:pPr>
      <w:jc w:val="center"/>
    </w:pPr>
    <w:rPr>
      <w:rFonts w:ascii="Arial" w:hAnsi="Arial"/>
      <w:b/>
      <w:caps/>
      <w:sz w:val="48"/>
      <w:szCs w:val="24"/>
    </w:rPr>
  </w:style>
  <w:style w:type="paragraph" w:customStyle="1" w:styleId="Address">
    <w:name w:val="Address"/>
    <w:rsid w:val="009A5CBC"/>
    <w:rPr>
      <w:rFonts w:ascii="Arial" w:hAnsi="Arial"/>
      <w:szCs w:val="24"/>
    </w:rPr>
  </w:style>
  <w:style w:type="paragraph" w:customStyle="1" w:styleId="Default">
    <w:name w:val="Default"/>
    <w:rsid w:val="009561C0"/>
    <w:pPr>
      <w:autoSpaceDE w:val="0"/>
      <w:autoSpaceDN w:val="0"/>
      <w:adjustRightInd w:val="0"/>
    </w:pPr>
    <w:rPr>
      <w:rFonts w:ascii="Arial" w:hAnsi="Arial" w:cs="Arial"/>
      <w:color w:val="000000"/>
      <w:sz w:val="24"/>
      <w:szCs w:val="24"/>
    </w:rPr>
  </w:style>
  <w:style w:type="paragraph" w:customStyle="1" w:styleId="DefaultText">
    <w:name w:val="Default Text"/>
    <w:basedOn w:val="Normal"/>
    <w:rsid w:val="009561C0"/>
    <w:pPr>
      <w:tabs>
        <w:tab w:val="left" w:pos="1593"/>
        <w:tab w:val="left" w:pos="4513"/>
      </w:tabs>
      <w:overflowPunct w:val="0"/>
      <w:autoSpaceDE w:val="0"/>
      <w:autoSpaceDN w:val="0"/>
      <w:adjustRightInd w:val="0"/>
      <w:spacing w:after="0"/>
      <w:ind w:left="0"/>
      <w:jc w:val="left"/>
      <w:textAlignment w:val="baseline"/>
    </w:pPr>
    <w:rPr>
      <w:rFonts w:ascii="Times New Roman" w:hAnsi="Times New Roman"/>
      <w:szCs w:val="20"/>
      <w:lang w:eastAsia="en-US"/>
    </w:rPr>
  </w:style>
  <w:style w:type="paragraph" w:styleId="ListParagraph">
    <w:name w:val="List Paragraph"/>
    <w:basedOn w:val="Normal"/>
    <w:link w:val="ListParagraphChar"/>
    <w:uiPriority w:val="34"/>
    <w:qFormat/>
    <w:rsid w:val="009561C0"/>
    <w:pPr>
      <w:spacing w:after="200" w:line="276" w:lineRule="auto"/>
      <w:ind w:left="720"/>
      <w:contextualSpacing/>
      <w:jc w:val="left"/>
    </w:pPr>
    <w:rPr>
      <w:rFonts w:ascii="Calibri" w:hAnsi="Calibri"/>
      <w:sz w:val="22"/>
      <w:szCs w:val="22"/>
      <w:lang w:eastAsia="en-US"/>
    </w:rPr>
  </w:style>
  <w:style w:type="table" w:styleId="TableGrid">
    <w:name w:val="Table Grid"/>
    <w:basedOn w:val="TableNormal"/>
    <w:uiPriority w:val="39"/>
    <w:rsid w:val="00956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8633E"/>
    <w:pPr>
      <w:tabs>
        <w:tab w:val="clear" w:pos="851"/>
      </w:tabs>
      <w:spacing w:before="360" w:after="0"/>
      <w:ind w:left="0"/>
      <w:jc w:val="left"/>
    </w:pPr>
    <w:rPr>
      <w:rFonts w:asciiTheme="majorHAnsi" w:hAnsiTheme="majorHAnsi"/>
      <w:b/>
      <w:bCs/>
      <w:caps/>
    </w:rPr>
  </w:style>
  <w:style w:type="paragraph" w:styleId="TOC2">
    <w:name w:val="toc 2"/>
    <w:basedOn w:val="Normal"/>
    <w:next w:val="Normal"/>
    <w:autoRedefine/>
    <w:uiPriority w:val="39"/>
    <w:rsid w:val="008F4A1A"/>
    <w:pPr>
      <w:tabs>
        <w:tab w:val="clear" w:pos="851"/>
      </w:tabs>
      <w:spacing w:before="240" w:after="0"/>
      <w:ind w:left="0"/>
      <w:jc w:val="left"/>
    </w:pPr>
    <w:rPr>
      <w:rFonts w:asciiTheme="minorHAnsi" w:hAnsiTheme="minorHAnsi"/>
      <w:b/>
      <w:bCs/>
      <w:sz w:val="20"/>
      <w:szCs w:val="20"/>
    </w:rPr>
  </w:style>
  <w:style w:type="paragraph" w:styleId="TOC3">
    <w:name w:val="toc 3"/>
    <w:basedOn w:val="Normal"/>
    <w:next w:val="Normal"/>
    <w:autoRedefine/>
    <w:uiPriority w:val="39"/>
    <w:rsid w:val="00C05702"/>
    <w:pPr>
      <w:tabs>
        <w:tab w:val="clear" w:pos="851"/>
      </w:tabs>
      <w:spacing w:after="0"/>
      <w:ind w:left="240"/>
      <w:jc w:val="left"/>
    </w:pPr>
    <w:rPr>
      <w:rFonts w:asciiTheme="minorHAnsi" w:hAnsiTheme="minorHAnsi"/>
      <w:sz w:val="20"/>
      <w:szCs w:val="20"/>
    </w:rPr>
  </w:style>
  <w:style w:type="paragraph" w:styleId="TOC4">
    <w:name w:val="toc 4"/>
    <w:basedOn w:val="Normal"/>
    <w:next w:val="Normal"/>
    <w:autoRedefine/>
    <w:uiPriority w:val="39"/>
    <w:rsid w:val="00C05702"/>
    <w:pPr>
      <w:tabs>
        <w:tab w:val="clear" w:pos="851"/>
      </w:tabs>
      <w:spacing w:after="0"/>
      <w:ind w:left="480"/>
      <w:jc w:val="left"/>
    </w:pPr>
    <w:rPr>
      <w:rFonts w:asciiTheme="minorHAnsi" w:hAnsiTheme="minorHAnsi"/>
      <w:sz w:val="20"/>
      <w:szCs w:val="20"/>
    </w:rPr>
  </w:style>
  <w:style w:type="paragraph" w:styleId="TOC5">
    <w:name w:val="toc 5"/>
    <w:basedOn w:val="Normal"/>
    <w:next w:val="Normal"/>
    <w:autoRedefine/>
    <w:uiPriority w:val="39"/>
    <w:rsid w:val="00C05702"/>
    <w:pPr>
      <w:tabs>
        <w:tab w:val="clear" w:pos="851"/>
      </w:tabs>
      <w:spacing w:after="0"/>
      <w:ind w:left="720"/>
      <w:jc w:val="left"/>
    </w:pPr>
    <w:rPr>
      <w:rFonts w:asciiTheme="minorHAnsi" w:hAnsiTheme="minorHAnsi"/>
      <w:sz w:val="20"/>
      <w:szCs w:val="20"/>
    </w:rPr>
  </w:style>
  <w:style w:type="paragraph" w:styleId="TOC6">
    <w:name w:val="toc 6"/>
    <w:basedOn w:val="Normal"/>
    <w:next w:val="Normal"/>
    <w:autoRedefine/>
    <w:uiPriority w:val="39"/>
    <w:rsid w:val="00C05702"/>
    <w:pPr>
      <w:tabs>
        <w:tab w:val="clear" w:pos="851"/>
      </w:tabs>
      <w:spacing w:after="0"/>
      <w:ind w:left="960"/>
      <w:jc w:val="left"/>
    </w:pPr>
    <w:rPr>
      <w:rFonts w:asciiTheme="minorHAnsi" w:hAnsiTheme="minorHAnsi"/>
      <w:sz w:val="20"/>
      <w:szCs w:val="20"/>
    </w:rPr>
  </w:style>
  <w:style w:type="paragraph" w:styleId="TOC7">
    <w:name w:val="toc 7"/>
    <w:basedOn w:val="Normal"/>
    <w:next w:val="Normal"/>
    <w:autoRedefine/>
    <w:uiPriority w:val="39"/>
    <w:rsid w:val="00C05702"/>
    <w:pPr>
      <w:tabs>
        <w:tab w:val="clear" w:pos="851"/>
      </w:tabs>
      <w:spacing w:after="0"/>
      <w:ind w:left="1200"/>
      <w:jc w:val="left"/>
    </w:pPr>
    <w:rPr>
      <w:rFonts w:asciiTheme="minorHAnsi" w:hAnsiTheme="minorHAnsi"/>
      <w:sz w:val="20"/>
      <w:szCs w:val="20"/>
    </w:rPr>
  </w:style>
  <w:style w:type="paragraph" w:styleId="TOC8">
    <w:name w:val="toc 8"/>
    <w:basedOn w:val="Normal"/>
    <w:next w:val="Normal"/>
    <w:autoRedefine/>
    <w:uiPriority w:val="39"/>
    <w:rsid w:val="00C05702"/>
    <w:pPr>
      <w:tabs>
        <w:tab w:val="clear" w:pos="851"/>
      </w:tabs>
      <w:spacing w:after="0"/>
      <w:ind w:left="1440"/>
      <w:jc w:val="left"/>
    </w:pPr>
    <w:rPr>
      <w:rFonts w:asciiTheme="minorHAnsi" w:hAnsiTheme="minorHAnsi"/>
      <w:sz w:val="20"/>
      <w:szCs w:val="20"/>
    </w:rPr>
  </w:style>
  <w:style w:type="paragraph" w:styleId="TOC9">
    <w:name w:val="toc 9"/>
    <w:basedOn w:val="Normal"/>
    <w:next w:val="Normal"/>
    <w:autoRedefine/>
    <w:uiPriority w:val="39"/>
    <w:rsid w:val="00C05702"/>
    <w:pPr>
      <w:tabs>
        <w:tab w:val="clear" w:pos="851"/>
      </w:tabs>
      <w:spacing w:after="0"/>
      <w:ind w:left="1680"/>
      <w:jc w:val="left"/>
    </w:pPr>
    <w:rPr>
      <w:rFonts w:asciiTheme="minorHAnsi" w:hAnsiTheme="minorHAnsi"/>
      <w:sz w:val="20"/>
      <w:szCs w:val="20"/>
    </w:rPr>
  </w:style>
  <w:style w:type="character" w:styleId="Hyperlink">
    <w:name w:val="Hyperlink"/>
    <w:basedOn w:val="DefaultParagraphFont"/>
    <w:uiPriority w:val="99"/>
    <w:rsid w:val="00C05702"/>
    <w:rPr>
      <w:color w:val="0000FF"/>
      <w:u w:val="single"/>
    </w:rPr>
  </w:style>
  <w:style w:type="paragraph" w:customStyle="1" w:styleId="Bullets">
    <w:name w:val="Bullets"/>
    <w:basedOn w:val="Normal"/>
    <w:qFormat/>
    <w:rsid w:val="00AC1F11"/>
    <w:pPr>
      <w:numPr>
        <w:numId w:val="4"/>
      </w:numPr>
      <w:spacing w:after="0"/>
    </w:pPr>
  </w:style>
  <w:style w:type="paragraph" w:customStyle="1" w:styleId="Bullets2">
    <w:name w:val="Bullets2"/>
    <w:basedOn w:val="Bullets"/>
    <w:qFormat/>
    <w:rsid w:val="00DF5C03"/>
    <w:pPr>
      <w:numPr>
        <w:numId w:val="5"/>
      </w:numPr>
      <w:ind w:left="1775" w:hanging="357"/>
    </w:pPr>
  </w:style>
  <w:style w:type="paragraph" w:customStyle="1" w:styleId="StyleLeftBefore0cmAfter0pt">
    <w:name w:val="Style Left Before:  0 cm After:  0 pt"/>
    <w:basedOn w:val="Normal"/>
    <w:rsid w:val="00BD1EDE"/>
    <w:pPr>
      <w:spacing w:after="0"/>
      <w:ind w:left="0"/>
      <w:jc w:val="left"/>
    </w:pPr>
  </w:style>
  <w:style w:type="paragraph" w:styleId="CommentText">
    <w:name w:val="annotation text"/>
    <w:basedOn w:val="Normal"/>
    <w:link w:val="CommentTextChar"/>
    <w:uiPriority w:val="99"/>
    <w:unhideWhenUsed/>
    <w:rsid w:val="00830616"/>
    <w:pPr>
      <w:tabs>
        <w:tab w:val="clear" w:pos="851"/>
      </w:tabs>
      <w:spacing w:after="160"/>
      <w:ind w:left="0"/>
      <w:jc w:val="left"/>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30616"/>
    <w:rPr>
      <w:rFonts w:asciiTheme="minorHAnsi" w:eastAsiaTheme="minorHAnsi" w:hAnsiTheme="minorHAnsi" w:cstheme="minorBidi"/>
      <w:lang w:eastAsia="en-US"/>
    </w:rPr>
  </w:style>
  <w:style w:type="paragraph" w:customStyle="1" w:styleId="Bullet-1">
    <w:name w:val="Bullet - 1"/>
    <w:basedOn w:val="ListParagraph"/>
    <w:link w:val="Bullet-1CharChar"/>
    <w:qFormat/>
    <w:rsid w:val="00830616"/>
    <w:pPr>
      <w:numPr>
        <w:numId w:val="6"/>
      </w:numPr>
      <w:tabs>
        <w:tab w:val="clear" w:pos="851"/>
      </w:tabs>
      <w:spacing w:before="120" w:after="0" w:line="240" w:lineRule="auto"/>
      <w:ind w:left="714" w:hanging="357"/>
      <w:contextualSpacing w:val="0"/>
      <w:jc w:val="both"/>
    </w:pPr>
    <w:rPr>
      <w:rFonts w:ascii="Trebuchet MS" w:hAnsi="Trebuchet MS"/>
      <w:sz w:val="20"/>
      <w:szCs w:val="20"/>
      <w:lang w:eastAsia="en-GB"/>
    </w:rPr>
  </w:style>
  <w:style w:type="character" w:customStyle="1" w:styleId="Bullet-1CharChar">
    <w:name w:val="Bullet - 1 Char Char"/>
    <w:link w:val="Bullet-1"/>
    <w:rsid w:val="00830616"/>
    <w:rPr>
      <w:rFonts w:ascii="Trebuchet MS" w:hAnsi="Trebuchet MS"/>
    </w:rPr>
  </w:style>
  <w:style w:type="paragraph" w:customStyle="1" w:styleId="Bullet-2">
    <w:name w:val="Bullet - 2"/>
    <w:basedOn w:val="ListParagraph"/>
    <w:qFormat/>
    <w:rsid w:val="00830616"/>
    <w:pPr>
      <w:numPr>
        <w:ilvl w:val="1"/>
        <w:numId w:val="6"/>
      </w:numPr>
      <w:tabs>
        <w:tab w:val="clear" w:pos="851"/>
        <w:tab w:val="num" w:pos="360"/>
      </w:tabs>
      <w:spacing w:before="120" w:after="0"/>
      <w:ind w:left="1434" w:hanging="357"/>
      <w:jc w:val="both"/>
    </w:pPr>
    <w:rPr>
      <w:rFonts w:ascii="Trebuchet MS" w:hAnsi="Trebuchet MS"/>
      <w:sz w:val="20"/>
      <w:szCs w:val="20"/>
      <w:lang w:eastAsia="en-GB"/>
    </w:rPr>
  </w:style>
  <w:style w:type="table" w:styleId="ListTable3-Accent1">
    <w:name w:val="List Table 3 Accent 1"/>
    <w:basedOn w:val="TableNormal"/>
    <w:uiPriority w:val="46"/>
    <w:rsid w:val="00830616"/>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uiPriority w:val="99"/>
    <w:unhideWhenUsed/>
    <w:rsid w:val="005C23DF"/>
    <w:pPr>
      <w:tabs>
        <w:tab w:val="clear" w:pos="851"/>
      </w:tabs>
      <w:spacing w:before="100" w:beforeAutospacing="1" w:after="100" w:afterAutospacing="1"/>
      <w:ind w:left="0"/>
      <w:jc w:val="left"/>
    </w:pPr>
    <w:rPr>
      <w:rFonts w:ascii="Times New Roman" w:hAnsi="Times New Roman"/>
    </w:rPr>
  </w:style>
  <w:style w:type="character" w:customStyle="1" w:styleId="HeaderChar">
    <w:name w:val="Header Char"/>
    <w:basedOn w:val="DefaultParagraphFont"/>
    <w:link w:val="Header"/>
    <w:uiPriority w:val="99"/>
    <w:rsid w:val="005C23DF"/>
    <w:rPr>
      <w:rFonts w:ascii="Arial" w:hAnsi="Arial"/>
      <w:b/>
      <w:i/>
      <w:szCs w:val="24"/>
    </w:rPr>
  </w:style>
  <w:style w:type="character" w:customStyle="1" w:styleId="FooterChar">
    <w:name w:val="Footer Char"/>
    <w:basedOn w:val="DefaultParagraphFont"/>
    <w:link w:val="Footer"/>
    <w:uiPriority w:val="99"/>
    <w:rsid w:val="005C23DF"/>
    <w:rPr>
      <w:rFonts w:ascii="Arial" w:hAnsi="Arial"/>
      <w:b/>
      <w:i/>
      <w:szCs w:val="24"/>
    </w:rPr>
  </w:style>
  <w:style w:type="character" w:customStyle="1" w:styleId="BalloonTextChar">
    <w:name w:val="Balloon Text Char"/>
    <w:basedOn w:val="DefaultParagraphFont"/>
    <w:link w:val="BalloonText"/>
    <w:uiPriority w:val="99"/>
    <w:semiHidden/>
    <w:rsid w:val="005C23DF"/>
    <w:rPr>
      <w:rFonts w:ascii="Tahoma" w:hAnsi="Tahoma" w:cs="Tahoma"/>
      <w:sz w:val="16"/>
      <w:szCs w:val="16"/>
    </w:rPr>
  </w:style>
  <w:style w:type="character" w:customStyle="1" w:styleId="Heading1Char">
    <w:name w:val="Heading 1 Char"/>
    <w:basedOn w:val="DefaultParagraphFont"/>
    <w:link w:val="Heading1"/>
    <w:uiPriority w:val="9"/>
    <w:rsid w:val="0019042F"/>
    <w:rPr>
      <w:rFonts w:ascii="Arial" w:hAnsi="Arial" w:cs="Arial"/>
      <w:b/>
      <w:bCs/>
      <w:caps/>
      <w:color w:val="2E74B5" w:themeColor="accent1" w:themeShade="BF"/>
      <w:kern w:val="32"/>
      <w:sz w:val="24"/>
      <w:szCs w:val="32"/>
    </w:rPr>
  </w:style>
  <w:style w:type="table" w:customStyle="1" w:styleId="TableGrid1">
    <w:name w:val="Table Grid1"/>
    <w:basedOn w:val="TableNormal"/>
    <w:next w:val="TableGrid"/>
    <w:uiPriority w:val="39"/>
    <w:rsid w:val="00C2397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54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F15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F15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A56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A56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A56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56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A56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E2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2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2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B7D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B7D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B7D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B7D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B7D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6B7D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B7D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1230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55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55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93C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393C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614D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14D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A56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A56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6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EA56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B45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63A37"/>
    <w:rPr>
      <w:rFonts w:asciiTheme="minorHAnsi" w:eastAsiaTheme="minorHAnsi" w:hAnsiTheme="minorHAnsi" w:cstheme="minorBidi"/>
      <w:sz w:val="22"/>
      <w:szCs w:val="22"/>
      <w:lang w:eastAsia="en-US"/>
    </w:rPr>
  </w:style>
  <w:style w:type="table" w:customStyle="1" w:styleId="TableGrid32">
    <w:name w:val="Table Grid32"/>
    <w:basedOn w:val="TableNormal"/>
    <w:next w:val="TableGrid"/>
    <w:uiPriority w:val="39"/>
    <w:rsid w:val="007D0A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D0A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816A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85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CD58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CD58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368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F368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F368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F368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4A2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F19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SParagraph">
    <w:name w:val="ICS Paragraph"/>
    <w:basedOn w:val="Normal"/>
    <w:qFormat/>
    <w:rsid w:val="00C500A4"/>
    <w:pPr>
      <w:tabs>
        <w:tab w:val="clear" w:pos="851"/>
      </w:tabs>
      <w:spacing w:after="120"/>
      <w:ind w:left="567"/>
    </w:pPr>
    <w:rPr>
      <w:rFonts w:ascii="Trebuchet MS" w:eastAsia="MS Mincho" w:hAnsi="Trebuchet MS"/>
      <w:color w:val="4C4C4C"/>
      <w:sz w:val="22"/>
      <w:szCs w:val="22"/>
      <w:lang w:val="en-US" w:eastAsia="en-US"/>
    </w:rPr>
  </w:style>
  <w:style w:type="table" w:customStyle="1" w:styleId="TableGrid42">
    <w:name w:val="Table Grid42"/>
    <w:basedOn w:val="TableNormal"/>
    <w:next w:val="TableGrid"/>
    <w:uiPriority w:val="39"/>
    <w:rsid w:val="00C500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7D5E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E366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8813E5"/>
    <w:pPr>
      <w:tabs>
        <w:tab w:val="clear" w:pos="851"/>
      </w:tabs>
      <w:spacing w:after="0"/>
      <w:ind w:left="0"/>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8813E5"/>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8813E5"/>
    <w:rPr>
      <w:vertAlign w:val="superscript"/>
    </w:rPr>
  </w:style>
  <w:style w:type="table" w:customStyle="1" w:styleId="TableGrid45">
    <w:name w:val="Table Grid45"/>
    <w:basedOn w:val="TableNormal"/>
    <w:next w:val="TableGrid"/>
    <w:uiPriority w:val="39"/>
    <w:rsid w:val="006776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F76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F76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B24F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B24F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B24F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9C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B75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C629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ED68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uiPriority w:val="39"/>
    <w:rsid w:val="004D14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AB5B6F"/>
    <w:rPr>
      <w:sz w:val="16"/>
      <w:szCs w:val="16"/>
    </w:rPr>
  </w:style>
  <w:style w:type="paragraph" w:styleId="TOCHeading">
    <w:name w:val="TOC Heading"/>
    <w:basedOn w:val="Heading1"/>
    <w:next w:val="Normal"/>
    <w:uiPriority w:val="39"/>
    <w:unhideWhenUsed/>
    <w:qFormat/>
    <w:rsid w:val="006D4981"/>
    <w:pPr>
      <w:keepLines/>
      <w:numPr>
        <w:numId w:val="0"/>
      </w:numPr>
      <w:tabs>
        <w:tab w:val="clear" w:pos="851"/>
      </w:tabs>
      <w:spacing w:before="240" w:after="0" w:line="259" w:lineRule="auto"/>
      <w:jc w:val="left"/>
      <w:outlineLvl w:val="9"/>
    </w:pPr>
    <w:rPr>
      <w:rFonts w:asciiTheme="majorHAnsi" w:eastAsiaTheme="majorEastAsia" w:hAnsiTheme="majorHAnsi" w:cstheme="majorBidi"/>
      <w:b w:val="0"/>
      <w:bCs w:val="0"/>
      <w:caps w:val="0"/>
      <w:kern w:val="0"/>
      <w:sz w:val="32"/>
      <w:lang w:val="en-US" w:eastAsia="en-US"/>
    </w:rPr>
  </w:style>
  <w:style w:type="table" w:customStyle="1" w:styleId="TableGrid50">
    <w:name w:val="Table Grid50"/>
    <w:basedOn w:val="TableNormal"/>
    <w:next w:val="TableGrid"/>
    <w:uiPriority w:val="39"/>
    <w:rsid w:val="00DC0E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1">
    <w:name w:val="Table Grid36111"/>
    <w:basedOn w:val="TableNormal"/>
    <w:next w:val="TableGrid"/>
    <w:uiPriority w:val="39"/>
    <w:rsid w:val="00DC0E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60D6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60D6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60D6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60D6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60D6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246A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212F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E59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0F2153"/>
    <w:pPr>
      <w:tabs>
        <w:tab w:val="left" w:pos="851"/>
      </w:tabs>
      <w:spacing w:after="240"/>
      <w:ind w:left="851"/>
      <w:jc w:val="both"/>
    </w:pPr>
    <w:rPr>
      <w:rFonts w:ascii="Arial" w:eastAsia="Times New Roman" w:hAnsi="Arial" w:cs="Times New Roman"/>
      <w:b/>
      <w:bCs/>
      <w:lang w:eastAsia="en-GB"/>
    </w:rPr>
  </w:style>
  <w:style w:type="character" w:customStyle="1" w:styleId="CommentSubjectChar">
    <w:name w:val="Comment Subject Char"/>
    <w:basedOn w:val="CommentTextChar"/>
    <w:link w:val="CommentSubject"/>
    <w:uiPriority w:val="99"/>
    <w:rsid w:val="000F2153"/>
    <w:rPr>
      <w:rFonts w:ascii="Arial" w:eastAsiaTheme="minorHAnsi" w:hAnsi="Arial" w:cstheme="minorBidi"/>
      <w:b/>
      <w:bCs/>
      <w:lang w:eastAsia="en-US"/>
    </w:rPr>
  </w:style>
  <w:style w:type="table" w:customStyle="1" w:styleId="TableGrid59">
    <w:name w:val="Table Grid59"/>
    <w:basedOn w:val="TableNormal"/>
    <w:next w:val="TableGrid"/>
    <w:uiPriority w:val="39"/>
    <w:rsid w:val="00FB1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FB14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2EC"/>
    <w:rPr>
      <w:rFonts w:ascii="Arial" w:hAnsi="Arial" w:cs="Arial"/>
      <w:b/>
      <w:bCs/>
      <w:iCs/>
      <w:color w:val="2E74B5" w:themeColor="accent1" w:themeShade="BF"/>
      <w:sz w:val="24"/>
      <w:szCs w:val="28"/>
      <w:u w:val="single"/>
    </w:rPr>
  </w:style>
  <w:style w:type="character" w:customStyle="1" w:styleId="Heading3Char">
    <w:name w:val="Heading 3 Char"/>
    <w:basedOn w:val="DefaultParagraphFont"/>
    <w:link w:val="Heading3"/>
    <w:uiPriority w:val="9"/>
    <w:rsid w:val="004132EC"/>
    <w:rPr>
      <w:rFonts w:ascii="Arial" w:hAnsi="Arial" w:cs="Arial"/>
      <w:b/>
      <w:bCs/>
      <w:color w:val="2E74B5" w:themeColor="accent1" w:themeShade="BF"/>
      <w:sz w:val="24"/>
      <w:szCs w:val="26"/>
    </w:rPr>
  </w:style>
  <w:style w:type="character" w:customStyle="1" w:styleId="Heading4Char">
    <w:name w:val="Heading 4 Char"/>
    <w:basedOn w:val="DefaultParagraphFont"/>
    <w:link w:val="Heading4"/>
    <w:rsid w:val="004132EC"/>
    <w:rPr>
      <w:rFonts w:ascii="Arial" w:hAnsi="Arial"/>
      <w:bCs/>
      <w:i/>
      <w:sz w:val="24"/>
      <w:szCs w:val="28"/>
    </w:rPr>
  </w:style>
  <w:style w:type="character" w:customStyle="1" w:styleId="Heading5Char">
    <w:name w:val="Heading 5 Char"/>
    <w:basedOn w:val="DefaultParagraphFont"/>
    <w:link w:val="Heading5"/>
    <w:uiPriority w:val="99"/>
    <w:rsid w:val="004132EC"/>
    <w:rPr>
      <w:rFonts w:ascii="Arial" w:hAnsi="Arial"/>
      <w:b/>
      <w:bCs/>
      <w:i/>
      <w:iCs/>
      <w:sz w:val="26"/>
      <w:szCs w:val="26"/>
    </w:rPr>
  </w:style>
  <w:style w:type="character" w:customStyle="1" w:styleId="Heading6Char">
    <w:name w:val="Heading 6 Char"/>
    <w:basedOn w:val="DefaultParagraphFont"/>
    <w:link w:val="Heading6"/>
    <w:rsid w:val="004132EC"/>
    <w:rPr>
      <w:b/>
      <w:bCs/>
      <w:sz w:val="22"/>
      <w:szCs w:val="22"/>
    </w:rPr>
  </w:style>
  <w:style w:type="character" w:customStyle="1" w:styleId="Heading7Char">
    <w:name w:val="Heading 7 Char"/>
    <w:basedOn w:val="DefaultParagraphFont"/>
    <w:link w:val="Heading7"/>
    <w:rsid w:val="004132EC"/>
    <w:rPr>
      <w:sz w:val="24"/>
      <w:szCs w:val="24"/>
    </w:rPr>
  </w:style>
  <w:style w:type="character" w:customStyle="1" w:styleId="Heading8Char">
    <w:name w:val="Heading 8 Char"/>
    <w:basedOn w:val="DefaultParagraphFont"/>
    <w:link w:val="Heading8"/>
    <w:uiPriority w:val="99"/>
    <w:rsid w:val="004132EC"/>
    <w:rPr>
      <w:i/>
      <w:iCs/>
      <w:sz w:val="24"/>
      <w:szCs w:val="24"/>
    </w:rPr>
  </w:style>
  <w:style w:type="character" w:customStyle="1" w:styleId="Heading9Char">
    <w:name w:val="Heading 9 Char"/>
    <w:basedOn w:val="DefaultParagraphFont"/>
    <w:link w:val="Heading9"/>
    <w:rsid w:val="004132EC"/>
    <w:rPr>
      <w:rFonts w:ascii="Arial" w:hAnsi="Arial" w:cs="Arial"/>
      <w:sz w:val="22"/>
      <w:szCs w:val="22"/>
    </w:rPr>
  </w:style>
  <w:style w:type="paragraph" w:styleId="Caption">
    <w:name w:val="caption"/>
    <w:basedOn w:val="Normal"/>
    <w:next w:val="Normal"/>
    <w:link w:val="CaptionChar"/>
    <w:qFormat/>
    <w:rsid w:val="004132EC"/>
    <w:pPr>
      <w:tabs>
        <w:tab w:val="clear" w:pos="851"/>
      </w:tabs>
      <w:spacing w:after="0" w:line="264" w:lineRule="auto"/>
      <w:ind w:left="0"/>
    </w:pPr>
    <w:rPr>
      <w:rFonts w:ascii="Trebuchet MS" w:hAnsi="Trebuchet MS"/>
      <w:b/>
      <w:bCs/>
      <w:sz w:val="20"/>
      <w:szCs w:val="20"/>
      <w:lang w:eastAsia="en-US"/>
    </w:rPr>
  </w:style>
  <w:style w:type="character" w:customStyle="1" w:styleId="CaptionChar">
    <w:name w:val="Caption Char"/>
    <w:link w:val="Caption"/>
    <w:rsid w:val="004132EC"/>
    <w:rPr>
      <w:rFonts w:ascii="Trebuchet MS" w:hAnsi="Trebuchet MS"/>
      <w:b/>
      <w:bCs/>
      <w:lang w:eastAsia="en-US"/>
    </w:rPr>
  </w:style>
  <w:style w:type="paragraph" w:customStyle="1" w:styleId="bullet2">
    <w:name w:val="bullet2"/>
    <w:basedOn w:val="Normal"/>
    <w:rsid w:val="004132EC"/>
    <w:pPr>
      <w:numPr>
        <w:numId w:val="25"/>
      </w:numPr>
      <w:tabs>
        <w:tab w:val="clear" w:pos="360"/>
        <w:tab w:val="clear" w:pos="851"/>
        <w:tab w:val="left" w:pos="720"/>
      </w:tabs>
      <w:spacing w:after="0"/>
      <w:ind w:left="720" w:hanging="720"/>
    </w:pPr>
    <w:rPr>
      <w:rFonts w:ascii="Trebuchet MS" w:hAnsi="Trebuchet MS"/>
      <w:lang w:eastAsia="en-US"/>
    </w:rPr>
  </w:style>
  <w:style w:type="table" w:customStyle="1" w:styleId="TableGrid60">
    <w:name w:val="Table Grid60"/>
    <w:basedOn w:val="TableNormal"/>
    <w:next w:val="TableGrid"/>
    <w:uiPriority w:val="39"/>
    <w:rsid w:val="00105E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105E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105E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105E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105E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105E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39"/>
    <w:rsid w:val="00817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9622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39"/>
    <w:rsid w:val="00123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C2402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BD6F93"/>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655D4"/>
    <w:pPr>
      <w:numPr>
        <w:ilvl w:val="1"/>
      </w:numPr>
      <w:tabs>
        <w:tab w:val="clear" w:pos="851"/>
      </w:tabs>
      <w:spacing w:after="160" w:line="259" w:lineRule="auto"/>
      <w:ind w:left="851"/>
      <w:jc w:val="left"/>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A655D4"/>
    <w:rPr>
      <w:rFonts w:asciiTheme="minorHAnsi" w:eastAsiaTheme="minorEastAsia" w:hAnsiTheme="minorHAnsi" w:cstheme="minorBidi"/>
      <w:color w:val="5A5A5A" w:themeColor="text1" w:themeTint="A5"/>
      <w:spacing w:val="15"/>
      <w:sz w:val="22"/>
      <w:szCs w:val="22"/>
      <w:lang w:eastAsia="en-US"/>
    </w:rPr>
  </w:style>
  <w:style w:type="character" w:customStyle="1" w:styleId="ListParagraphChar">
    <w:name w:val="List Paragraph Char"/>
    <w:basedOn w:val="DefaultParagraphFont"/>
    <w:link w:val="ListParagraph"/>
    <w:uiPriority w:val="34"/>
    <w:locked/>
    <w:rsid w:val="00A655D4"/>
    <w:rPr>
      <w:rFonts w:ascii="Calibri" w:hAnsi="Calibri"/>
      <w:sz w:val="22"/>
      <w:szCs w:val="22"/>
      <w:lang w:eastAsia="en-US"/>
    </w:rPr>
  </w:style>
  <w:style w:type="paragraph" w:styleId="Revision">
    <w:name w:val="Revision"/>
    <w:hidden/>
    <w:uiPriority w:val="99"/>
    <w:semiHidden/>
    <w:rsid w:val="00A655D4"/>
    <w:rPr>
      <w:rFonts w:asciiTheme="minorHAnsi" w:eastAsiaTheme="minorHAnsi" w:hAnsiTheme="minorHAnsi" w:cstheme="minorBidi"/>
      <w:sz w:val="24"/>
      <w:szCs w:val="24"/>
      <w:lang w:eastAsia="en-US"/>
    </w:rPr>
  </w:style>
  <w:style w:type="table" w:customStyle="1" w:styleId="TableGrid69">
    <w:name w:val="Table Grid69"/>
    <w:basedOn w:val="TableNormal"/>
    <w:next w:val="TableGrid"/>
    <w:uiPriority w:val="39"/>
    <w:rsid w:val="00A655D4"/>
    <w:rPr>
      <w:rFonts w:ascii="Calibri" w:hAnsi="Calibr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A655D4"/>
    <w:rPr>
      <w:rFonts w:ascii="Calibri" w:hAnsi="Calibr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4B4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CD5A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A01A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BA20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701">
      <w:bodyDiv w:val="1"/>
      <w:marLeft w:val="0"/>
      <w:marRight w:val="0"/>
      <w:marTop w:val="0"/>
      <w:marBottom w:val="0"/>
      <w:divBdr>
        <w:top w:val="none" w:sz="0" w:space="0" w:color="auto"/>
        <w:left w:val="none" w:sz="0" w:space="0" w:color="auto"/>
        <w:bottom w:val="none" w:sz="0" w:space="0" w:color="auto"/>
        <w:right w:val="none" w:sz="0" w:space="0" w:color="auto"/>
      </w:divBdr>
    </w:div>
    <w:div w:id="27486980">
      <w:bodyDiv w:val="1"/>
      <w:marLeft w:val="0"/>
      <w:marRight w:val="0"/>
      <w:marTop w:val="0"/>
      <w:marBottom w:val="0"/>
      <w:divBdr>
        <w:top w:val="none" w:sz="0" w:space="0" w:color="auto"/>
        <w:left w:val="none" w:sz="0" w:space="0" w:color="auto"/>
        <w:bottom w:val="none" w:sz="0" w:space="0" w:color="auto"/>
        <w:right w:val="none" w:sz="0" w:space="0" w:color="auto"/>
      </w:divBdr>
    </w:div>
    <w:div w:id="28653756">
      <w:bodyDiv w:val="1"/>
      <w:marLeft w:val="0"/>
      <w:marRight w:val="0"/>
      <w:marTop w:val="0"/>
      <w:marBottom w:val="0"/>
      <w:divBdr>
        <w:top w:val="none" w:sz="0" w:space="0" w:color="auto"/>
        <w:left w:val="none" w:sz="0" w:space="0" w:color="auto"/>
        <w:bottom w:val="none" w:sz="0" w:space="0" w:color="auto"/>
        <w:right w:val="none" w:sz="0" w:space="0" w:color="auto"/>
      </w:divBdr>
    </w:div>
    <w:div w:id="98188115">
      <w:bodyDiv w:val="1"/>
      <w:marLeft w:val="0"/>
      <w:marRight w:val="0"/>
      <w:marTop w:val="0"/>
      <w:marBottom w:val="0"/>
      <w:divBdr>
        <w:top w:val="none" w:sz="0" w:space="0" w:color="auto"/>
        <w:left w:val="none" w:sz="0" w:space="0" w:color="auto"/>
        <w:bottom w:val="none" w:sz="0" w:space="0" w:color="auto"/>
        <w:right w:val="none" w:sz="0" w:space="0" w:color="auto"/>
      </w:divBdr>
    </w:div>
    <w:div w:id="136846616">
      <w:bodyDiv w:val="1"/>
      <w:marLeft w:val="0"/>
      <w:marRight w:val="0"/>
      <w:marTop w:val="0"/>
      <w:marBottom w:val="0"/>
      <w:divBdr>
        <w:top w:val="none" w:sz="0" w:space="0" w:color="auto"/>
        <w:left w:val="none" w:sz="0" w:space="0" w:color="auto"/>
        <w:bottom w:val="none" w:sz="0" w:space="0" w:color="auto"/>
        <w:right w:val="none" w:sz="0" w:space="0" w:color="auto"/>
      </w:divBdr>
    </w:div>
    <w:div w:id="215089896">
      <w:bodyDiv w:val="1"/>
      <w:marLeft w:val="0"/>
      <w:marRight w:val="0"/>
      <w:marTop w:val="0"/>
      <w:marBottom w:val="0"/>
      <w:divBdr>
        <w:top w:val="none" w:sz="0" w:space="0" w:color="auto"/>
        <w:left w:val="none" w:sz="0" w:space="0" w:color="auto"/>
        <w:bottom w:val="none" w:sz="0" w:space="0" w:color="auto"/>
        <w:right w:val="none" w:sz="0" w:space="0" w:color="auto"/>
      </w:divBdr>
    </w:div>
    <w:div w:id="294915949">
      <w:bodyDiv w:val="1"/>
      <w:marLeft w:val="0"/>
      <w:marRight w:val="0"/>
      <w:marTop w:val="0"/>
      <w:marBottom w:val="0"/>
      <w:divBdr>
        <w:top w:val="none" w:sz="0" w:space="0" w:color="auto"/>
        <w:left w:val="none" w:sz="0" w:space="0" w:color="auto"/>
        <w:bottom w:val="none" w:sz="0" w:space="0" w:color="auto"/>
        <w:right w:val="none" w:sz="0" w:space="0" w:color="auto"/>
      </w:divBdr>
    </w:div>
    <w:div w:id="300356006">
      <w:bodyDiv w:val="1"/>
      <w:marLeft w:val="0"/>
      <w:marRight w:val="0"/>
      <w:marTop w:val="0"/>
      <w:marBottom w:val="0"/>
      <w:divBdr>
        <w:top w:val="none" w:sz="0" w:space="0" w:color="auto"/>
        <w:left w:val="none" w:sz="0" w:space="0" w:color="auto"/>
        <w:bottom w:val="none" w:sz="0" w:space="0" w:color="auto"/>
        <w:right w:val="none" w:sz="0" w:space="0" w:color="auto"/>
      </w:divBdr>
    </w:div>
    <w:div w:id="306321888">
      <w:bodyDiv w:val="1"/>
      <w:marLeft w:val="0"/>
      <w:marRight w:val="0"/>
      <w:marTop w:val="0"/>
      <w:marBottom w:val="0"/>
      <w:divBdr>
        <w:top w:val="none" w:sz="0" w:space="0" w:color="auto"/>
        <w:left w:val="none" w:sz="0" w:space="0" w:color="auto"/>
        <w:bottom w:val="none" w:sz="0" w:space="0" w:color="auto"/>
        <w:right w:val="none" w:sz="0" w:space="0" w:color="auto"/>
      </w:divBdr>
    </w:div>
    <w:div w:id="325204456">
      <w:bodyDiv w:val="1"/>
      <w:marLeft w:val="0"/>
      <w:marRight w:val="0"/>
      <w:marTop w:val="0"/>
      <w:marBottom w:val="0"/>
      <w:divBdr>
        <w:top w:val="none" w:sz="0" w:space="0" w:color="auto"/>
        <w:left w:val="none" w:sz="0" w:space="0" w:color="auto"/>
        <w:bottom w:val="none" w:sz="0" w:space="0" w:color="auto"/>
        <w:right w:val="none" w:sz="0" w:space="0" w:color="auto"/>
      </w:divBdr>
    </w:div>
    <w:div w:id="369962611">
      <w:bodyDiv w:val="1"/>
      <w:marLeft w:val="0"/>
      <w:marRight w:val="0"/>
      <w:marTop w:val="0"/>
      <w:marBottom w:val="0"/>
      <w:divBdr>
        <w:top w:val="none" w:sz="0" w:space="0" w:color="auto"/>
        <w:left w:val="none" w:sz="0" w:space="0" w:color="auto"/>
        <w:bottom w:val="none" w:sz="0" w:space="0" w:color="auto"/>
        <w:right w:val="none" w:sz="0" w:space="0" w:color="auto"/>
      </w:divBdr>
    </w:div>
    <w:div w:id="454906618">
      <w:bodyDiv w:val="1"/>
      <w:marLeft w:val="0"/>
      <w:marRight w:val="0"/>
      <w:marTop w:val="0"/>
      <w:marBottom w:val="0"/>
      <w:divBdr>
        <w:top w:val="none" w:sz="0" w:space="0" w:color="auto"/>
        <w:left w:val="none" w:sz="0" w:space="0" w:color="auto"/>
        <w:bottom w:val="none" w:sz="0" w:space="0" w:color="auto"/>
        <w:right w:val="none" w:sz="0" w:space="0" w:color="auto"/>
      </w:divBdr>
    </w:div>
    <w:div w:id="463935101">
      <w:bodyDiv w:val="1"/>
      <w:marLeft w:val="0"/>
      <w:marRight w:val="0"/>
      <w:marTop w:val="0"/>
      <w:marBottom w:val="0"/>
      <w:divBdr>
        <w:top w:val="none" w:sz="0" w:space="0" w:color="auto"/>
        <w:left w:val="none" w:sz="0" w:space="0" w:color="auto"/>
        <w:bottom w:val="none" w:sz="0" w:space="0" w:color="auto"/>
        <w:right w:val="none" w:sz="0" w:space="0" w:color="auto"/>
      </w:divBdr>
    </w:div>
    <w:div w:id="496270174">
      <w:bodyDiv w:val="1"/>
      <w:marLeft w:val="0"/>
      <w:marRight w:val="0"/>
      <w:marTop w:val="0"/>
      <w:marBottom w:val="0"/>
      <w:divBdr>
        <w:top w:val="none" w:sz="0" w:space="0" w:color="auto"/>
        <w:left w:val="none" w:sz="0" w:space="0" w:color="auto"/>
        <w:bottom w:val="none" w:sz="0" w:space="0" w:color="auto"/>
        <w:right w:val="none" w:sz="0" w:space="0" w:color="auto"/>
      </w:divBdr>
    </w:div>
    <w:div w:id="507447934">
      <w:bodyDiv w:val="1"/>
      <w:marLeft w:val="0"/>
      <w:marRight w:val="0"/>
      <w:marTop w:val="0"/>
      <w:marBottom w:val="0"/>
      <w:divBdr>
        <w:top w:val="none" w:sz="0" w:space="0" w:color="auto"/>
        <w:left w:val="none" w:sz="0" w:space="0" w:color="auto"/>
        <w:bottom w:val="none" w:sz="0" w:space="0" w:color="auto"/>
        <w:right w:val="none" w:sz="0" w:space="0" w:color="auto"/>
      </w:divBdr>
    </w:div>
    <w:div w:id="583926354">
      <w:bodyDiv w:val="1"/>
      <w:marLeft w:val="0"/>
      <w:marRight w:val="0"/>
      <w:marTop w:val="0"/>
      <w:marBottom w:val="0"/>
      <w:divBdr>
        <w:top w:val="none" w:sz="0" w:space="0" w:color="auto"/>
        <w:left w:val="none" w:sz="0" w:space="0" w:color="auto"/>
        <w:bottom w:val="none" w:sz="0" w:space="0" w:color="auto"/>
        <w:right w:val="none" w:sz="0" w:space="0" w:color="auto"/>
      </w:divBdr>
    </w:div>
    <w:div w:id="650645952">
      <w:bodyDiv w:val="1"/>
      <w:marLeft w:val="0"/>
      <w:marRight w:val="0"/>
      <w:marTop w:val="0"/>
      <w:marBottom w:val="0"/>
      <w:divBdr>
        <w:top w:val="none" w:sz="0" w:space="0" w:color="auto"/>
        <w:left w:val="none" w:sz="0" w:space="0" w:color="auto"/>
        <w:bottom w:val="none" w:sz="0" w:space="0" w:color="auto"/>
        <w:right w:val="none" w:sz="0" w:space="0" w:color="auto"/>
      </w:divBdr>
    </w:div>
    <w:div w:id="650906215">
      <w:bodyDiv w:val="1"/>
      <w:marLeft w:val="0"/>
      <w:marRight w:val="0"/>
      <w:marTop w:val="0"/>
      <w:marBottom w:val="0"/>
      <w:divBdr>
        <w:top w:val="none" w:sz="0" w:space="0" w:color="auto"/>
        <w:left w:val="none" w:sz="0" w:space="0" w:color="auto"/>
        <w:bottom w:val="none" w:sz="0" w:space="0" w:color="auto"/>
        <w:right w:val="none" w:sz="0" w:space="0" w:color="auto"/>
      </w:divBdr>
    </w:div>
    <w:div w:id="662465696">
      <w:bodyDiv w:val="1"/>
      <w:marLeft w:val="0"/>
      <w:marRight w:val="0"/>
      <w:marTop w:val="0"/>
      <w:marBottom w:val="0"/>
      <w:divBdr>
        <w:top w:val="none" w:sz="0" w:space="0" w:color="auto"/>
        <w:left w:val="none" w:sz="0" w:space="0" w:color="auto"/>
        <w:bottom w:val="none" w:sz="0" w:space="0" w:color="auto"/>
        <w:right w:val="none" w:sz="0" w:space="0" w:color="auto"/>
      </w:divBdr>
    </w:div>
    <w:div w:id="688338744">
      <w:bodyDiv w:val="1"/>
      <w:marLeft w:val="0"/>
      <w:marRight w:val="0"/>
      <w:marTop w:val="0"/>
      <w:marBottom w:val="0"/>
      <w:divBdr>
        <w:top w:val="none" w:sz="0" w:space="0" w:color="auto"/>
        <w:left w:val="none" w:sz="0" w:space="0" w:color="auto"/>
        <w:bottom w:val="none" w:sz="0" w:space="0" w:color="auto"/>
        <w:right w:val="none" w:sz="0" w:space="0" w:color="auto"/>
      </w:divBdr>
    </w:div>
    <w:div w:id="692995277">
      <w:bodyDiv w:val="1"/>
      <w:marLeft w:val="0"/>
      <w:marRight w:val="0"/>
      <w:marTop w:val="0"/>
      <w:marBottom w:val="0"/>
      <w:divBdr>
        <w:top w:val="none" w:sz="0" w:space="0" w:color="auto"/>
        <w:left w:val="none" w:sz="0" w:space="0" w:color="auto"/>
        <w:bottom w:val="none" w:sz="0" w:space="0" w:color="auto"/>
        <w:right w:val="none" w:sz="0" w:space="0" w:color="auto"/>
      </w:divBdr>
    </w:div>
    <w:div w:id="704794833">
      <w:bodyDiv w:val="1"/>
      <w:marLeft w:val="0"/>
      <w:marRight w:val="0"/>
      <w:marTop w:val="0"/>
      <w:marBottom w:val="0"/>
      <w:divBdr>
        <w:top w:val="none" w:sz="0" w:space="0" w:color="auto"/>
        <w:left w:val="none" w:sz="0" w:space="0" w:color="auto"/>
        <w:bottom w:val="none" w:sz="0" w:space="0" w:color="auto"/>
        <w:right w:val="none" w:sz="0" w:space="0" w:color="auto"/>
      </w:divBdr>
    </w:div>
    <w:div w:id="735129928">
      <w:bodyDiv w:val="1"/>
      <w:marLeft w:val="0"/>
      <w:marRight w:val="0"/>
      <w:marTop w:val="0"/>
      <w:marBottom w:val="0"/>
      <w:divBdr>
        <w:top w:val="none" w:sz="0" w:space="0" w:color="auto"/>
        <w:left w:val="none" w:sz="0" w:space="0" w:color="auto"/>
        <w:bottom w:val="none" w:sz="0" w:space="0" w:color="auto"/>
        <w:right w:val="none" w:sz="0" w:space="0" w:color="auto"/>
      </w:divBdr>
    </w:div>
    <w:div w:id="741297981">
      <w:bodyDiv w:val="1"/>
      <w:marLeft w:val="0"/>
      <w:marRight w:val="0"/>
      <w:marTop w:val="0"/>
      <w:marBottom w:val="0"/>
      <w:divBdr>
        <w:top w:val="none" w:sz="0" w:space="0" w:color="auto"/>
        <w:left w:val="none" w:sz="0" w:space="0" w:color="auto"/>
        <w:bottom w:val="none" w:sz="0" w:space="0" w:color="auto"/>
        <w:right w:val="none" w:sz="0" w:space="0" w:color="auto"/>
      </w:divBdr>
    </w:div>
    <w:div w:id="800803465">
      <w:bodyDiv w:val="1"/>
      <w:marLeft w:val="0"/>
      <w:marRight w:val="0"/>
      <w:marTop w:val="0"/>
      <w:marBottom w:val="0"/>
      <w:divBdr>
        <w:top w:val="none" w:sz="0" w:space="0" w:color="auto"/>
        <w:left w:val="none" w:sz="0" w:space="0" w:color="auto"/>
        <w:bottom w:val="none" w:sz="0" w:space="0" w:color="auto"/>
        <w:right w:val="none" w:sz="0" w:space="0" w:color="auto"/>
      </w:divBdr>
    </w:div>
    <w:div w:id="847211413">
      <w:bodyDiv w:val="1"/>
      <w:marLeft w:val="0"/>
      <w:marRight w:val="0"/>
      <w:marTop w:val="0"/>
      <w:marBottom w:val="0"/>
      <w:divBdr>
        <w:top w:val="none" w:sz="0" w:space="0" w:color="auto"/>
        <w:left w:val="none" w:sz="0" w:space="0" w:color="auto"/>
        <w:bottom w:val="none" w:sz="0" w:space="0" w:color="auto"/>
        <w:right w:val="none" w:sz="0" w:space="0" w:color="auto"/>
      </w:divBdr>
    </w:div>
    <w:div w:id="929316826">
      <w:bodyDiv w:val="1"/>
      <w:marLeft w:val="0"/>
      <w:marRight w:val="0"/>
      <w:marTop w:val="0"/>
      <w:marBottom w:val="0"/>
      <w:divBdr>
        <w:top w:val="none" w:sz="0" w:space="0" w:color="auto"/>
        <w:left w:val="none" w:sz="0" w:space="0" w:color="auto"/>
        <w:bottom w:val="none" w:sz="0" w:space="0" w:color="auto"/>
        <w:right w:val="none" w:sz="0" w:space="0" w:color="auto"/>
      </w:divBdr>
    </w:div>
    <w:div w:id="934749297">
      <w:bodyDiv w:val="1"/>
      <w:marLeft w:val="0"/>
      <w:marRight w:val="0"/>
      <w:marTop w:val="0"/>
      <w:marBottom w:val="0"/>
      <w:divBdr>
        <w:top w:val="none" w:sz="0" w:space="0" w:color="auto"/>
        <w:left w:val="none" w:sz="0" w:space="0" w:color="auto"/>
        <w:bottom w:val="none" w:sz="0" w:space="0" w:color="auto"/>
        <w:right w:val="none" w:sz="0" w:space="0" w:color="auto"/>
      </w:divBdr>
    </w:div>
    <w:div w:id="980816420">
      <w:bodyDiv w:val="1"/>
      <w:marLeft w:val="0"/>
      <w:marRight w:val="0"/>
      <w:marTop w:val="0"/>
      <w:marBottom w:val="0"/>
      <w:divBdr>
        <w:top w:val="none" w:sz="0" w:space="0" w:color="auto"/>
        <w:left w:val="none" w:sz="0" w:space="0" w:color="auto"/>
        <w:bottom w:val="none" w:sz="0" w:space="0" w:color="auto"/>
        <w:right w:val="none" w:sz="0" w:space="0" w:color="auto"/>
      </w:divBdr>
    </w:div>
    <w:div w:id="998113563">
      <w:bodyDiv w:val="1"/>
      <w:marLeft w:val="0"/>
      <w:marRight w:val="0"/>
      <w:marTop w:val="0"/>
      <w:marBottom w:val="0"/>
      <w:divBdr>
        <w:top w:val="none" w:sz="0" w:space="0" w:color="auto"/>
        <w:left w:val="none" w:sz="0" w:space="0" w:color="auto"/>
        <w:bottom w:val="none" w:sz="0" w:space="0" w:color="auto"/>
        <w:right w:val="none" w:sz="0" w:space="0" w:color="auto"/>
      </w:divBdr>
    </w:div>
    <w:div w:id="1010371199">
      <w:bodyDiv w:val="1"/>
      <w:marLeft w:val="0"/>
      <w:marRight w:val="0"/>
      <w:marTop w:val="0"/>
      <w:marBottom w:val="0"/>
      <w:divBdr>
        <w:top w:val="none" w:sz="0" w:space="0" w:color="auto"/>
        <w:left w:val="none" w:sz="0" w:space="0" w:color="auto"/>
        <w:bottom w:val="none" w:sz="0" w:space="0" w:color="auto"/>
        <w:right w:val="none" w:sz="0" w:space="0" w:color="auto"/>
      </w:divBdr>
    </w:div>
    <w:div w:id="1069117495">
      <w:bodyDiv w:val="1"/>
      <w:marLeft w:val="0"/>
      <w:marRight w:val="0"/>
      <w:marTop w:val="0"/>
      <w:marBottom w:val="0"/>
      <w:divBdr>
        <w:top w:val="none" w:sz="0" w:space="0" w:color="auto"/>
        <w:left w:val="none" w:sz="0" w:space="0" w:color="auto"/>
        <w:bottom w:val="none" w:sz="0" w:space="0" w:color="auto"/>
        <w:right w:val="none" w:sz="0" w:space="0" w:color="auto"/>
      </w:divBdr>
    </w:div>
    <w:div w:id="1135366950">
      <w:bodyDiv w:val="1"/>
      <w:marLeft w:val="0"/>
      <w:marRight w:val="0"/>
      <w:marTop w:val="0"/>
      <w:marBottom w:val="0"/>
      <w:divBdr>
        <w:top w:val="none" w:sz="0" w:space="0" w:color="auto"/>
        <w:left w:val="none" w:sz="0" w:space="0" w:color="auto"/>
        <w:bottom w:val="none" w:sz="0" w:space="0" w:color="auto"/>
        <w:right w:val="none" w:sz="0" w:space="0" w:color="auto"/>
      </w:divBdr>
    </w:div>
    <w:div w:id="1146628437">
      <w:bodyDiv w:val="1"/>
      <w:marLeft w:val="0"/>
      <w:marRight w:val="0"/>
      <w:marTop w:val="0"/>
      <w:marBottom w:val="0"/>
      <w:divBdr>
        <w:top w:val="none" w:sz="0" w:space="0" w:color="auto"/>
        <w:left w:val="none" w:sz="0" w:space="0" w:color="auto"/>
        <w:bottom w:val="none" w:sz="0" w:space="0" w:color="auto"/>
        <w:right w:val="none" w:sz="0" w:space="0" w:color="auto"/>
      </w:divBdr>
    </w:div>
    <w:div w:id="1157762784">
      <w:bodyDiv w:val="1"/>
      <w:marLeft w:val="0"/>
      <w:marRight w:val="0"/>
      <w:marTop w:val="0"/>
      <w:marBottom w:val="0"/>
      <w:divBdr>
        <w:top w:val="none" w:sz="0" w:space="0" w:color="auto"/>
        <w:left w:val="none" w:sz="0" w:space="0" w:color="auto"/>
        <w:bottom w:val="none" w:sz="0" w:space="0" w:color="auto"/>
        <w:right w:val="none" w:sz="0" w:space="0" w:color="auto"/>
      </w:divBdr>
    </w:div>
    <w:div w:id="1177041107">
      <w:bodyDiv w:val="1"/>
      <w:marLeft w:val="0"/>
      <w:marRight w:val="0"/>
      <w:marTop w:val="0"/>
      <w:marBottom w:val="0"/>
      <w:divBdr>
        <w:top w:val="none" w:sz="0" w:space="0" w:color="auto"/>
        <w:left w:val="none" w:sz="0" w:space="0" w:color="auto"/>
        <w:bottom w:val="none" w:sz="0" w:space="0" w:color="auto"/>
        <w:right w:val="none" w:sz="0" w:space="0" w:color="auto"/>
      </w:divBdr>
    </w:div>
    <w:div w:id="1273391226">
      <w:bodyDiv w:val="1"/>
      <w:marLeft w:val="0"/>
      <w:marRight w:val="0"/>
      <w:marTop w:val="0"/>
      <w:marBottom w:val="0"/>
      <w:divBdr>
        <w:top w:val="none" w:sz="0" w:space="0" w:color="auto"/>
        <w:left w:val="none" w:sz="0" w:space="0" w:color="auto"/>
        <w:bottom w:val="none" w:sz="0" w:space="0" w:color="auto"/>
        <w:right w:val="none" w:sz="0" w:space="0" w:color="auto"/>
      </w:divBdr>
    </w:div>
    <w:div w:id="1351680874">
      <w:bodyDiv w:val="1"/>
      <w:marLeft w:val="0"/>
      <w:marRight w:val="0"/>
      <w:marTop w:val="0"/>
      <w:marBottom w:val="0"/>
      <w:divBdr>
        <w:top w:val="none" w:sz="0" w:space="0" w:color="auto"/>
        <w:left w:val="none" w:sz="0" w:space="0" w:color="auto"/>
        <w:bottom w:val="none" w:sz="0" w:space="0" w:color="auto"/>
        <w:right w:val="none" w:sz="0" w:space="0" w:color="auto"/>
      </w:divBdr>
    </w:div>
    <w:div w:id="1438213161">
      <w:bodyDiv w:val="1"/>
      <w:marLeft w:val="0"/>
      <w:marRight w:val="0"/>
      <w:marTop w:val="0"/>
      <w:marBottom w:val="0"/>
      <w:divBdr>
        <w:top w:val="none" w:sz="0" w:space="0" w:color="auto"/>
        <w:left w:val="none" w:sz="0" w:space="0" w:color="auto"/>
        <w:bottom w:val="none" w:sz="0" w:space="0" w:color="auto"/>
        <w:right w:val="none" w:sz="0" w:space="0" w:color="auto"/>
      </w:divBdr>
    </w:div>
    <w:div w:id="1477141574">
      <w:bodyDiv w:val="1"/>
      <w:marLeft w:val="0"/>
      <w:marRight w:val="0"/>
      <w:marTop w:val="0"/>
      <w:marBottom w:val="0"/>
      <w:divBdr>
        <w:top w:val="none" w:sz="0" w:space="0" w:color="auto"/>
        <w:left w:val="none" w:sz="0" w:space="0" w:color="auto"/>
        <w:bottom w:val="none" w:sz="0" w:space="0" w:color="auto"/>
        <w:right w:val="none" w:sz="0" w:space="0" w:color="auto"/>
      </w:divBdr>
    </w:div>
    <w:div w:id="1594707217">
      <w:bodyDiv w:val="1"/>
      <w:marLeft w:val="0"/>
      <w:marRight w:val="0"/>
      <w:marTop w:val="0"/>
      <w:marBottom w:val="0"/>
      <w:divBdr>
        <w:top w:val="none" w:sz="0" w:space="0" w:color="auto"/>
        <w:left w:val="none" w:sz="0" w:space="0" w:color="auto"/>
        <w:bottom w:val="none" w:sz="0" w:space="0" w:color="auto"/>
        <w:right w:val="none" w:sz="0" w:space="0" w:color="auto"/>
      </w:divBdr>
    </w:div>
    <w:div w:id="1721904907">
      <w:bodyDiv w:val="1"/>
      <w:marLeft w:val="0"/>
      <w:marRight w:val="0"/>
      <w:marTop w:val="0"/>
      <w:marBottom w:val="0"/>
      <w:divBdr>
        <w:top w:val="none" w:sz="0" w:space="0" w:color="auto"/>
        <w:left w:val="none" w:sz="0" w:space="0" w:color="auto"/>
        <w:bottom w:val="none" w:sz="0" w:space="0" w:color="auto"/>
        <w:right w:val="none" w:sz="0" w:space="0" w:color="auto"/>
      </w:divBdr>
    </w:div>
    <w:div w:id="1726760705">
      <w:bodyDiv w:val="1"/>
      <w:marLeft w:val="0"/>
      <w:marRight w:val="0"/>
      <w:marTop w:val="0"/>
      <w:marBottom w:val="0"/>
      <w:divBdr>
        <w:top w:val="none" w:sz="0" w:space="0" w:color="auto"/>
        <w:left w:val="none" w:sz="0" w:space="0" w:color="auto"/>
        <w:bottom w:val="none" w:sz="0" w:space="0" w:color="auto"/>
        <w:right w:val="none" w:sz="0" w:space="0" w:color="auto"/>
      </w:divBdr>
    </w:div>
    <w:div w:id="1729845006">
      <w:bodyDiv w:val="1"/>
      <w:marLeft w:val="0"/>
      <w:marRight w:val="0"/>
      <w:marTop w:val="0"/>
      <w:marBottom w:val="0"/>
      <w:divBdr>
        <w:top w:val="none" w:sz="0" w:space="0" w:color="auto"/>
        <w:left w:val="none" w:sz="0" w:space="0" w:color="auto"/>
        <w:bottom w:val="none" w:sz="0" w:space="0" w:color="auto"/>
        <w:right w:val="none" w:sz="0" w:space="0" w:color="auto"/>
      </w:divBdr>
    </w:div>
    <w:div w:id="1782335067">
      <w:bodyDiv w:val="1"/>
      <w:marLeft w:val="0"/>
      <w:marRight w:val="0"/>
      <w:marTop w:val="0"/>
      <w:marBottom w:val="0"/>
      <w:divBdr>
        <w:top w:val="none" w:sz="0" w:space="0" w:color="auto"/>
        <w:left w:val="none" w:sz="0" w:space="0" w:color="auto"/>
        <w:bottom w:val="none" w:sz="0" w:space="0" w:color="auto"/>
        <w:right w:val="none" w:sz="0" w:space="0" w:color="auto"/>
      </w:divBdr>
    </w:div>
    <w:div w:id="1851944937">
      <w:bodyDiv w:val="1"/>
      <w:marLeft w:val="0"/>
      <w:marRight w:val="0"/>
      <w:marTop w:val="0"/>
      <w:marBottom w:val="0"/>
      <w:divBdr>
        <w:top w:val="none" w:sz="0" w:space="0" w:color="auto"/>
        <w:left w:val="none" w:sz="0" w:space="0" w:color="auto"/>
        <w:bottom w:val="none" w:sz="0" w:space="0" w:color="auto"/>
        <w:right w:val="none" w:sz="0" w:space="0" w:color="auto"/>
      </w:divBdr>
    </w:div>
    <w:div w:id="1864591045">
      <w:bodyDiv w:val="1"/>
      <w:marLeft w:val="0"/>
      <w:marRight w:val="0"/>
      <w:marTop w:val="0"/>
      <w:marBottom w:val="0"/>
      <w:divBdr>
        <w:top w:val="none" w:sz="0" w:space="0" w:color="auto"/>
        <w:left w:val="none" w:sz="0" w:space="0" w:color="auto"/>
        <w:bottom w:val="none" w:sz="0" w:space="0" w:color="auto"/>
        <w:right w:val="none" w:sz="0" w:space="0" w:color="auto"/>
      </w:divBdr>
    </w:div>
    <w:div w:id="209304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0.emf"/><Relationship Id="rId38" Type="http://schemas.openxmlformats.org/officeDocument/2006/relationships/image" Target="media/image24.jpeg"/><Relationship Id="rId46" Type="http://schemas.openxmlformats.org/officeDocument/2006/relationships/image" Target="cid:image005.png@01D43F73.FFF9B1D0"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cpes-interreg.eu/"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chart" Target="charts/chart2.xml"/><Relationship Id="rId37" Type="http://schemas.openxmlformats.org/officeDocument/2006/relationships/image" Target="cid:image001.png@01D41AAF.4D155670" TargetMode="External"/><Relationship Id="rId40" Type="http://schemas.openxmlformats.org/officeDocument/2006/relationships/image" Target="media/image26.emf"/><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www.cleanwaterpartnership.co.uk" TargetMode="External"/><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chart" Target="charts/chart1.xml"/><Relationship Id="rId44" Type="http://schemas.openxmlformats.org/officeDocument/2006/relationships/image" Target="cid:image005.png@01D43F73.D41A9D9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UK Customer Satisfaction Index (UKCSI)</c:v>
                </c:pt>
              </c:strCache>
            </c:strRef>
          </c:tx>
          <c:spPr>
            <a:solidFill>
              <a:schemeClr val="accent1"/>
            </a:solidFill>
            <a:ln>
              <a:noFill/>
            </a:ln>
            <a:effectLst/>
          </c:spPr>
          <c:invertIfNegative val="0"/>
          <c:dPt>
            <c:idx val="3"/>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17E5-4AC8-B0D5-BE721B4D4D9B}"/>
              </c:ext>
            </c:extLst>
          </c:dPt>
          <c:dLbls>
            <c:dLbl>
              <c:idx val="3"/>
              <c:tx>
                <c:rich>
                  <a:bodyPr/>
                  <a:lstStyle/>
                  <a:p>
                    <a:fld id="{A82A17D8-A3A0-48C1-8138-724F021B268C}" type="VALUE">
                      <a:rPr lang="en-US" b="1"/>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7E5-4AC8-B0D5-BE721B4D4D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Sheet1!$A$2:$A$29</c:f>
              <c:strCache>
                <c:ptCount val="28"/>
                <c:pt idx="1">
                  <c:v>Utilities</c:v>
                </c:pt>
                <c:pt idx="2">
                  <c:v>OVO Energy</c:v>
                </c:pt>
                <c:pt idx="3">
                  <c:v>Portsmouth Water</c:v>
                </c:pt>
                <c:pt idx="5">
                  <c:v>Wessex Water</c:v>
                </c:pt>
                <c:pt idx="7">
                  <c:v>Severn Trent Water</c:v>
                </c:pt>
                <c:pt idx="9">
                  <c:v>First Utility</c:v>
                </c:pt>
                <c:pt idx="11">
                  <c:v>Power NI</c:v>
                </c:pt>
                <c:pt idx="13">
                  <c:v>M&amp;S Energy</c:v>
                </c:pt>
                <c:pt idx="15">
                  <c:v>Scottish and Southern Energy</c:v>
                </c:pt>
                <c:pt idx="17">
                  <c:v>EDF Energy</c:v>
                </c:pt>
                <c:pt idx="19">
                  <c:v>South West Water</c:v>
                </c:pt>
                <c:pt idx="21">
                  <c:v>Scottish Water</c:v>
                </c:pt>
                <c:pt idx="23">
                  <c:v>The Co-Operative Energy</c:v>
                </c:pt>
                <c:pt idx="25">
                  <c:v>Thames Water</c:v>
                </c:pt>
                <c:pt idx="27">
                  <c:v>npower</c:v>
                </c:pt>
              </c:strCache>
            </c:strRef>
          </c:cat>
          <c:val>
            <c:numRef>
              <c:f>Sheet1!$B$2:$B$29</c:f>
              <c:numCache>
                <c:formatCode>General</c:formatCode>
                <c:ptCount val="28"/>
                <c:pt idx="0">
                  <c:v>78.2</c:v>
                </c:pt>
                <c:pt idx="1">
                  <c:v>75.099999999999994</c:v>
                </c:pt>
                <c:pt idx="2">
                  <c:v>81.8</c:v>
                </c:pt>
                <c:pt idx="3">
                  <c:v>81.099999999999994</c:v>
                </c:pt>
                <c:pt idx="4">
                  <c:v>80.400000000000006</c:v>
                </c:pt>
                <c:pt idx="5">
                  <c:v>79.8</c:v>
                </c:pt>
                <c:pt idx="6">
                  <c:v>79.5</c:v>
                </c:pt>
                <c:pt idx="7">
                  <c:v>78.8</c:v>
                </c:pt>
                <c:pt idx="8">
                  <c:v>78.599999999999994</c:v>
                </c:pt>
                <c:pt idx="9">
                  <c:v>78.3</c:v>
                </c:pt>
                <c:pt idx="10">
                  <c:v>78</c:v>
                </c:pt>
                <c:pt idx="11">
                  <c:v>77.099999999999994</c:v>
                </c:pt>
                <c:pt idx="12">
                  <c:v>77.099999999999994</c:v>
                </c:pt>
                <c:pt idx="13">
                  <c:v>76.2</c:v>
                </c:pt>
                <c:pt idx="14">
                  <c:v>75.8</c:v>
                </c:pt>
                <c:pt idx="15">
                  <c:v>75.5</c:v>
                </c:pt>
                <c:pt idx="16">
                  <c:v>75.3</c:v>
                </c:pt>
                <c:pt idx="17">
                  <c:v>75.099999999999994</c:v>
                </c:pt>
                <c:pt idx="18">
                  <c:v>75</c:v>
                </c:pt>
                <c:pt idx="19">
                  <c:v>75</c:v>
                </c:pt>
                <c:pt idx="20">
                  <c:v>74.8</c:v>
                </c:pt>
                <c:pt idx="21">
                  <c:v>74.5</c:v>
                </c:pt>
                <c:pt idx="22">
                  <c:v>73.3</c:v>
                </c:pt>
                <c:pt idx="23">
                  <c:v>72.8</c:v>
                </c:pt>
                <c:pt idx="24">
                  <c:v>72.5</c:v>
                </c:pt>
                <c:pt idx="25">
                  <c:v>71.5</c:v>
                </c:pt>
                <c:pt idx="26">
                  <c:v>70.099999999999994</c:v>
                </c:pt>
                <c:pt idx="27">
                  <c:v>69.7</c:v>
                </c:pt>
              </c:numCache>
            </c:numRef>
          </c:val>
          <c:extLst>
            <c:ext xmlns:c16="http://schemas.microsoft.com/office/drawing/2014/chart" uri="{C3380CC4-5D6E-409C-BE32-E72D297353CC}">
              <c16:uniqueId val="{00000002-17E5-4AC8-B0D5-BE721B4D4D9B}"/>
            </c:ext>
          </c:extLst>
        </c:ser>
        <c:dLbls>
          <c:dLblPos val="outEnd"/>
          <c:showLegendKey val="0"/>
          <c:showVal val="1"/>
          <c:showCatName val="0"/>
          <c:showSerName val="0"/>
          <c:showPercent val="0"/>
          <c:showBubbleSize val="0"/>
        </c:dLbls>
        <c:gapWidth val="182"/>
        <c:axId val="402456824"/>
        <c:axId val="402457216"/>
      </c:barChart>
      <c:catAx>
        <c:axId val="4024568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457216"/>
        <c:crosses val="autoZero"/>
        <c:auto val="1"/>
        <c:lblAlgn val="ctr"/>
        <c:lblOffset val="100"/>
        <c:noMultiLvlLbl val="0"/>
      </c:catAx>
      <c:valAx>
        <c:axId val="40245721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456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Customer Satisfaction</a:t>
            </a:r>
            <a:r>
              <a:rPr lang="en-GB" baseline="0"/>
              <a:t> Index</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567015813908334E-2"/>
          <c:y val="0.10516384146896889"/>
          <c:w val="0.8921457473033837"/>
          <c:h val="0.66181039229872307"/>
        </c:manualLayout>
      </c:layout>
      <c:lineChart>
        <c:grouping val="standard"/>
        <c:varyColors val="0"/>
        <c:ser>
          <c:idx val="0"/>
          <c:order val="0"/>
          <c:tx>
            <c:strRef>
              <c:f>Sheet1!$B$34</c:f>
              <c:strCache>
                <c:ptCount val="1"/>
                <c:pt idx="0">
                  <c:v>Utilities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Sheet1!$A$35:$A$52</c:f>
              <c:numCache>
                <c:formatCode>mmm\-yy</c:formatCode>
                <c:ptCount val="18"/>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numCache>
            </c:numRef>
          </c:cat>
          <c:val>
            <c:numRef>
              <c:f>Sheet1!$B$35:$B$52</c:f>
              <c:numCache>
                <c:formatCode>General</c:formatCode>
                <c:ptCount val="18"/>
                <c:pt idx="0">
                  <c:v>64.5</c:v>
                </c:pt>
                <c:pt idx="1">
                  <c:v>66.099999999999994</c:v>
                </c:pt>
                <c:pt idx="2">
                  <c:v>67.900000000000006</c:v>
                </c:pt>
                <c:pt idx="3">
                  <c:v>69.599999999999994</c:v>
                </c:pt>
                <c:pt idx="4">
                  <c:v>71.900000000000006</c:v>
                </c:pt>
                <c:pt idx="5">
                  <c:v>72.400000000000006</c:v>
                </c:pt>
                <c:pt idx="6">
                  <c:v>71.599999999999994</c:v>
                </c:pt>
                <c:pt idx="7">
                  <c:v>72.3</c:v>
                </c:pt>
                <c:pt idx="8">
                  <c:v>72.400000000000006</c:v>
                </c:pt>
                <c:pt idx="9">
                  <c:v>71</c:v>
                </c:pt>
                <c:pt idx="10">
                  <c:v>69</c:v>
                </c:pt>
                <c:pt idx="11">
                  <c:v>69.400000000000006</c:v>
                </c:pt>
                <c:pt idx="12">
                  <c:v>70.900000000000006</c:v>
                </c:pt>
                <c:pt idx="13">
                  <c:v>71.400000000000006</c:v>
                </c:pt>
                <c:pt idx="14">
                  <c:v>72.8</c:v>
                </c:pt>
                <c:pt idx="15">
                  <c:v>73.3</c:v>
                </c:pt>
                <c:pt idx="16">
                  <c:v>74.400000000000006</c:v>
                </c:pt>
                <c:pt idx="17">
                  <c:v>75.099999999999994</c:v>
                </c:pt>
              </c:numCache>
            </c:numRef>
          </c:val>
          <c:smooth val="0"/>
          <c:extLst>
            <c:ext xmlns:c16="http://schemas.microsoft.com/office/drawing/2014/chart" uri="{C3380CC4-5D6E-409C-BE32-E72D297353CC}">
              <c16:uniqueId val="{00000000-7767-44B7-A499-D8F1E99F8BC3}"/>
            </c:ext>
          </c:extLst>
        </c:ser>
        <c:ser>
          <c:idx val="1"/>
          <c:order val="1"/>
          <c:tx>
            <c:strRef>
              <c:f>Sheet1!$C$34</c:f>
              <c:strCache>
                <c:ptCount val="1"/>
                <c:pt idx="0">
                  <c:v>UKCSI Overall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Sheet1!$A$35:$A$52</c:f>
              <c:numCache>
                <c:formatCode>mmm\-yy</c:formatCode>
                <c:ptCount val="18"/>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numCache>
            </c:numRef>
          </c:cat>
          <c:val>
            <c:numRef>
              <c:f>Sheet1!$C$35:$C$52</c:f>
              <c:numCache>
                <c:formatCode>General</c:formatCode>
                <c:ptCount val="18"/>
                <c:pt idx="0">
                  <c:v>72</c:v>
                </c:pt>
                <c:pt idx="1">
                  <c:v>74.099999999999994</c:v>
                </c:pt>
                <c:pt idx="2">
                  <c:v>75.2</c:v>
                </c:pt>
                <c:pt idx="3">
                  <c:v>75.599999999999994</c:v>
                </c:pt>
                <c:pt idx="4">
                  <c:v>76.7</c:v>
                </c:pt>
                <c:pt idx="5">
                  <c:v>77.3</c:v>
                </c:pt>
                <c:pt idx="6">
                  <c:v>77.400000000000006</c:v>
                </c:pt>
                <c:pt idx="7">
                  <c:v>78</c:v>
                </c:pt>
                <c:pt idx="8">
                  <c:v>78.2</c:v>
                </c:pt>
                <c:pt idx="9">
                  <c:v>77.900000000000006</c:v>
                </c:pt>
                <c:pt idx="10">
                  <c:v>77.099999999999994</c:v>
                </c:pt>
                <c:pt idx="11">
                  <c:v>76.3</c:v>
                </c:pt>
                <c:pt idx="12">
                  <c:v>76</c:v>
                </c:pt>
                <c:pt idx="13">
                  <c:v>76.2</c:v>
                </c:pt>
                <c:pt idx="14">
                  <c:v>77</c:v>
                </c:pt>
                <c:pt idx="15">
                  <c:v>77.400000000000006</c:v>
                </c:pt>
                <c:pt idx="16">
                  <c:v>77.8</c:v>
                </c:pt>
                <c:pt idx="17">
                  <c:v>78.2</c:v>
                </c:pt>
              </c:numCache>
            </c:numRef>
          </c:val>
          <c:smooth val="0"/>
          <c:extLst>
            <c:ext xmlns:c16="http://schemas.microsoft.com/office/drawing/2014/chart" uri="{C3380CC4-5D6E-409C-BE32-E72D297353CC}">
              <c16:uniqueId val="{00000001-7767-44B7-A499-D8F1E99F8BC3}"/>
            </c:ext>
          </c:extLst>
        </c:ser>
        <c:ser>
          <c:idx val="2"/>
          <c:order val="2"/>
          <c:tx>
            <c:strRef>
              <c:f>Sheet1!$D$34</c:f>
              <c:strCache>
                <c:ptCount val="1"/>
                <c:pt idx="0">
                  <c:v>Portsmouth Water</c:v>
                </c:pt>
              </c:strCache>
            </c:strRef>
          </c:tx>
          <c:spPr>
            <a:ln w="28575" cap="rnd">
              <a:solidFill>
                <a:schemeClr val="accent2"/>
              </a:solidFill>
              <a:round/>
            </a:ln>
            <a:effectLst/>
          </c:spPr>
          <c:marker>
            <c:symbol val="none"/>
          </c:marker>
          <c:dPt>
            <c:idx val="15"/>
            <c:marker>
              <c:symbol val="circle"/>
              <c:size val="5"/>
              <c:spPr>
                <a:solidFill>
                  <a:schemeClr val="accent2"/>
                </a:solidFill>
                <a:ln w="9525">
                  <a:solidFill>
                    <a:schemeClr val="accent2"/>
                  </a:solidFill>
                </a:ln>
                <a:effectLst/>
              </c:spPr>
            </c:marker>
            <c:bubble3D val="0"/>
            <c:extLst>
              <c:ext xmlns:c16="http://schemas.microsoft.com/office/drawing/2014/chart" uri="{C3380CC4-5D6E-409C-BE32-E72D297353CC}">
                <c16:uniqueId val="{00000002-7767-44B7-A499-D8F1E99F8BC3}"/>
              </c:ext>
            </c:extLst>
          </c:dPt>
          <c:dPt>
            <c:idx val="17"/>
            <c:marker>
              <c:symbol val="circle"/>
              <c:size val="5"/>
              <c:spPr>
                <a:solidFill>
                  <a:schemeClr val="accent2"/>
                </a:solidFill>
                <a:ln w="9525">
                  <a:solidFill>
                    <a:schemeClr val="accent2"/>
                  </a:solidFill>
                </a:ln>
                <a:effectLst/>
              </c:spPr>
            </c:marker>
            <c:bubble3D val="0"/>
            <c:extLst>
              <c:ext xmlns:c16="http://schemas.microsoft.com/office/drawing/2014/chart" uri="{C3380CC4-5D6E-409C-BE32-E72D297353CC}">
                <c16:uniqueId val="{00000003-7767-44B7-A499-D8F1E99F8BC3}"/>
              </c:ext>
            </c:extLst>
          </c:dPt>
          <c:dLbls>
            <c:dLbl>
              <c:idx val="16"/>
              <c:delete val="1"/>
              <c:extLst>
                <c:ext xmlns:c15="http://schemas.microsoft.com/office/drawing/2012/chart" uri="{CE6537A1-D6FC-4f65-9D91-7224C49458BB}"/>
                <c:ext xmlns:c16="http://schemas.microsoft.com/office/drawing/2014/chart" uri="{C3380CC4-5D6E-409C-BE32-E72D297353CC}">
                  <c16:uniqueId val="{00000004-7767-44B7-A499-D8F1E99F8B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Sheet1!$A$35:$A$52</c:f>
              <c:numCache>
                <c:formatCode>mmm\-yy</c:formatCode>
                <c:ptCount val="18"/>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numCache>
            </c:numRef>
          </c:cat>
          <c:val>
            <c:numRef>
              <c:f>Sheet1!$D$35:$D$52</c:f>
              <c:numCache>
                <c:formatCode>General</c:formatCode>
                <c:ptCount val="18"/>
                <c:pt idx="15">
                  <c:v>79.900000000000006</c:v>
                </c:pt>
                <c:pt idx="16">
                  <c:v>80.5</c:v>
                </c:pt>
                <c:pt idx="17">
                  <c:v>81.099999999999994</c:v>
                </c:pt>
              </c:numCache>
            </c:numRef>
          </c:val>
          <c:smooth val="0"/>
          <c:extLst>
            <c:ext xmlns:c16="http://schemas.microsoft.com/office/drawing/2014/chart" uri="{C3380CC4-5D6E-409C-BE32-E72D297353CC}">
              <c16:uniqueId val="{00000005-7767-44B7-A499-D8F1E99F8BC3}"/>
            </c:ext>
          </c:extLst>
        </c:ser>
        <c:dLbls>
          <c:dLblPos val="b"/>
          <c:showLegendKey val="0"/>
          <c:showVal val="1"/>
          <c:showCatName val="0"/>
          <c:showSerName val="0"/>
          <c:showPercent val="0"/>
          <c:showBubbleSize val="0"/>
        </c:dLbls>
        <c:marker val="1"/>
        <c:smooth val="0"/>
        <c:axId val="402458000"/>
        <c:axId val="329476984"/>
      </c:lineChart>
      <c:dateAx>
        <c:axId val="4024580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476984"/>
        <c:crosses val="autoZero"/>
        <c:auto val="1"/>
        <c:lblOffset val="100"/>
        <c:baseTimeUnit val="months"/>
        <c:majorUnit val="6"/>
        <c:majorTimeUnit val="months"/>
      </c:dateAx>
      <c:valAx>
        <c:axId val="329476984"/>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Customer</a:t>
                </a:r>
                <a:r>
                  <a:rPr lang="en-GB" baseline="0"/>
                  <a:t> Satisfaction Index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45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5CDCC-1BDC-4355-87FB-CF967446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E92B6204</Template>
  <TotalTime>1</TotalTime>
  <Pages>1</Pages>
  <Words>81308</Words>
  <Characters>463458</Characters>
  <Application>Microsoft Office Word</Application>
  <DocSecurity>0</DocSecurity>
  <Lines>3862</Lines>
  <Paragraphs>1087</Paragraphs>
  <ScaleCrop>false</ScaleCrop>
  <HeadingPairs>
    <vt:vector size="2" baseType="variant">
      <vt:variant>
        <vt:lpstr>Title</vt:lpstr>
      </vt:variant>
      <vt:variant>
        <vt:i4>1</vt:i4>
      </vt:variant>
    </vt:vector>
  </HeadingPairs>
  <TitlesOfParts>
    <vt:vector size="1" baseType="lpstr">
      <vt:lpstr>PR19 Business Plan</vt:lpstr>
    </vt:vector>
  </TitlesOfParts>
  <Company>PETA Ltd</Company>
  <LinksUpToDate>false</LinksUpToDate>
  <CharactersWithSpaces>543679</CharactersWithSpaces>
  <SharedDoc>false</SharedDoc>
  <HLinks>
    <vt:vector size="618" baseType="variant">
      <vt:variant>
        <vt:i4>1703987</vt:i4>
      </vt:variant>
      <vt:variant>
        <vt:i4>614</vt:i4>
      </vt:variant>
      <vt:variant>
        <vt:i4>0</vt:i4>
      </vt:variant>
      <vt:variant>
        <vt:i4>5</vt:i4>
      </vt:variant>
      <vt:variant>
        <vt:lpwstr/>
      </vt:variant>
      <vt:variant>
        <vt:lpwstr>_Toc367864176</vt:lpwstr>
      </vt:variant>
      <vt:variant>
        <vt:i4>1703987</vt:i4>
      </vt:variant>
      <vt:variant>
        <vt:i4>608</vt:i4>
      </vt:variant>
      <vt:variant>
        <vt:i4>0</vt:i4>
      </vt:variant>
      <vt:variant>
        <vt:i4>5</vt:i4>
      </vt:variant>
      <vt:variant>
        <vt:lpwstr/>
      </vt:variant>
      <vt:variant>
        <vt:lpwstr>_Toc367864175</vt:lpwstr>
      </vt:variant>
      <vt:variant>
        <vt:i4>1703987</vt:i4>
      </vt:variant>
      <vt:variant>
        <vt:i4>602</vt:i4>
      </vt:variant>
      <vt:variant>
        <vt:i4>0</vt:i4>
      </vt:variant>
      <vt:variant>
        <vt:i4>5</vt:i4>
      </vt:variant>
      <vt:variant>
        <vt:lpwstr/>
      </vt:variant>
      <vt:variant>
        <vt:lpwstr>_Toc367864174</vt:lpwstr>
      </vt:variant>
      <vt:variant>
        <vt:i4>1703987</vt:i4>
      </vt:variant>
      <vt:variant>
        <vt:i4>596</vt:i4>
      </vt:variant>
      <vt:variant>
        <vt:i4>0</vt:i4>
      </vt:variant>
      <vt:variant>
        <vt:i4>5</vt:i4>
      </vt:variant>
      <vt:variant>
        <vt:lpwstr/>
      </vt:variant>
      <vt:variant>
        <vt:lpwstr>_Toc367864173</vt:lpwstr>
      </vt:variant>
      <vt:variant>
        <vt:i4>1703987</vt:i4>
      </vt:variant>
      <vt:variant>
        <vt:i4>590</vt:i4>
      </vt:variant>
      <vt:variant>
        <vt:i4>0</vt:i4>
      </vt:variant>
      <vt:variant>
        <vt:i4>5</vt:i4>
      </vt:variant>
      <vt:variant>
        <vt:lpwstr/>
      </vt:variant>
      <vt:variant>
        <vt:lpwstr>_Toc367864172</vt:lpwstr>
      </vt:variant>
      <vt:variant>
        <vt:i4>1703987</vt:i4>
      </vt:variant>
      <vt:variant>
        <vt:i4>584</vt:i4>
      </vt:variant>
      <vt:variant>
        <vt:i4>0</vt:i4>
      </vt:variant>
      <vt:variant>
        <vt:i4>5</vt:i4>
      </vt:variant>
      <vt:variant>
        <vt:lpwstr/>
      </vt:variant>
      <vt:variant>
        <vt:lpwstr>_Toc367864171</vt:lpwstr>
      </vt:variant>
      <vt:variant>
        <vt:i4>1703987</vt:i4>
      </vt:variant>
      <vt:variant>
        <vt:i4>578</vt:i4>
      </vt:variant>
      <vt:variant>
        <vt:i4>0</vt:i4>
      </vt:variant>
      <vt:variant>
        <vt:i4>5</vt:i4>
      </vt:variant>
      <vt:variant>
        <vt:lpwstr/>
      </vt:variant>
      <vt:variant>
        <vt:lpwstr>_Toc367864170</vt:lpwstr>
      </vt:variant>
      <vt:variant>
        <vt:i4>1769523</vt:i4>
      </vt:variant>
      <vt:variant>
        <vt:i4>572</vt:i4>
      </vt:variant>
      <vt:variant>
        <vt:i4>0</vt:i4>
      </vt:variant>
      <vt:variant>
        <vt:i4>5</vt:i4>
      </vt:variant>
      <vt:variant>
        <vt:lpwstr/>
      </vt:variant>
      <vt:variant>
        <vt:lpwstr>_Toc367864169</vt:lpwstr>
      </vt:variant>
      <vt:variant>
        <vt:i4>1769523</vt:i4>
      </vt:variant>
      <vt:variant>
        <vt:i4>566</vt:i4>
      </vt:variant>
      <vt:variant>
        <vt:i4>0</vt:i4>
      </vt:variant>
      <vt:variant>
        <vt:i4>5</vt:i4>
      </vt:variant>
      <vt:variant>
        <vt:lpwstr/>
      </vt:variant>
      <vt:variant>
        <vt:lpwstr>_Toc367864168</vt:lpwstr>
      </vt:variant>
      <vt:variant>
        <vt:i4>1769523</vt:i4>
      </vt:variant>
      <vt:variant>
        <vt:i4>560</vt:i4>
      </vt:variant>
      <vt:variant>
        <vt:i4>0</vt:i4>
      </vt:variant>
      <vt:variant>
        <vt:i4>5</vt:i4>
      </vt:variant>
      <vt:variant>
        <vt:lpwstr/>
      </vt:variant>
      <vt:variant>
        <vt:lpwstr>_Toc367864167</vt:lpwstr>
      </vt:variant>
      <vt:variant>
        <vt:i4>1769523</vt:i4>
      </vt:variant>
      <vt:variant>
        <vt:i4>554</vt:i4>
      </vt:variant>
      <vt:variant>
        <vt:i4>0</vt:i4>
      </vt:variant>
      <vt:variant>
        <vt:i4>5</vt:i4>
      </vt:variant>
      <vt:variant>
        <vt:lpwstr/>
      </vt:variant>
      <vt:variant>
        <vt:lpwstr>_Toc367864166</vt:lpwstr>
      </vt:variant>
      <vt:variant>
        <vt:i4>1769523</vt:i4>
      </vt:variant>
      <vt:variant>
        <vt:i4>548</vt:i4>
      </vt:variant>
      <vt:variant>
        <vt:i4>0</vt:i4>
      </vt:variant>
      <vt:variant>
        <vt:i4>5</vt:i4>
      </vt:variant>
      <vt:variant>
        <vt:lpwstr/>
      </vt:variant>
      <vt:variant>
        <vt:lpwstr>_Toc367864165</vt:lpwstr>
      </vt:variant>
      <vt:variant>
        <vt:i4>1769523</vt:i4>
      </vt:variant>
      <vt:variant>
        <vt:i4>542</vt:i4>
      </vt:variant>
      <vt:variant>
        <vt:i4>0</vt:i4>
      </vt:variant>
      <vt:variant>
        <vt:i4>5</vt:i4>
      </vt:variant>
      <vt:variant>
        <vt:lpwstr/>
      </vt:variant>
      <vt:variant>
        <vt:lpwstr>_Toc367864164</vt:lpwstr>
      </vt:variant>
      <vt:variant>
        <vt:i4>1769523</vt:i4>
      </vt:variant>
      <vt:variant>
        <vt:i4>536</vt:i4>
      </vt:variant>
      <vt:variant>
        <vt:i4>0</vt:i4>
      </vt:variant>
      <vt:variant>
        <vt:i4>5</vt:i4>
      </vt:variant>
      <vt:variant>
        <vt:lpwstr/>
      </vt:variant>
      <vt:variant>
        <vt:lpwstr>_Toc367864163</vt:lpwstr>
      </vt:variant>
      <vt:variant>
        <vt:i4>1769523</vt:i4>
      </vt:variant>
      <vt:variant>
        <vt:i4>530</vt:i4>
      </vt:variant>
      <vt:variant>
        <vt:i4>0</vt:i4>
      </vt:variant>
      <vt:variant>
        <vt:i4>5</vt:i4>
      </vt:variant>
      <vt:variant>
        <vt:lpwstr/>
      </vt:variant>
      <vt:variant>
        <vt:lpwstr>_Toc367864162</vt:lpwstr>
      </vt:variant>
      <vt:variant>
        <vt:i4>1769523</vt:i4>
      </vt:variant>
      <vt:variant>
        <vt:i4>524</vt:i4>
      </vt:variant>
      <vt:variant>
        <vt:i4>0</vt:i4>
      </vt:variant>
      <vt:variant>
        <vt:i4>5</vt:i4>
      </vt:variant>
      <vt:variant>
        <vt:lpwstr/>
      </vt:variant>
      <vt:variant>
        <vt:lpwstr>_Toc367864161</vt:lpwstr>
      </vt:variant>
      <vt:variant>
        <vt:i4>1769523</vt:i4>
      </vt:variant>
      <vt:variant>
        <vt:i4>518</vt:i4>
      </vt:variant>
      <vt:variant>
        <vt:i4>0</vt:i4>
      </vt:variant>
      <vt:variant>
        <vt:i4>5</vt:i4>
      </vt:variant>
      <vt:variant>
        <vt:lpwstr/>
      </vt:variant>
      <vt:variant>
        <vt:lpwstr>_Toc367864160</vt:lpwstr>
      </vt:variant>
      <vt:variant>
        <vt:i4>1572915</vt:i4>
      </vt:variant>
      <vt:variant>
        <vt:i4>512</vt:i4>
      </vt:variant>
      <vt:variant>
        <vt:i4>0</vt:i4>
      </vt:variant>
      <vt:variant>
        <vt:i4>5</vt:i4>
      </vt:variant>
      <vt:variant>
        <vt:lpwstr/>
      </vt:variant>
      <vt:variant>
        <vt:lpwstr>_Toc367864159</vt:lpwstr>
      </vt:variant>
      <vt:variant>
        <vt:i4>1572915</vt:i4>
      </vt:variant>
      <vt:variant>
        <vt:i4>506</vt:i4>
      </vt:variant>
      <vt:variant>
        <vt:i4>0</vt:i4>
      </vt:variant>
      <vt:variant>
        <vt:i4>5</vt:i4>
      </vt:variant>
      <vt:variant>
        <vt:lpwstr/>
      </vt:variant>
      <vt:variant>
        <vt:lpwstr>_Toc367864158</vt:lpwstr>
      </vt:variant>
      <vt:variant>
        <vt:i4>1572915</vt:i4>
      </vt:variant>
      <vt:variant>
        <vt:i4>500</vt:i4>
      </vt:variant>
      <vt:variant>
        <vt:i4>0</vt:i4>
      </vt:variant>
      <vt:variant>
        <vt:i4>5</vt:i4>
      </vt:variant>
      <vt:variant>
        <vt:lpwstr/>
      </vt:variant>
      <vt:variant>
        <vt:lpwstr>_Toc367864157</vt:lpwstr>
      </vt:variant>
      <vt:variant>
        <vt:i4>1572915</vt:i4>
      </vt:variant>
      <vt:variant>
        <vt:i4>494</vt:i4>
      </vt:variant>
      <vt:variant>
        <vt:i4>0</vt:i4>
      </vt:variant>
      <vt:variant>
        <vt:i4>5</vt:i4>
      </vt:variant>
      <vt:variant>
        <vt:lpwstr/>
      </vt:variant>
      <vt:variant>
        <vt:lpwstr>_Toc367864156</vt:lpwstr>
      </vt:variant>
      <vt:variant>
        <vt:i4>1572915</vt:i4>
      </vt:variant>
      <vt:variant>
        <vt:i4>488</vt:i4>
      </vt:variant>
      <vt:variant>
        <vt:i4>0</vt:i4>
      </vt:variant>
      <vt:variant>
        <vt:i4>5</vt:i4>
      </vt:variant>
      <vt:variant>
        <vt:lpwstr/>
      </vt:variant>
      <vt:variant>
        <vt:lpwstr>_Toc367864155</vt:lpwstr>
      </vt:variant>
      <vt:variant>
        <vt:i4>1572915</vt:i4>
      </vt:variant>
      <vt:variant>
        <vt:i4>482</vt:i4>
      </vt:variant>
      <vt:variant>
        <vt:i4>0</vt:i4>
      </vt:variant>
      <vt:variant>
        <vt:i4>5</vt:i4>
      </vt:variant>
      <vt:variant>
        <vt:lpwstr/>
      </vt:variant>
      <vt:variant>
        <vt:lpwstr>_Toc367864154</vt:lpwstr>
      </vt:variant>
      <vt:variant>
        <vt:i4>1572915</vt:i4>
      </vt:variant>
      <vt:variant>
        <vt:i4>476</vt:i4>
      </vt:variant>
      <vt:variant>
        <vt:i4>0</vt:i4>
      </vt:variant>
      <vt:variant>
        <vt:i4>5</vt:i4>
      </vt:variant>
      <vt:variant>
        <vt:lpwstr/>
      </vt:variant>
      <vt:variant>
        <vt:lpwstr>_Toc367864153</vt:lpwstr>
      </vt:variant>
      <vt:variant>
        <vt:i4>1572915</vt:i4>
      </vt:variant>
      <vt:variant>
        <vt:i4>470</vt:i4>
      </vt:variant>
      <vt:variant>
        <vt:i4>0</vt:i4>
      </vt:variant>
      <vt:variant>
        <vt:i4>5</vt:i4>
      </vt:variant>
      <vt:variant>
        <vt:lpwstr/>
      </vt:variant>
      <vt:variant>
        <vt:lpwstr>_Toc367864152</vt:lpwstr>
      </vt:variant>
      <vt:variant>
        <vt:i4>1572915</vt:i4>
      </vt:variant>
      <vt:variant>
        <vt:i4>464</vt:i4>
      </vt:variant>
      <vt:variant>
        <vt:i4>0</vt:i4>
      </vt:variant>
      <vt:variant>
        <vt:i4>5</vt:i4>
      </vt:variant>
      <vt:variant>
        <vt:lpwstr/>
      </vt:variant>
      <vt:variant>
        <vt:lpwstr>_Toc367864151</vt:lpwstr>
      </vt:variant>
      <vt:variant>
        <vt:i4>1572915</vt:i4>
      </vt:variant>
      <vt:variant>
        <vt:i4>458</vt:i4>
      </vt:variant>
      <vt:variant>
        <vt:i4>0</vt:i4>
      </vt:variant>
      <vt:variant>
        <vt:i4>5</vt:i4>
      </vt:variant>
      <vt:variant>
        <vt:lpwstr/>
      </vt:variant>
      <vt:variant>
        <vt:lpwstr>_Toc367864150</vt:lpwstr>
      </vt:variant>
      <vt:variant>
        <vt:i4>1638451</vt:i4>
      </vt:variant>
      <vt:variant>
        <vt:i4>452</vt:i4>
      </vt:variant>
      <vt:variant>
        <vt:i4>0</vt:i4>
      </vt:variant>
      <vt:variant>
        <vt:i4>5</vt:i4>
      </vt:variant>
      <vt:variant>
        <vt:lpwstr/>
      </vt:variant>
      <vt:variant>
        <vt:lpwstr>_Toc367864149</vt:lpwstr>
      </vt:variant>
      <vt:variant>
        <vt:i4>1638451</vt:i4>
      </vt:variant>
      <vt:variant>
        <vt:i4>446</vt:i4>
      </vt:variant>
      <vt:variant>
        <vt:i4>0</vt:i4>
      </vt:variant>
      <vt:variant>
        <vt:i4>5</vt:i4>
      </vt:variant>
      <vt:variant>
        <vt:lpwstr/>
      </vt:variant>
      <vt:variant>
        <vt:lpwstr>_Toc367864148</vt:lpwstr>
      </vt:variant>
      <vt:variant>
        <vt:i4>1638451</vt:i4>
      </vt:variant>
      <vt:variant>
        <vt:i4>440</vt:i4>
      </vt:variant>
      <vt:variant>
        <vt:i4>0</vt:i4>
      </vt:variant>
      <vt:variant>
        <vt:i4>5</vt:i4>
      </vt:variant>
      <vt:variant>
        <vt:lpwstr/>
      </vt:variant>
      <vt:variant>
        <vt:lpwstr>_Toc367864147</vt:lpwstr>
      </vt:variant>
      <vt:variant>
        <vt:i4>1638451</vt:i4>
      </vt:variant>
      <vt:variant>
        <vt:i4>434</vt:i4>
      </vt:variant>
      <vt:variant>
        <vt:i4>0</vt:i4>
      </vt:variant>
      <vt:variant>
        <vt:i4>5</vt:i4>
      </vt:variant>
      <vt:variant>
        <vt:lpwstr/>
      </vt:variant>
      <vt:variant>
        <vt:lpwstr>_Toc367864146</vt:lpwstr>
      </vt:variant>
      <vt:variant>
        <vt:i4>1638451</vt:i4>
      </vt:variant>
      <vt:variant>
        <vt:i4>428</vt:i4>
      </vt:variant>
      <vt:variant>
        <vt:i4>0</vt:i4>
      </vt:variant>
      <vt:variant>
        <vt:i4>5</vt:i4>
      </vt:variant>
      <vt:variant>
        <vt:lpwstr/>
      </vt:variant>
      <vt:variant>
        <vt:lpwstr>_Toc367864145</vt:lpwstr>
      </vt:variant>
      <vt:variant>
        <vt:i4>1638451</vt:i4>
      </vt:variant>
      <vt:variant>
        <vt:i4>422</vt:i4>
      </vt:variant>
      <vt:variant>
        <vt:i4>0</vt:i4>
      </vt:variant>
      <vt:variant>
        <vt:i4>5</vt:i4>
      </vt:variant>
      <vt:variant>
        <vt:lpwstr/>
      </vt:variant>
      <vt:variant>
        <vt:lpwstr>_Toc367864144</vt:lpwstr>
      </vt:variant>
      <vt:variant>
        <vt:i4>1638451</vt:i4>
      </vt:variant>
      <vt:variant>
        <vt:i4>416</vt:i4>
      </vt:variant>
      <vt:variant>
        <vt:i4>0</vt:i4>
      </vt:variant>
      <vt:variant>
        <vt:i4>5</vt:i4>
      </vt:variant>
      <vt:variant>
        <vt:lpwstr/>
      </vt:variant>
      <vt:variant>
        <vt:lpwstr>_Toc367864143</vt:lpwstr>
      </vt:variant>
      <vt:variant>
        <vt:i4>1638451</vt:i4>
      </vt:variant>
      <vt:variant>
        <vt:i4>410</vt:i4>
      </vt:variant>
      <vt:variant>
        <vt:i4>0</vt:i4>
      </vt:variant>
      <vt:variant>
        <vt:i4>5</vt:i4>
      </vt:variant>
      <vt:variant>
        <vt:lpwstr/>
      </vt:variant>
      <vt:variant>
        <vt:lpwstr>_Toc367864142</vt:lpwstr>
      </vt:variant>
      <vt:variant>
        <vt:i4>1638451</vt:i4>
      </vt:variant>
      <vt:variant>
        <vt:i4>404</vt:i4>
      </vt:variant>
      <vt:variant>
        <vt:i4>0</vt:i4>
      </vt:variant>
      <vt:variant>
        <vt:i4>5</vt:i4>
      </vt:variant>
      <vt:variant>
        <vt:lpwstr/>
      </vt:variant>
      <vt:variant>
        <vt:lpwstr>_Toc367864141</vt:lpwstr>
      </vt:variant>
      <vt:variant>
        <vt:i4>1638451</vt:i4>
      </vt:variant>
      <vt:variant>
        <vt:i4>398</vt:i4>
      </vt:variant>
      <vt:variant>
        <vt:i4>0</vt:i4>
      </vt:variant>
      <vt:variant>
        <vt:i4>5</vt:i4>
      </vt:variant>
      <vt:variant>
        <vt:lpwstr/>
      </vt:variant>
      <vt:variant>
        <vt:lpwstr>_Toc367864140</vt:lpwstr>
      </vt:variant>
      <vt:variant>
        <vt:i4>1966131</vt:i4>
      </vt:variant>
      <vt:variant>
        <vt:i4>392</vt:i4>
      </vt:variant>
      <vt:variant>
        <vt:i4>0</vt:i4>
      </vt:variant>
      <vt:variant>
        <vt:i4>5</vt:i4>
      </vt:variant>
      <vt:variant>
        <vt:lpwstr/>
      </vt:variant>
      <vt:variant>
        <vt:lpwstr>_Toc367864139</vt:lpwstr>
      </vt:variant>
      <vt:variant>
        <vt:i4>1966131</vt:i4>
      </vt:variant>
      <vt:variant>
        <vt:i4>386</vt:i4>
      </vt:variant>
      <vt:variant>
        <vt:i4>0</vt:i4>
      </vt:variant>
      <vt:variant>
        <vt:i4>5</vt:i4>
      </vt:variant>
      <vt:variant>
        <vt:lpwstr/>
      </vt:variant>
      <vt:variant>
        <vt:lpwstr>_Toc367864138</vt:lpwstr>
      </vt:variant>
      <vt:variant>
        <vt:i4>1966131</vt:i4>
      </vt:variant>
      <vt:variant>
        <vt:i4>380</vt:i4>
      </vt:variant>
      <vt:variant>
        <vt:i4>0</vt:i4>
      </vt:variant>
      <vt:variant>
        <vt:i4>5</vt:i4>
      </vt:variant>
      <vt:variant>
        <vt:lpwstr/>
      </vt:variant>
      <vt:variant>
        <vt:lpwstr>_Toc367864137</vt:lpwstr>
      </vt:variant>
      <vt:variant>
        <vt:i4>1966131</vt:i4>
      </vt:variant>
      <vt:variant>
        <vt:i4>374</vt:i4>
      </vt:variant>
      <vt:variant>
        <vt:i4>0</vt:i4>
      </vt:variant>
      <vt:variant>
        <vt:i4>5</vt:i4>
      </vt:variant>
      <vt:variant>
        <vt:lpwstr/>
      </vt:variant>
      <vt:variant>
        <vt:lpwstr>_Toc367864136</vt:lpwstr>
      </vt:variant>
      <vt:variant>
        <vt:i4>1966131</vt:i4>
      </vt:variant>
      <vt:variant>
        <vt:i4>368</vt:i4>
      </vt:variant>
      <vt:variant>
        <vt:i4>0</vt:i4>
      </vt:variant>
      <vt:variant>
        <vt:i4>5</vt:i4>
      </vt:variant>
      <vt:variant>
        <vt:lpwstr/>
      </vt:variant>
      <vt:variant>
        <vt:lpwstr>_Toc367864135</vt:lpwstr>
      </vt:variant>
      <vt:variant>
        <vt:i4>1966131</vt:i4>
      </vt:variant>
      <vt:variant>
        <vt:i4>362</vt:i4>
      </vt:variant>
      <vt:variant>
        <vt:i4>0</vt:i4>
      </vt:variant>
      <vt:variant>
        <vt:i4>5</vt:i4>
      </vt:variant>
      <vt:variant>
        <vt:lpwstr/>
      </vt:variant>
      <vt:variant>
        <vt:lpwstr>_Toc367864134</vt:lpwstr>
      </vt:variant>
      <vt:variant>
        <vt:i4>1966131</vt:i4>
      </vt:variant>
      <vt:variant>
        <vt:i4>356</vt:i4>
      </vt:variant>
      <vt:variant>
        <vt:i4>0</vt:i4>
      </vt:variant>
      <vt:variant>
        <vt:i4>5</vt:i4>
      </vt:variant>
      <vt:variant>
        <vt:lpwstr/>
      </vt:variant>
      <vt:variant>
        <vt:lpwstr>_Toc367864133</vt:lpwstr>
      </vt:variant>
      <vt:variant>
        <vt:i4>1966131</vt:i4>
      </vt:variant>
      <vt:variant>
        <vt:i4>350</vt:i4>
      </vt:variant>
      <vt:variant>
        <vt:i4>0</vt:i4>
      </vt:variant>
      <vt:variant>
        <vt:i4>5</vt:i4>
      </vt:variant>
      <vt:variant>
        <vt:lpwstr/>
      </vt:variant>
      <vt:variant>
        <vt:lpwstr>_Toc367864132</vt:lpwstr>
      </vt:variant>
      <vt:variant>
        <vt:i4>1966131</vt:i4>
      </vt:variant>
      <vt:variant>
        <vt:i4>344</vt:i4>
      </vt:variant>
      <vt:variant>
        <vt:i4>0</vt:i4>
      </vt:variant>
      <vt:variant>
        <vt:i4>5</vt:i4>
      </vt:variant>
      <vt:variant>
        <vt:lpwstr/>
      </vt:variant>
      <vt:variant>
        <vt:lpwstr>_Toc367864131</vt:lpwstr>
      </vt:variant>
      <vt:variant>
        <vt:i4>1966131</vt:i4>
      </vt:variant>
      <vt:variant>
        <vt:i4>338</vt:i4>
      </vt:variant>
      <vt:variant>
        <vt:i4>0</vt:i4>
      </vt:variant>
      <vt:variant>
        <vt:i4>5</vt:i4>
      </vt:variant>
      <vt:variant>
        <vt:lpwstr/>
      </vt:variant>
      <vt:variant>
        <vt:lpwstr>_Toc367864130</vt:lpwstr>
      </vt:variant>
      <vt:variant>
        <vt:i4>2031667</vt:i4>
      </vt:variant>
      <vt:variant>
        <vt:i4>332</vt:i4>
      </vt:variant>
      <vt:variant>
        <vt:i4>0</vt:i4>
      </vt:variant>
      <vt:variant>
        <vt:i4>5</vt:i4>
      </vt:variant>
      <vt:variant>
        <vt:lpwstr/>
      </vt:variant>
      <vt:variant>
        <vt:lpwstr>_Toc367864129</vt:lpwstr>
      </vt:variant>
      <vt:variant>
        <vt:i4>2031667</vt:i4>
      </vt:variant>
      <vt:variant>
        <vt:i4>326</vt:i4>
      </vt:variant>
      <vt:variant>
        <vt:i4>0</vt:i4>
      </vt:variant>
      <vt:variant>
        <vt:i4>5</vt:i4>
      </vt:variant>
      <vt:variant>
        <vt:lpwstr/>
      </vt:variant>
      <vt:variant>
        <vt:lpwstr>_Toc367864128</vt:lpwstr>
      </vt:variant>
      <vt:variant>
        <vt:i4>2031667</vt:i4>
      </vt:variant>
      <vt:variant>
        <vt:i4>320</vt:i4>
      </vt:variant>
      <vt:variant>
        <vt:i4>0</vt:i4>
      </vt:variant>
      <vt:variant>
        <vt:i4>5</vt:i4>
      </vt:variant>
      <vt:variant>
        <vt:lpwstr/>
      </vt:variant>
      <vt:variant>
        <vt:lpwstr>_Toc367864127</vt:lpwstr>
      </vt:variant>
      <vt:variant>
        <vt:i4>2031667</vt:i4>
      </vt:variant>
      <vt:variant>
        <vt:i4>314</vt:i4>
      </vt:variant>
      <vt:variant>
        <vt:i4>0</vt:i4>
      </vt:variant>
      <vt:variant>
        <vt:i4>5</vt:i4>
      </vt:variant>
      <vt:variant>
        <vt:lpwstr/>
      </vt:variant>
      <vt:variant>
        <vt:lpwstr>_Toc367864126</vt:lpwstr>
      </vt:variant>
      <vt:variant>
        <vt:i4>2031667</vt:i4>
      </vt:variant>
      <vt:variant>
        <vt:i4>308</vt:i4>
      </vt:variant>
      <vt:variant>
        <vt:i4>0</vt:i4>
      </vt:variant>
      <vt:variant>
        <vt:i4>5</vt:i4>
      </vt:variant>
      <vt:variant>
        <vt:lpwstr/>
      </vt:variant>
      <vt:variant>
        <vt:lpwstr>_Toc367864125</vt:lpwstr>
      </vt:variant>
      <vt:variant>
        <vt:i4>2031667</vt:i4>
      </vt:variant>
      <vt:variant>
        <vt:i4>302</vt:i4>
      </vt:variant>
      <vt:variant>
        <vt:i4>0</vt:i4>
      </vt:variant>
      <vt:variant>
        <vt:i4>5</vt:i4>
      </vt:variant>
      <vt:variant>
        <vt:lpwstr/>
      </vt:variant>
      <vt:variant>
        <vt:lpwstr>_Toc367864124</vt:lpwstr>
      </vt:variant>
      <vt:variant>
        <vt:i4>2031667</vt:i4>
      </vt:variant>
      <vt:variant>
        <vt:i4>296</vt:i4>
      </vt:variant>
      <vt:variant>
        <vt:i4>0</vt:i4>
      </vt:variant>
      <vt:variant>
        <vt:i4>5</vt:i4>
      </vt:variant>
      <vt:variant>
        <vt:lpwstr/>
      </vt:variant>
      <vt:variant>
        <vt:lpwstr>_Toc367864123</vt:lpwstr>
      </vt:variant>
      <vt:variant>
        <vt:i4>2031667</vt:i4>
      </vt:variant>
      <vt:variant>
        <vt:i4>290</vt:i4>
      </vt:variant>
      <vt:variant>
        <vt:i4>0</vt:i4>
      </vt:variant>
      <vt:variant>
        <vt:i4>5</vt:i4>
      </vt:variant>
      <vt:variant>
        <vt:lpwstr/>
      </vt:variant>
      <vt:variant>
        <vt:lpwstr>_Toc367864122</vt:lpwstr>
      </vt:variant>
      <vt:variant>
        <vt:i4>2031667</vt:i4>
      </vt:variant>
      <vt:variant>
        <vt:i4>284</vt:i4>
      </vt:variant>
      <vt:variant>
        <vt:i4>0</vt:i4>
      </vt:variant>
      <vt:variant>
        <vt:i4>5</vt:i4>
      </vt:variant>
      <vt:variant>
        <vt:lpwstr/>
      </vt:variant>
      <vt:variant>
        <vt:lpwstr>_Toc367864121</vt:lpwstr>
      </vt:variant>
      <vt:variant>
        <vt:i4>2031667</vt:i4>
      </vt:variant>
      <vt:variant>
        <vt:i4>278</vt:i4>
      </vt:variant>
      <vt:variant>
        <vt:i4>0</vt:i4>
      </vt:variant>
      <vt:variant>
        <vt:i4>5</vt:i4>
      </vt:variant>
      <vt:variant>
        <vt:lpwstr/>
      </vt:variant>
      <vt:variant>
        <vt:lpwstr>_Toc367864120</vt:lpwstr>
      </vt:variant>
      <vt:variant>
        <vt:i4>1835059</vt:i4>
      </vt:variant>
      <vt:variant>
        <vt:i4>272</vt:i4>
      </vt:variant>
      <vt:variant>
        <vt:i4>0</vt:i4>
      </vt:variant>
      <vt:variant>
        <vt:i4>5</vt:i4>
      </vt:variant>
      <vt:variant>
        <vt:lpwstr/>
      </vt:variant>
      <vt:variant>
        <vt:lpwstr>_Toc367864119</vt:lpwstr>
      </vt:variant>
      <vt:variant>
        <vt:i4>1835059</vt:i4>
      </vt:variant>
      <vt:variant>
        <vt:i4>266</vt:i4>
      </vt:variant>
      <vt:variant>
        <vt:i4>0</vt:i4>
      </vt:variant>
      <vt:variant>
        <vt:i4>5</vt:i4>
      </vt:variant>
      <vt:variant>
        <vt:lpwstr/>
      </vt:variant>
      <vt:variant>
        <vt:lpwstr>_Toc367864118</vt:lpwstr>
      </vt:variant>
      <vt:variant>
        <vt:i4>1835059</vt:i4>
      </vt:variant>
      <vt:variant>
        <vt:i4>260</vt:i4>
      </vt:variant>
      <vt:variant>
        <vt:i4>0</vt:i4>
      </vt:variant>
      <vt:variant>
        <vt:i4>5</vt:i4>
      </vt:variant>
      <vt:variant>
        <vt:lpwstr/>
      </vt:variant>
      <vt:variant>
        <vt:lpwstr>_Toc367864117</vt:lpwstr>
      </vt:variant>
      <vt:variant>
        <vt:i4>1835059</vt:i4>
      </vt:variant>
      <vt:variant>
        <vt:i4>254</vt:i4>
      </vt:variant>
      <vt:variant>
        <vt:i4>0</vt:i4>
      </vt:variant>
      <vt:variant>
        <vt:i4>5</vt:i4>
      </vt:variant>
      <vt:variant>
        <vt:lpwstr/>
      </vt:variant>
      <vt:variant>
        <vt:lpwstr>_Toc367864116</vt:lpwstr>
      </vt:variant>
      <vt:variant>
        <vt:i4>1835059</vt:i4>
      </vt:variant>
      <vt:variant>
        <vt:i4>248</vt:i4>
      </vt:variant>
      <vt:variant>
        <vt:i4>0</vt:i4>
      </vt:variant>
      <vt:variant>
        <vt:i4>5</vt:i4>
      </vt:variant>
      <vt:variant>
        <vt:lpwstr/>
      </vt:variant>
      <vt:variant>
        <vt:lpwstr>_Toc367864115</vt:lpwstr>
      </vt:variant>
      <vt:variant>
        <vt:i4>1835059</vt:i4>
      </vt:variant>
      <vt:variant>
        <vt:i4>242</vt:i4>
      </vt:variant>
      <vt:variant>
        <vt:i4>0</vt:i4>
      </vt:variant>
      <vt:variant>
        <vt:i4>5</vt:i4>
      </vt:variant>
      <vt:variant>
        <vt:lpwstr/>
      </vt:variant>
      <vt:variant>
        <vt:lpwstr>_Toc367864114</vt:lpwstr>
      </vt:variant>
      <vt:variant>
        <vt:i4>1835059</vt:i4>
      </vt:variant>
      <vt:variant>
        <vt:i4>236</vt:i4>
      </vt:variant>
      <vt:variant>
        <vt:i4>0</vt:i4>
      </vt:variant>
      <vt:variant>
        <vt:i4>5</vt:i4>
      </vt:variant>
      <vt:variant>
        <vt:lpwstr/>
      </vt:variant>
      <vt:variant>
        <vt:lpwstr>_Toc367864113</vt:lpwstr>
      </vt:variant>
      <vt:variant>
        <vt:i4>1835059</vt:i4>
      </vt:variant>
      <vt:variant>
        <vt:i4>230</vt:i4>
      </vt:variant>
      <vt:variant>
        <vt:i4>0</vt:i4>
      </vt:variant>
      <vt:variant>
        <vt:i4>5</vt:i4>
      </vt:variant>
      <vt:variant>
        <vt:lpwstr/>
      </vt:variant>
      <vt:variant>
        <vt:lpwstr>_Toc367864112</vt:lpwstr>
      </vt:variant>
      <vt:variant>
        <vt:i4>1835059</vt:i4>
      </vt:variant>
      <vt:variant>
        <vt:i4>224</vt:i4>
      </vt:variant>
      <vt:variant>
        <vt:i4>0</vt:i4>
      </vt:variant>
      <vt:variant>
        <vt:i4>5</vt:i4>
      </vt:variant>
      <vt:variant>
        <vt:lpwstr/>
      </vt:variant>
      <vt:variant>
        <vt:lpwstr>_Toc367864111</vt:lpwstr>
      </vt:variant>
      <vt:variant>
        <vt:i4>1835059</vt:i4>
      </vt:variant>
      <vt:variant>
        <vt:i4>218</vt:i4>
      </vt:variant>
      <vt:variant>
        <vt:i4>0</vt:i4>
      </vt:variant>
      <vt:variant>
        <vt:i4>5</vt:i4>
      </vt:variant>
      <vt:variant>
        <vt:lpwstr/>
      </vt:variant>
      <vt:variant>
        <vt:lpwstr>_Toc367864110</vt:lpwstr>
      </vt:variant>
      <vt:variant>
        <vt:i4>1900595</vt:i4>
      </vt:variant>
      <vt:variant>
        <vt:i4>212</vt:i4>
      </vt:variant>
      <vt:variant>
        <vt:i4>0</vt:i4>
      </vt:variant>
      <vt:variant>
        <vt:i4>5</vt:i4>
      </vt:variant>
      <vt:variant>
        <vt:lpwstr/>
      </vt:variant>
      <vt:variant>
        <vt:lpwstr>_Toc367864109</vt:lpwstr>
      </vt:variant>
      <vt:variant>
        <vt:i4>1900595</vt:i4>
      </vt:variant>
      <vt:variant>
        <vt:i4>206</vt:i4>
      </vt:variant>
      <vt:variant>
        <vt:i4>0</vt:i4>
      </vt:variant>
      <vt:variant>
        <vt:i4>5</vt:i4>
      </vt:variant>
      <vt:variant>
        <vt:lpwstr/>
      </vt:variant>
      <vt:variant>
        <vt:lpwstr>_Toc367864108</vt:lpwstr>
      </vt:variant>
      <vt:variant>
        <vt:i4>1900595</vt:i4>
      </vt:variant>
      <vt:variant>
        <vt:i4>200</vt:i4>
      </vt:variant>
      <vt:variant>
        <vt:i4>0</vt:i4>
      </vt:variant>
      <vt:variant>
        <vt:i4>5</vt:i4>
      </vt:variant>
      <vt:variant>
        <vt:lpwstr/>
      </vt:variant>
      <vt:variant>
        <vt:lpwstr>_Toc367864107</vt:lpwstr>
      </vt:variant>
      <vt:variant>
        <vt:i4>1900595</vt:i4>
      </vt:variant>
      <vt:variant>
        <vt:i4>194</vt:i4>
      </vt:variant>
      <vt:variant>
        <vt:i4>0</vt:i4>
      </vt:variant>
      <vt:variant>
        <vt:i4>5</vt:i4>
      </vt:variant>
      <vt:variant>
        <vt:lpwstr/>
      </vt:variant>
      <vt:variant>
        <vt:lpwstr>_Toc367864106</vt:lpwstr>
      </vt:variant>
      <vt:variant>
        <vt:i4>1900595</vt:i4>
      </vt:variant>
      <vt:variant>
        <vt:i4>188</vt:i4>
      </vt:variant>
      <vt:variant>
        <vt:i4>0</vt:i4>
      </vt:variant>
      <vt:variant>
        <vt:i4>5</vt:i4>
      </vt:variant>
      <vt:variant>
        <vt:lpwstr/>
      </vt:variant>
      <vt:variant>
        <vt:lpwstr>_Toc367864105</vt:lpwstr>
      </vt:variant>
      <vt:variant>
        <vt:i4>1900595</vt:i4>
      </vt:variant>
      <vt:variant>
        <vt:i4>182</vt:i4>
      </vt:variant>
      <vt:variant>
        <vt:i4>0</vt:i4>
      </vt:variant>
      <vt:variant>
        <vt:i4>5</vt:i4>
      </vt:variant>
      <vt:variant>
        <vt:lpwstr/>
      </vt:variant>
      <vt:variant>
        <vt:lpwstr>_Toc367864104</vt:lpwstr>
      </vt:variant>
      <vt:variant>
        <vt:i4>1900595</vt:i4>
      </vt:variant>
      <vt:variant>
        <vt:i4>176</vt:i4>
      </vt:variant>
      <vt:variant>
        <vt:i4>0</vt:i4>
      </vt:variant>
      <vt:variant>
        <vt:i4>5</vt:i4>
      </vt:variant>
      <vt:variant>
        <vt:lpwstr/>
      </vt:variant>
      <vt:variant>
        <vt:lpwstr>_Toc367864103</vt:lpwstr>
      </vt:variant>
      <vt:variant>
        <vt:i4>1900595</vt:i4>
      </vt:variant>
      <vt:variant>
        <vt:i4>170</vt:i4>
      </vt:variant>
      <vt:variant>
        <vt:i4>0</vt:i4>
      </vt:variant>
      <vt:variant>
        <vt:i4>5</vt:i4>
      </vt:variant>
      <vt:variant>
        <vt:lpwstr/>
      </vt:variant>
      <vt:variant>
        <vt:lpwstr>_Toc367864102</vt:lpwstr>
      </vt:variant>
      <vt:variant>
        <vt:i4>1900595</vt:i4>
      </vt:variant>
      <vt:variant>
        <vt:i4>164</vt:i4>
      </vt:variant>
      <vt:variant>
        <vt:i4>0</vt:i4>
      </vt:variant>
      <vt:variant>
        <vt:i4>5</vt:i4>
      </vt:variant>
      <vt:variant>
        <vt:lpwstr/>
      </vt:variant>
      <vt:variant>
        <vt:lpwstr>_Toc367864101</vt:lpwstr>
      </vt:variant>
      <vt:variant>
        <vt:i4>1900595</vt:i4>
      </vt:variant>
      <vt:variant>
        <vt:i4>158</vt:i4>
      </vt:variant>
      <vt:variant>
        <vt:i4>0</vt:i4>
      </vt:variant>
      <vt:variant>
        <vt:i4>5</vt:i4>
      </vt:variant>
      <vt:variant>
        <vt:lpwstr/>
      </vt:variant>
      <vt:variant>
        <vt:lpwstr>_Toc367864100</vt:lpwstr>
      </vt:variant>
      <vt:variant>
        <vt:i4>1310770</vt:i4>
      </vt:variant>
      <vt:variant>
        <vt:i4>152</vt:i4>
      </vt:variant>
      <vt:variant>
        <vt:i4>0</vt:i4>
      </vt:variant>
      <vt:variant>
        <vt:i4>5</vt:i4>
      </vt:variant>
      <vt:variant>
        <vt:lpwstr/>
      </vt:variant>
      <vt:variant>
        <vt:lpwstr>_Toc367864099</vt:lpwstr>
      </vt:variant>
      <vt:variant>
        <vt:i4>1310770</vt:i4>
      </vt:variant>
      <vt:variant>
        <vt:i4>146</vt:i4>
      </vt:variant>
      <vt:variant>
        <vt:i4>0</vt:i4>
      </vt:variant>
      <vt:variant>
        <vt:i4>5</vt:i4>
      </vt:variant>
      <vt:variant>
        <vt:lpwstr/>
      </vt:variant>
      <vt:variant>
        <vt:lpwstr>_Toc367864098</vt:lpwstr>
      </vt:variant>
      <vt:variant>
        <vt:i4>1310770</vt:i4>
      </vt:variant>
      <vt:variant>
        <vt:i4>140</vt:i4>
      </vt:variant>
      <vt:variant>
        <vt:i4>0</vt:i4>
      </vt:variant>
      <vt:variant>
        <vt:i4>5</vt:i4>
      </vt:variant>
      <vt:variant>
        <vt:lpwstr/>
      </vt:variant>
      <vt:variant>
        <vt:lpwstr>_Toc367864097</vt:lpwstr>
      </vt:variant>
      <vt:variant>
        <vt:i4>1310770</vt:i4>
      </vt:variant>
      <vt:variant>
        <vt:i4>134</vt:i4>
      </vt:variant>
      <vt:variant>
        <vt:i4>0</vt:i4>
      </vt:variant>
      <vt:variant>
        <vt:i4>5</vt:i4>
      </vt:variant>
      <vt:variant>
        <vt:lpwstr/>
      </vt:variant>
      <vt:variant>
        <vt:lpwstr>_Toc367864096</vt:lpwstr>
      </vt:variant>
      <vt:variant>
        <vt:i4>1310770</vt:i4>
      </vt:variant>
      <vt:variant>
        <vt:i4>128</vt:i4>
      </vt:variant>
      <vt:variant>
        <vt:i4>0</vt:i4>
      </vt:variant>
      <vt:variant>
        <vt:i4>5</vt:i4>
      </vt:variant>
      <vt:variant>
        <vt:lpwstr/>
      </vt:variant>
      <vt:variant>
        <vt:lpwstr>_Toc367864095</vt:lpwstr>
      </vt:variant>
      <vt:variant>
        <vt:i4>1310770</vt:i4>
      </vt:variant>
      <vt:variant>
        <vt:i4>122</vt:i4>
      </vt:variant>
      <vt:variant>
        <vt:i4>0</vt:i4>
      </vt:variant>
      <vt:variant>
        <vt:i4>5</vt:i4>
      </vt:variant>
      <vt:variant>
        <vt:lpwstr/>
      </vt:variant>
      <vt:variant>
        <vt:lpwstr>_Toc367864094</vt:lpwstr>
      </vt:variant>
      <vt:variant>
        <vt:i4>1310770</vt:i4>
      </vt:variant>
      <vt:variant>
        <vt:i4>116</vt:i4>
      </vt:variant>
      <vt:variant>
        <vt:i4>0</vt:i4>
      </vt:variant>
      <vt:variant>
        <vt:i4>5</vt:i4>
      </vt:variant>
      <vt:variant>
        <vt:lpwstr/>
      </vt:variant>
      <vt:variant>
        <vt:lpwstr>_Toc367864093</vt:lpwstr>
      </vt:variant>
      <vt:variant>
        <vt:i4>1310770</vt:i4>
      </vt:variant>
      <vt:variant>
        <vt:i4>110</vt:i4>
      </vt:variant>
      <vt:variant>
        <vt:i4>0</vt:i4>
      </vt:variant>
      <vt:variant>
        <vt:i4>5</vt:i4>
      </vt:variant>
      <vt:variant>
        <vt:lpwstr/>
      </vt:variant>
      <vt:variant>
        <vt:lpwstr>_Toc367864092</vt:lpwstr>
      </vt:variant>
      <vt:variant>
        <vt:i4>1310770</vt:i4>
      </vt:variant>
      <vt:variant>
        <vt:i4>104</vt:i4>
      </vt:variant>
      <vt:variant>
        <vt:i4>0</vt:i4>
      </vt:variant>
      <vt:variant>
        <vt:i4>5</vt:i4>
      </vt:variant>
      <vt:variant>
        <vt:lpwstr/>
      </vt:variant>
      <vt:variant>
        <vt:lpwstr>_Toc367864091</vt:lpwstr>
      </vt:variant>
      <vt:variant>
        <vt:i4>1310770</vt:i4>
      </vt:variant>
      <vt:variant>
        <vt:i4>98</vt:i4>
      </vt:variant>
      <vt:variant>
        <vt:i4>0</vt:i4>
      </vt:variant>
      <vt:variant>
        <vt:i4>5</vt:i4>
      </vt:variant>
      <vt:variant>
        <vt:lpwstr/>
      </vt:variant>
      <vt:variant>
        <vt:lpwstr>_Toc367864090</vt:lpwstr>
      </vt:variant>
      <vt:variant>
        <vt:i4>1376306</vt:i4>
      </vt:variant>
      <vt:variant>
        <vt:i4>92</vt:i4>
      </vt:variant>
      <vt:variant>
        <vt:i4>0</vt:i4>
      </vt:variant>
      <vt:variant>
        <vt:i4>5</vt:i4>
      </vt:variant>
      <vt:variant>
        <vt:lpwstr/>
      </vt:variant>
      <vt:variant>
        <vt:lpwstr>_Toc367864089</vt:lpwstr>
      </vt:variant>
      <vt:variant>
        <vt:i4>1376306</vt:i4>
      </vt:variant>
      <vt:variant>
        <vt:i4>86</vt:i4>
      </vt:variant>
      <vt:variant>
        <vt:i4>0</vt:i4>
      </vt:variant>
      <vt:variant>
        <vt:i4>5</vt:i4>
      </vt:variant>
      <vt:variant>
        <vt:lpwstr/>
      </vt:variant>
      <vt:variant>
        <vt:lpwstr>_Toc367864088</vt:lpwstr>
      </vt:variant>
      <vt:variant>
        <vt:i4>1376306</vt:i4>
      </vt:variant>
      <vt:variant>
        <vt:i4>80</vt:i4>
      </vt:variant>
      <vt:variant>
        <vt:i4>0</vt:i4>
      </vt:variant>
      <vt:variant>
        <vt:i4>5</vt:i4>
      </vt:variant>
      <vt:variant>
        <vt:lpwstr/>
      </vt:variant>
      <vt:variant>
        <vt:lpwstr>_Toc367864087</vt:lpwstr>
      </vt:variant>
      <vt:variant>
        <vt:i4>1376306</vt:i4>
      </vt:variant>
      <vt:variant>
        <vt:i4>74</vt:i4>
      </vt:variant>
      <vt:variant>
        <vt:i4>0</vt:i4>
      </vt:variant>
      <vt:variant>
        <vt:i4>5</vt:i4>
      </vt:variant>
      <vt:variant>
        <vt:lpwstr/>
      </vt:variant>
      <vt:variant>
        <vt:lpwstr>_Toc367864086</vt:lpwstr>
      </vt:variant>
      <vt:variant>
        <vt:i4>1376306</vt:i4>
      </vt:variant>
      <vt:variant>
        <vt:i4>68</vt:i4>
      </vt:variant>
      <vt:variant>
        <vt:i4>0</vt:i4>
      </vt:variant>
      <vt:variant>
        <vt:i4>5</vt:i4>
      </vt:variant>
      <vt:variant>
        <vt:lpwstr/>
      </vt:variant>
      <vt:variant>
        <vt:lpwstr>_Toc367864085</vt:lpwstr>
      </vt:variant>
      <vt:variant>
        <vt:i4>1376306</vt:i4>
      </vt:variant>
      <vt:variant>
        <vt:i4>62</vt:i4>
      </vt:variant>
      <vt:variant>
        <vt:i4>0</vt:i4>
      </vt:variant>
      <vt:variant>
        <vt:i4>5</vt:i4>
      </vt:variant>
      <vt:variant>
        <vt:lpwstr/>
      </vt:variant>
      <vt:variant>
        <vt:lpwstr>_Toc367864084</vt:lpwstr>
      </vt:variant>
      <vt:variant>
        <vt:i4>1376306</vt:i4>
      </vt:variant>
      <vt:variant>
        <vt:i4>56</vt:i4>
      </vt:variant>
      <vt:variant>
        <vt:i4>0</vt:i4>
      </vt:variant>
      <vt:variant>
        <vt:i4>5</vt:i4>
      </vt:variant>
      <vt:variant>
        <vt:lpwstr/>
      </vt:variant>
      <vt:variant>
        <vt:lpwstr>_Toc367864083</vt:lpwstr>
      </vt:variant>
      <vt:variant>
        <vt:i4>1376306</vt:i4>
      </vt:variant>
      <vt:variant>
        <vt:i4>50</vt:i4>
      </vt:variant>
      <vt:variant>
        <vt:i4>0</vt:i4>
      </vt:variant>
      <vt:variant>
        <vt:i4>5</vt:i4>
      </vt:variant>
      <vt:variant>
        <vt:lpwstr/>
      </vt:variant>
      <vt:variant>
        <vt:lpwstr>_Toc367864082</vt:lpwstr>
      </vt:variant>
      <vt:variant>
        <vt:i4>1376306</vt:i4>
      </vt:variant>
      <vt:variant>
        <vt:i4>44</vt:i4>
      </vt:variant>
      <vt:variant>
        <vt:i4>0</vt:i4>
      </vt:variant>
      <vt:variant>
        <vt:i4>5</vt:i4>
      </vt:variant>
      <vt:variant>
        <vt:lpwstr/>
      </vt:variant>
      <vt:variant>
        <vt:lpwstr>_Toc367864081</vt:lpwstr>
      </vt:variant>
      <vt:variant>
        <vt:i4>1376306</vt:i4>
      </vt:variant>
      <vt:variant>
        <vt:i4>38</vt:i4>
      </vt:variant>
      <vt:variant>
        <vt:i4>0</vt:i4>
      </vt:variant>
      <vt:variant>
        <vt:i4>5</vt:i4>
      </vt:variant>
      <vt:variant>
        <vt:lpwstr/>
      </vt:variant>
      <vt:variant>
        <vt:lpwstr>_Toc367864080</vt:lpwstr>
      </vt:variant>
      <vt:variant>
        <vt:i4>1703986</vt:i4>
      </vt:variant>
      <vt:variant>
        <vt:i4>32</vt:i4>
      </vt:variant>
      <vt:variant>
        <vt:i4>0</vt:i4>
      </vt:variant>
      <vt:variant>
        <vt:i4>5</vt:i4>
      </vt:variant>
      <vt:variant>
        <vt:lpwstr/>
      </vt:variant>
      <vt:variant>
        <vt:lpwstr>_Toc367864079</vt:lpwstr>
      </vt:variant>
      <vt:variant>
        <vt:i4>1703986</vt:i4>
      </vt:variant>
      <vt:variant>
        <vt:i4>26</vt:i4>
      </vt:variant>
      <vt:variant>
        <vt:i4>0</vt:i4>
      </vt:variant>
      <vt:variant>
        <vt:i4>5</vt:i4>
      </vt:variant>
      <vt:variant>
        <vt:lpwstr/>
      </vt:variant>
      <vt:variant>
        <vt:lpwstr>_Toc367864078</vt:lpwstr>
      </vt:variant>
      <vt:variant>
        <vt:i4>1703986</vt:i4>
      </vt:variant>
      <vt:variant>
        <vt:i4>20</vt:i4>
      </vt:variant>
      <vt:variant>
        <vt:i4>0</vt:i4>
      </vt:variant>
      <vt:variant>
        <vt:i4>5</vt:i4>
      </vt:variant>
      <vt:variant>
        <vt:lpwstr/>
      </vt:variant>
      <vt:variant>
        <vt:lpwstr>_Toc367864077</vt:lpwstr>
      </vt:variant>
      <vt:variant>
        <vt:i4>1703986</vt:i4>
      </vt:variant>
      <vt:variant>
        <vt:i4>14</vt:i4>
      </vt:variant>
      <vt:variant>
        <vt:i4>0</vt:i4>
      </vt:variant>
      <vt:variant>
        <vt:i4>5</vt:i4>
      </vt:variant>
      <vt:variant>
        <vt:lpwstr/>
      </vt:variant>
      <vt:variant>
        <vt:lpwstr>_Toc367864076</vt:lpwstr>
      </vt:variant>
      <vt:variant>
        <vt:i4>1703986</vt:i4>
      </vt:variant>
      <vt:variant>
        <vt:i4>8</vt:i4>
      </vt:variant>
      <vt:variant>
        <vt:i4>0</vt:i4>
      </vt:variant>
      <vt:variant>
        <vt:i4>5</vt:i4>
      </vt:variant>
      <vt:variant>
        <vt:lpwstr/>
      </vt:variant>
      <vt:variant>
        <vt:lpwstr>_Toc367864075</vt:lpwstr>
      </vt:variant>
      <vt:variant>
        <vt:i4>1703986</vt:i4>
      </vt:variant>
      <vt:variant>
        <vt:i4>2</vt:i4>
      </vt:variant>
      <vt:variant>
        <vt:i4>0</vt:i4>
      </vt:variant>
      <vt:variant>
        <vt:i4>5</vt:i4>
      </vt:variant>
      <vt:variant>
        <vt:lpwstr/>
      </vt:variant>
      <vt:variant>
        <vt:lpwstr>_Toc367864074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PR19 Business Plan</dc:title>
  <dc:subject/>
  <dc:creator>Limb, Kate</dc:creator>
  <cp:keywords/>
  <dc:description/>
  <cp:lastModifiedBy>Limb, Kate</cp:lastModifiedBy>
  <cp:revision>2</cp:revision>
  <cp:lastPrinted>2018-09-03T11:36:00Z</cp:lastPrinted>
  <dcterms:created xsi:type="dcterms:W3CDTF">2018-09-03T14:10:00Z</dcterms:created>
  <dcterms:modified xsi:type="dcterms:W3CDTF">2018-09-03T14:10:00Z</dcterms:modified>
</cp:coreProperties>
</file>