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87" w:rsidRDefault="009F0987">
      <w:bookmarkStart w:id="0" w:name="_GoBack"/>
      <w:bookmarkEnd w:id="0"/>
    </w:p>
    <w:tbl>
      <w:tblPr>
        <w:tblW w:w="9918" w:type="dxa"/>
        <w:tblLook w:val="01E0" w:firstRow="1" w:lastRow="1" w:firstColumn="1" w:lastColumn="1" w:noHBand="0" w:noVBand="0"/>
      </w:tblPr>
      <w:tblGrid>
        <w:gridCol w:w="6858"/>
        <w:gridCol w:w="3060"/>
      </w:tblGrid>
      <w:tr w:rsidR="008322B6" w:rsidRPr="00B84B88" w:rsidTr="008322B6">
        <w:tc>
          <w:tcPr>
            <w:tcW w:w="6858" w:type="dxa"/>
            <w:tcBorders>
              <w:top w:val="nil"/>
              <w:left w:val="nil"/>
              <w:bottom w:val="nil"/>
              <w:right w:val="nil"/>
            </w:tcBorders>
            <w:shd w:val="clear" w:color="auto" w:fill="auto"/>
          </w:tcPr>
          <w:p w:rsidR="008322B6" w:rsidRPr="00B84B88" w:rsidRDefault="008322B6" w:rsidP="008322B6">
            <w:pPr>
              <w:spacing w:after="0"/>
              <w:rPr>
                <w:rFonts w:cs="Arial"/>
              </w:rPr>
            </w:pPr>
          </w:p>
        </w:tc>
        <w:tc>
          <w:tcPr>
            <w:tcW w:w="3060" w:type="dxa"/>
            <w:tcBorders>
              <w:top w:val="nil"/>
              <w:left w:val="nil"/>
              <w:bottom w:val="nil"/>
              <w:right w:val="nil"/>
            </w:tcBorders>
            <w:shd w:val="clear" w:color="auto" w:fill="auto"/>
          </w:tcPr>
          <w:p w:rsidR="008322B6" w:rsidRPr="00B84B88" w:rsidRDefault="008322B6" w:rsidP="008322B6">
            <w:pPr>
              <w:spacing w:after="0"/>
              <w:rPr>
                <w:rFonts w:cs="Arial"/>
              </w:rPr>
            </w:pPr>
            <w:r w:rsidRPr="00B84B88">
              <w:rPr>
                <w:rFonts w:cs="Arial"/>
                <w:noProof/>
                <w:lang w:eastAsia="en-GB"/>
              </w:rPr>
              <w:drawing>
                <wp:inline distT="0" distB="0" distL="0" distR="0" wp14:anchorId="23EA83B7" wp14:editId="76CBC6EA">
                  <wp:extent cx="1733550" cy="942975"/>
                  <wp:effectExtent l="0" t="0" r="0" b="9525"/>
                  <wp:docPr id="3" name="Picture 3" descr="PW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LOGO20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942975"/>
                          </a:xfrm>
                          <a:prstGeom prst="rect">
                            <a:avLst/>
                          </a:prstGeom>
                          <a:noFill/>
                          <a:ln>
                            <a:noFill/>
                          </a:ln>
                        </pic:spPr>
                      </pic:pic>
                    </a:graphicData>
                  </a:graphic>
                </wp:inline>
              </w:drawing>
            </w:r>
          </w:p>
        </w:tc>
      </w:tr>
      <w:tr w:rsidR="008322B6" w:rsidRPr="00B84B88" w:rsidTr="008322B6">
        <w:tc>
          <w:tcPr>
            <w:tcW w:w="6858" w:type="dxa"/>
            <w:vMerge w:val="restart"/>
            <w:shd w:val="clear" w:color="auto" w:fill="auto"/>
          </w:tcPr>
          <w:p w:rsidR="008322B6" w:rsidRPr="00017C24" w:rsidRDefault="008322B6" w:rsidP="008322B6">
            <w:pPr>
              <w:spacing w:after="0"/>
              <w:rPr>
                <w:rFonts w:ascii="Arial" w:hAnsi="Arial" w:cs="Arial"/>
              </w:rPr>
            </w:pPr>
            <w:r>
              <w:rPr>
                <w:rFonts w:ascii="Arial" w:hAnsi="Arial" w:cs="Arial"/>
              </w:rPr>
              <w:t xml:space="preserve">To whom it may concern </w:t>
            </w:r>
          </w:p>
          <w:p w:rsidR="008322B6" w:rsidRPr="00B84B88" w:rsidRDefault="008322B6" w:rsidP="008322B6">
            <w:pPr>
              <w:spacing w:after="0"/>
              <w:rPr>
                <w:rFonts w:cs="Arial"/>
              </w:rPr>
            </w:pPr>
          </w:p>
        </w:tc>
        <w:tc>
          <w:tcPr>
            <w:tcW w:w="3060" w:type="dxa"/>
            <w:shd w:val="clear" w:color="auto" w:fill="auto"/>
          </w:tcPr>
          <w:p w:rsidR="008322B6" w:rsidRPr="00B84B88" w:rsidRDefault="008322B6" w:rsidP="008322B6">
            <w:pPr>
              <w:spacing w:after="0"/>
              <w:rPr>
                <w:rFonts w:cs="Arial"/>
                <w:color w:val="3366FF"/>
                <w:sz w:val="18"/>
                <w:szCs w:val="18"/>
              </w:rPr>
            </w:pPr>
          </w:p>
          <w:p w:rsidR="008322B6" w:rsidRPr="00B84B88" w:rsidRDefault="008322B6" w:rsidP="008322B6">
            <w:pPr>
              <w:spacing w:after="0"/>
              <w:rPr>
                <w:rFonts w:cs="Arial"/>
                <w:color w:val="3366FF"/>
                <w:sz w:val="18"/>
                <w:szCs w:val="18"/>
              </w:rPr>
            </w:pPr>
            <w:r w:rsidRPr="00B84B88">
              <w:rPr>
                <w:rFonts w:cs="Arial"/>
                <w:b/>
                <w:color w:val="3366FF"/>
                <w:sz w:val="18"/>
                <w:szCs w:val="18"/>
              </w:rPr>
              <w:t>Registered Office</w:t>
            </w:r>
            <w:r w:rsidRPr="00B84B88">
              <w:rPr>
                <w:rFonts w:cs="Arial"/>
                <w:color w:val="3366FF"/>
                <w:sz w:val="18"/>
                <w:szCs w:val="18"/>
              </w:rPr>
              <w:t>:</w:t>
            </w:r>
          </w:p>
          <w:p w:rsidR="008322B6" w:rsidRPr="00B84B88" w:rsidRDefault="008322B6" w:rsidP="008322B6">
            <w:pPr>
              <w:spacing w:after="0"/>
              <w:rPr>
                <w:rFonts w:cs="Arial"/>
                <w:color w:val="3366FF"/>
                <w:sz w:val="18"/>
                <w:szCs w:val="18"/>
              </w:rPr>
            </w:pPr>
            <w:r w:rsidRPr="00B84B88">
              <w:rPr>
                <w:rFonts w:cs="Arial"/>
                <w:color w:val="3366FF"/>
                <w:sz w:val="18"/>
                <w:szCs w:val="18"/>
              </w:rPr>
              <w:t>Portsmouth Water Ltd</w:t>
            </w:r>
          </w:p>
          <w:p w:rsidR="008322B6" w:rsidRPr="00B84B88" w:rsidRDefault="008322B6" w:rsidP="008322B6">
            <w:pPr>
              <w:spacing w:after="0"/>
              <w:rPr>
                <w:rFonts w:cs="Arial"/>
                <w:color w:val="3366FF"/>
                <w:sz w:val="18"/>
                <w:szCs w:val="18"/>
              </w:rPr>
            </w:pPr>
            <w:smartTag w:uri="urn:schemas-microsoft-com:office:smarttags" w:element="address">
              <w:smartTag w:uri="urn:schemas-microsoft-com:office:smarttags" w:element="Street">
                <w:r w:rsidRPr="00B84B88">
                  <w:rPr>
                    <w:rFonts w:cs="Arial"/>
                    <w:color w:val="3366FF"/>
                    <w:sz w:val="18"/>
                    <w:szCs w:val="18"/>
                  </w:rPr>
                  <w:t>PO Box</w:t>
                </w:r>
              </w:smartTag>
              <w:r w:rsidRPr="00B84B88">
                <w:rPr>
                  <w:rFonts w:cs="Arial"/>
                  <w:color w:val="3366FF"/>
                  <w:sz w:val="18"/>
                  <w:szCs w:val="18"/>
                </w:rPr>
                <w:t xml:space="preserve"> 8</w:t>
              </w:r>
            </w:smartTag>
          </w:p>
          <w:p w:rsidR="008322B6" w:rsidRPr="00B84B88" w:rsidRDefault="008322B6" w:rsidP="008322B6">
            <w:pPr>
              <w:spacing w:after="0"/>
              <w:rPr>
                <w:rFonts w:cs="Arial"/>
                <w:color w:val="3366FF"/>
                <w:sz w:val="18"/>
                <w:szCs w:val="18"/>
              </w:rPr>
            </w:pPr>
            <w:r w:rsidRPr="00B84B88">
              <w:rPr>
                <w:rFonts w:cs="Arial"/>
                <w:color w:val="3366FF"/>
                <w:sz w:val="18"/>
                <w:szCs w:val="18"/>
              </w:rPr>
              <w:t xml:space="preserve">Havant </w:t>
            </w:r>
          </w:p>
          <w:p w:rsidR="008322B6" w:rsidRPr="00B84B88" w:rsidRDefault="008322B6" w:rsidP="008322B6">
            <w:pPr>
              <w:spacing w:after="0"/>
              <w:rPr>
                <w:rFonts w:cs="Arial"/>
                <w:color w:val="3366FF"/>
                <w:sz w:val="18"/>
                <w:szCs w:val="18"/>
              </w:rPr>
            </w:pPr>
            <w:r w:rsidRPr="00B84B88">
              <w:rPr>
                <w:rFonts w:cs="Arial"/>
                <w:color w:val="3366FF"/>
                <w:sz w:val="18"/>
                <w:szCs w:val="18"/>
              </w:rPr>
              <w:t>Hampshire  PO9 1LG</w:t>
            </w:r>
          </w:p>
          <w:p w:rsidR="008322B6" w:rsidRPr="00B84B88" w:rsidRDefault="008322B6" w:rsidP="008322B6">
            <w:pPr>
              <w:spacing w:after="0"/>
              <w:rPr>
                <w:rFonts w:cs="Arial"/>
                <w:color w:val="3366FF"/>
                <w:sz w:val="18"/>
                <w:szCs w:val="18"/>
              </w:rPr>
            </w:pPr>
          </w:p>
        </w:tc>
      </w:tr>
      <w:tr w:rsidR="008322B6" w:rsidRPr="00B84B88" w:rsidTr="008322B6">
        <w:tc>
          <w:tcPr>
            <w:tcW w:w="6858" w:type="dxa"/>
            <w:vMerge/>
            <w:shd w:val="clear" w:color="auto" w:fill="auto"/>
          </w:tcPr>
          <w:p w:rsidR="008322B6" w:rsidRPr="00B84B88" w:rsidRDefault="008322B6" w:rsidP="008322B6">
            <w:pPr>
              <w:spacing w:after="0"/>
              <w:rPr>
                <w:rFonts w:cs="Arial"/>
              </w:rPr>
            </w:pPr>
          </w:p>
        </w:tc>
        <w:tc>
          <w:tcPr>
            <w:tcW w:w="3060" w:type="dxa"/>
            <w:shd w:val="clear" w:color="auto" w:fill="auto"/>
          </w:tcPr>
          <w:p w:rsidR="008322B6" w:rsidRPr="00B84B88" w:rsidRDefault="008322B6" w:rsidP="008322B6">
            <w:pPr>
              <w:spacing w:after="0"/>
              <w:rPr>
                <w:rFonts w:cs="Arial"/>
                <w:color w:val="3366FF"/>
                <w:sz w:val="18"/>
                <w:szCs w:val="18"/>
              </w:rPr>
            </w:pPr>
            <w:r w:rsidRPr="00B84B88">
              <w:rPr>
                <w:rFonts w:cs="Arial"/>
                <w:color w:val="3366FF"/>
                <w:sz w:val="18"/>
                <w:szCs w:val="18"/>
              </w:rPr>
              <w:t>Tel: 023 9249 9888</w:t>
            </w:r>
          </w:p>
        </w:tc>
      </w:tr>
      <w:tr w:rsidR="008322B6" w:rsidRPr="00B84B88" w:rsidTr="008322B6">
        <w:tc>
          <w:tcPr>
            <w:tcW w:w="6858" w:type="dxa"/>
            <w:vMerge/>
            <w:shd w:val="clear" w:color="auto" w:fill="auto"/>
          </w:tcPr>
          <w:p w:rsidR="008322B6" w:rsidRPr="00B84B88" w:rsidRDefault="008322B6" w:rsidP="008322B6">
            <w:pPr>
              <w:spacing w:after="0"/>
              <w:rPr>
                <w:rFonts w:cs="Arial"/>
              </w:rPr>
            </w:pPr>
          </w:p>
        </w:tc>
        <w:tc>
          <w:tcPr>
            <w:tcW w:w="3060" w:type="dxa"/>
            <w:shd w:val="clear" w:color="auto" w:fill="auto"/>
          </w:tcPr>
          <w:p w:rsidR="008322B6" w:rsidRPr="00B84B88" w:rsidRDefault="008322B6" w:rsidP="008322B6">
            <w:pPr>
              <w:spacing w:after="0"/>
              <w:rPr>
                <w:rFonts w:cs="Arial"/>
                <w:color w:val="3366FF"/>
                <w:sz w:val="18"/>
                <w:szCs w:val="18"/>
              </w:rPr>
            </w:pPr>
            <w:r w:rsidRPr="00B84B88">
              <w:rPr>
                <w:rFonts w:cs="Arial"/>
                <w:color w:val="3366FF"/>
                <w:sz w:val="18"/>
                <w:szCs w:val="18"/>
              </w:rPr>
              <w:t>Fax: 023 9245 3632</w:t>
            </w:r>
          </w:p>
        </w:tc>
      </w:tr>
      <w:tr w:rsidR="008322B6" w:rsidRPr="00B84B88" w:rsidTr="008322B6">
        <w:tc>
          <w:tcPr>
            <w:tcW w:w="6858" w:type="dxa"/>
            <w:vMerge/>
            <w:shd w:val="clear" w:color="auto" w:fill="auto"/>
          </w:tcPr>
          <w:p w:rsidR="008322B6" w:rsidRPr="00B84B88" w:rsidRDefault="008322B6" w:rsidP="008322B6">
            <w:pPr>
              <w:spacing w:after="0"/>
              <w:rPr>
                <w:rFonts w:cs="Arial"/>
              </w:rPr>
            </w:pPr>
          </w:p>
        </w:tc>
        <w:tc>
          <w:tcPr>
            <w:tcW w:w="3060" w:type="dxa"/>
            <w:shd w:val="clear" w:color="auto" w:fill="auto"/>
          </w:tcPr>
          <w:p w:rsidR="008322B6" w:rsidRPr="00B84B88" w:rsidRDefault="008322B6" w:rsidP="008322B6">
            <w:pPr>
              <w:spacing w:after="0"/>
              <w:rPr>
                <w:rFonts w:cs="Arial"/>
                <w:color w:val="3366FF"/>
                <w:sz w:val="18"/>
                <w:szCs w:val="18"/>
              </w:rPr>
            </w:pPr>
            <w:r w:rsidRPr="00B84B88">
              <w:rPr>
                <w:rFonts w:cs="Arial"/>
                <w:color w:val="3366FF"/>
                <w:sz w:val="18"/>
                <w:szCs w:val="18"/>
              </w:rPr>
              <w:t xml:space="preserve">Web: </w:t>
            </w:r>
            <w:hyperlink r:id="rId8" w:history="1">
              <w:r w:rsidRPr="00B84B88">
                <w:rPr>
                  <w:rStyle w:val="Hyperlink"/>
                  <w:rFonts w:cs="Arial"/>
                  <w:sz w:val="18"/>
                  <w:szCs w:val="18"/>
                </w:rPr>
                <w:t>www.portsmouthwater.co.uk</w:t>
              </w:r>
            </w:hyperlink>
          </w:p>
          <w:p w:rsidR="008322B6" w:rsidRPr="00B84B88" w:rsidRDefault="008322B6" w:rsidP="008322B6">
            <w:pPr>
              <w:spacing w:after="0"/>
              <w:rPr>
                <w:rFonts w:cs="Arial"/>
                <w:color w:val="3366FF"/>
                <w:sz w:val="18"/>
                <w:szCs w:val="18"/>
              </w:rPr>
            </w:pPr>
          </w:p>
        </w:tc>
      </w:tr>
    </w:tbl>
    <w:p w:rsidR="008322B6" w:rsidRPr="002C4722" w:rsidRDefault="009F0987" w:rsidP="008322B6">
      <w:pPr>
        <w:spacing w:after="0"/>
        <w:jc w:val="both"/>
        <w:rPr>
          <w:rFonts w:ascii="Arial" w:hAnsi="Arial" w:cs="Arial"/>
        </w:rPr>
      </w:pPr>
      <w:r>
        <w:rPr>
          <w:rFonts w:ascii="Arial" w:hAnsi="Arial" w:cs="Arial"/>
        </w:rPr>
        <w:t>12 J</w:t>
      </w:r>
      <w:r w:rsidR="008322B6">
        <w:rPr>
          <w:rFonts w:ascii="Arial" w:hAnsi="Arial" w:cs="Arial"/>
        </w:rPr>
        <w:t>anuary 20</w:t>
      </w:r>
      <w:r w:rsidR="00AD448E">
        <w:rPr>
          <w:rFonts w:ascii="Arial" w:hAnsi="Arial" w:cs="Arial"/>
        </w:rPr>
        <w:t>20</w:t>
      </w:r>
    </w:p>
    <w:p w:rsidR="008322B6" w:rsidRPr="008F3052" w:rsidRDefault="008322B6" w:rsidP="008322B6">
      <w:pPr>
        <w:spacing w:after="0"/>
        <w:jc w:val="both"/>
        <w:rPr>
          <w:rFonts w:ascii="Arial" w:hAnsi="Arial" w:cs="Arial"/>
        </w:rPr>
      </w:pPr>
    </w:p>
    <w:p w:rsidR="008322B6" w:rsidRDefault="008322B6" w:rsidP="008322B6">
      <w:pPr>
        <w:spacing w:after="0"/>
        <w:jc w:val="both"/>
        <w:rPr>
          <w:rFonts w:ascii="Arial" w:hAnsi="Arial" w:cs="Arial"/>
        </w:rPr>
      </w:pPr>
    </w:p>
    <w:p w:rsidR="008322B6" w:rsidRPr="002F188C" w:rsidRDefault="008322B6" w:rsidP="00665D20">
      <w:pPr>
        <w:spacing w:after="0"/>
        <w:jc w:val="both"/>
        <w:rPr>
          <w:rFonts w:ascii="Arial" w:hAnsi="Arial" w:cs="Arial"/>
        </w:rPr>
      </w:pPr>
      <w:r w:rsidRPr="002F188C">
        <w:rPr>
          <w:rFonts w:ascii="Arial" w:hAnsi="Arial" w:cs="Arial"/>
        </w:rPr>
        <w:t>Dear Sir</w:t>
      </w:r>
    </w:p>
    <w:p w:rsidR="008322B6" w:rsidRPr="002F188C" w:rsidRDefault="008322B6" w:rsidP="00665D20">
      <w:pPr>
        <w:spacing w:after="0"/>
        <w:jc w:val="both"/>
        <w:rPr>
          <w:rFonts w:ascii="Arial" w:hAnsi="Arial" w:cs="Arial"/>
        </w:rPr>
      </w:pPr>
    </w:p>
    <w:p w:rsidR="008322B6" w:rsidRPr="002F188C" w:rsidRDefault="008322B6" w:rsidP="00665D20">
      <w:pPr>
        <w:pStyle w:val="Default"/>
        <w:jc w:val="both"/>
        <w:rPr>
          <w:b/>
          <w:sz w:val="22"/>
          <w:szCs w:val="22"/>
        </w:rPr>
      </w:pPr>
      <w:r w:rsidRPr="002F188C">
        <w:rPr>
          <w:b/>
          <w:sz w:val="22"/>
          <w:szCs w:val="22"/>
        </w:rPr>
        <w:t>Letter of Assurance from Portsmouth Water Board re 20</w:t>
      </w:r>
      <w:r w:rsidR="00AD448E">
        <w:rPr>
          <w:b/>
          <w:sz w:val="22"/>
          <w:szCs w:val="22"/>
        </w:rPr>
        <w:t>20</w:t>
      </w:r>
      <w:r w:rsidRPr="002F188C">
        <w:rPr>
          <w:b/>
          <w:sz w:val="22"/>
          <w:szCs w:val="22"/>
        </w:rPr>
        <w:t>/</w:t>
      </w:r>
      <w:r>
        <w:rPr>
          <w:b/>
          <w:sz w:val="22"/>
          <w:szCs w:val="22"/>
        </w:rPr>
        <w:t>2</w:t>
      </w:r>
      <w:r w:rsidR="00AD448E">
        <w:rPr>
          <w:b/>
          <w:sz w:val="22"/>
          <w:szCs w:val="22"/>
        </w:rPr>
        <w:t>1</w:t>
      </w:r>
      <w:r w:rsidRPr="002F188C">
        <w:rPr>
          <w:b/>
          <w:sz w:val="22"/>
          <w:szCs w:val="22"/>
        </w:rPr>
        <w:t xml:space="preserve"> Wholesale Charges</w:t>
      </w:r>
    </w:p>
    <w:p w:rsidR="008322B6" w:rsidRPr="002F188C" w:rsidRDefault="008322B6" w:rsidP="00665D20">
      <w:pPr>
        <w:pStyle w:val="Default"/>
        <w:jc w:val="both"/>
        <w:rPr>
          <w:b/>
          <w:sz w:val="22"/>
          <w:szCs w:val="22"/>
        </w:rPr>
      </w:pPr>
    </w:p>
    <w:p w:rsidR="008322B6" w:rsidRDefault="008322B6" w:rsidP="00665D20">
      <w:pPr>
        <w:spacing w:after="0"/>
        <w:jc w:val="both"/>
        <w:rPr>
          <w:rFonts w:ascii="Arial" w:hAnsi="Arial" w:cs="Arial"/>
        </w:rPr>
      </w:pPr>
      <w:r w:rsidRPr="002F188C">
        <w:rPr>
          <w:rFonts w:ascii="Arial" w:hAnsi="Arial" w:cs="Arial"/>
        </w:rPr>
        <w:t xml:space="preserve">This letter is addressed to the customers of Portsmouth Water and other interested parties, including Non-Household Retailers. </w:t>
      </w:r>
    </w:p>
    <w:p w:rsidR="008322B6" w:rsidRPr="002F188C" w:rsidRDefault="008322B6" w:rsidP="00665D20">
      <w:pPr>
        <w:spacing w:after="0"/>
        <w:jc w:val="both"/>
        <w:rPr>
          <w:rFonts w:ascii="Arial" w:hAnsi="Arial" w:cs="Arial"/>
        </w:rPr>
      </w:pPr>
    </w:p>
    <w:p w:rsidR="008322B6" w:rsidRDefault="008322B6" w:rsidP="00665D20">
      <w:pPr>
        <w:spacing w:after="0"/>
        <w:jc w:val="both"/>
        <w:rPr>
          <w:rFonts w:ascii="Arial" w:hAnsi="Arial" w:cs="Arial"/>
        </w:rPr>
      </w:pPr>
      <w:r w:rsidRPr="002F188C">
        <w:rPr>
          <w:rFonts w:ascii="Arial" w:hAnsi="Arial" w:cs="Arial"/>
        </w:rPr>
        <w:t>It confirms that the Board of Portsmouth Water believe that the wholesale tariffs and the Wholesale Charges Scheme which will be published by 1</w:t>
      </w:r>
      <w:r w:rsidR="00787B24">
        <w:rPr>
          <w:rFonts w:ascii="Arial" w:hAnsi="Arial" w:cs="Arial"/>
        </w:rPr>
        <w:t>4</w:t>
      </w:r>
      <w:r w:rsidRPr="002F188C">
        <w:rPr>
          <w:rFonts w:ascii="Arial" w:hAnsi="Arial" w:cs="Arial"/>
        </w:rPr>
        <w:t xml:space="preserve"> January 20</w:t>
      </w:r>
      <w:r w:rsidR="00AD448E">
        <w:rPr>
          <w:rFonts w:ascii="Arial" w:hAnsi="Arial" w:cs="Arial"/>
        </w:rPr>
        <w:t>20</w:t>
      </w:r>
      <w:r w:rsidRPr="002F188C">
        <w:rPr>
          <w:rFonts w:ascii="Arial" w:hAnsi="Arial" w:cs="Arial"/>
        </w:rPr>
        <w:t xml:space="preserve"> comply with its regulatory requirements.</w:t>
      </w:r>
    </w:p>
    <w:p w:rsidR="008322B6" w:rsidRPr="002F188C" w:rsidRDefault="008322B6" w:rsidP="00665D20">
      <w:pPr>
        <w:spacing w:after="0"/>
        <w:jc w:val="both"/>
        <w:rPr>
          <w:rFonts w:ascii="Arial" w:hAnsi="Arial" w:cs="Arial"/>
        </w:rPr>
      </w:pPr>
    </w:p>
    <w:p w:rsidR="008322B6" w:rsidRDefault="008322B6" w:rsidP="00665D20">
      <w:pPr>
        <w:spacing w:after="0"/>
        <w:jc w:val="both"/>
        <w:rPr>
          <w:rFonts w:ascii="Arial" w:hAnsi="Arial" w:cs="Arial"/>
        </w:rPr>
      </w:pPr>
      <w:r w:rsidRPr="002F188C">
        <w:rPr>
          <w:rFonts w:ascii="Arial" w:hAnsi="Arial" w:cs="Arial"/>
        </w:rPr>
        <w:t xml:space="preserve">The Board have been actively involved throughout the progress of this Charges Scheme.  There was detailed discussion on the subject at the September and December Board meetings and a specific meeting of the Chairman of the Audit Committee, management and external advisers of the Company on </w:t>
      </w:r>
      <w:r w:rsidR="009F0987">
        <w:rPr>
          <w:rFonts w:ascii="Arial" w:hAnsi="Arial" w:cs="Arial"/>
        </w:rPr>
        <w:t>9</w:t>
      </w:r>
      <w:r w:rsidRPr="002F188C">
        <w:rPr>
          <w:rFonts w:ascii="Arial" w:hAnsi="Arial" w:cs="Arial"/>
        </w:rPr>
        <w:t xml:space="preserve"> January 20</w:t>
      </w:r>
      <w:r w:rsidR="00AD448E">
        <w:rPr>
          <w:rFonts w:ascii="Arial" w:hAnsi="Arial" w:cs="Arial"/>
        </w:rPr>
        <w:t>20</w:t>
      </w:r>
      <w:r w:rsidRPr="002F188C">
        <w:rPr>
          <w:rFonts w:ascii="Arial" w:hAnsi="Arial" w:cs="Arial"/>
        </w:rPr>
        <w:t xml:space="preserve">.  </w:t>
      </w:r>
    </w:p>
    <w:p w:rsidR="008322B6" w:rsidRPr="002F188C" w:rsidRDefault="008322B6" w:rsidP="00665D20">
      <w:pPr>
        <w:spacing w:after="0"/>
        <w:jc w:val="both"/>
        <w:rPr>
          <w:rFonts w:ascii="Arial" w:hAnsi="Arial" w:cs="Arial"/>
        </w:rPr>
      </w:pPr>
    </w:p>
    <w:p w:rsidR="008322B6" w:rsidRDefault="008322B6" w:rsidP="00665D20">
      <w:pPr>
        <w:spacing w:after="0"/>
        <w:jc w:val="both"/>
        <w:rPr>
          <w:rFonts w:ascii="Arial" w:hAnsi="Arial" w:cs="Arial"/>
        </w:rPr>
      </w:pPr>
      <w:r w:rsidRPr="002F188C">
        <w:rPr>
          <w:rFonts w:ascii="Arial" w:hAnsi="Arial" w:cs="Arial"/>
        </w:rPr>
        <w:t xml:space="preserve">The Board therefore believes it is in a position to confirm the following:- </w:t>
      </w:r>
    </w:p>
    <w:p w:rsidR="008322B6" w:rsidRPr="002F188C" w:rsidRDefault="008322B6" w:rsidP="00665D20">
      <w:pPr>
        <w:spacing w:after="0"/>
        <w:jc w:val="both"/>
        <w:rPr>
          <w:rFonts w:ascii="Arial" w:hAnsi="Arial" w:cs="Arial"/>
        </w:rPr>
      </w:pPr>
    </w:p>
    <w:p w:rsidR="008322B6" w:rsidRPr="002F188C" w:rsidRDefault="008322B6" w:rsidP="00665D20">
      <w:pPr>
        <w:pStyle w:val="ListParagraph"/>
        <w:numPr>
          <w:ilvl w:val="0"/>
          <w:numId w:val="6"/>
        </w:numPr>
        <w:spacing w:after="0" w:line="256" w:lineRule="auto"/>
        <w:ind w:left="360"/>
        <w:jc w:val="both"/>
        <w:rPr>
          <w:rFonts w:ascii="Arial" w:hAnsi="Arial" w:cs="Arial"/>
          <w:i/>
        </w:rPr>
      </w:pPr>
      <w:r w:rsidRPr="002F188C">
        <w:rPr>
          <w:rFonts w:ascii="Arial" w:hAnsi="Arial" w:cs="Arial"/>
        </w:rPr>
        <w:t xml:space="preserve">the Company complies with its legal obligations relating to the Wholesale Charges it has published; </w:t>
      </w:r>
    </w:p>
    <w:p w:rsidR="008322B6" w:rsidRPr="002F188C" w:rsidRDefault="008322B6" w:rsidP="00665D20">
      <w:pPr>
        <w:pStyle w:val="ListParagraph"/>
        <w:spacing w:after="0"/>
        <w:ind w:left="360" w:hanging="360"/>
        <w:jc w:val="both"/>
        <w:rPr>
          <w:rFonts w:ascii="Arial" w:hAnsi="Arial" w:cs="Arial"/>
        </w:rPr>
      </w:pPr>
    </w:p>
    <w:p w:rsidR="008322B6" w:rsidRPr="002F188C" w:rsidRDefault="008322B6" w:rsidP="00665D20">
      <w:pPr>
        <w:pStyle w:val="ListParagraph"/>
        <w:spacing w:after="0"/>
        <w:ind w:left="360"/>
        <w:jc w:val="both"/>
        <w:rPr>
          <w:rFonts w:ascii="Arial" w:hAnsi="Arial" w:cs="Arial"/>
          <w:i/>
        </w:rPr>
      </w:pPr>
      <w:r w:rsidRPr="002F188C">
        <w:rPr>
          <w:rFonts w:ascii="Arial" w:hAnsi="Arial" w:cs="Arial"/>
          <w:i/>
        </w:rPr>
        <w:t>Specifically the Board confirms that the charges are compliant with the wholesale revenue cap determined by Ofwat at PR1</w:t>
      </w:r>
      <w:r w:rsidR="00AD448E">
        <w:rPr>
          <w:rFonts w:ascii="Arial" w:hAnsi="Arial" w:cs="Arial"/>
          <w:i/>
        </w:rPr>
        <w:t>9</w:t>
      </w:r>
      <w:r w:rsidRPr="002F188C">
        <w:rPr>
          <w:rFonts w:ascii="Arial" w:hAnsi="Arial" w:cs="Arial"/>
          <w:i/>
        </w:rPr>
        <w:t xml:space="preserve"> and that the costs associated with Open Water are appropriately recovered from our non-household customer base only.  </w:t>
      </w:r>
    </w:p>
    <w:p w:rsidR="008322B6" w:rsidRPr="002F188C" w:rsidRDefault="008322B6" w:rsidP="00665D20">
      <w:pPr>
        <w:pStyle w:val="ListParagraph"/>
        <w:spacing w:after="0"/>
        <w:ind w:left="360"/>
        <w:jc w:val="both"/>
        <w:rPr>
          <w:rFonts w:ascii="Arial" w:hAnsi="Arial" w:cs="Arial"/>
          <w:i/>
        </w:rPr>
      </w:pPr>
    </w:p>
    <w:p w:rsidR="008322B6" w:rsidRDefault="008322B6" w:rsidP="00665D20">
      <w:pPr>
        <w:pStyle w:val="ListParagraph"/>
        <w:spacing w:after="0"/>
        <w:ind w:left="360"/>
        <w:jc w:val="both"/>
        <w:rPr>
          <w:rFonts w:ascii="Arial" w:hAnsi="Arial" w:cs="Arial"/>
          <w:i/>
        </w:rPr>
      </w:pPr>
      <w:r w:rsidRPr="002F188C">
        <w:rPr>
          <w:rFonts w:ascii="Arial" w:hAnsi="Arial" w:cs="Arial"/>
          <w:i/>
        </w:rPr>
        <w:t>Further, the charges recognise any adjustments required from the Wholesale Revenue Forecasting Incentive Mechanism (WRFIM).</w:t>
      </w:r>
    </w:p>
    <w:p w:rsidR="008322B6" w:rsidRPr="002F188C" w:rsidRDefault="008322B6" w:rsidP="00665D20">
      <w:pPr>
        <w:pStyle w:val="ListParagraph"/>
        <w:spacing w:after="0"/>
        <w:ind w:left="360"/>
        <w:jc w:val="both"/>
        <w:rPr>
          <w:rFonts w:ascii="Arial" w:hAnsi="Arial" w:cs="Arial"/>
          <w:i/>
        </w:rPr>
      </w:pPr>
    </w:p>
    <w:p w:rsidR="008322B6" w:rsidRDefault="008322B6" w:rsidP="00665D20">
      <w:pPr>
        <w:spacing w:after="0"/>
        <w:ind w:left="360"/>
        <w:jc w:val="both"/>
        <w:rPr>
          <w:rFonts w:ascii="Arial" w:hAnsi="Arial" w:cs="Arial"/>
          <w:i/>
        </w:rPr>
      </w:pPr>
      <w:r w:rsidRPr="002F188C">
        <w:rPr>
          <w:rFonts w:ascii="Arial" w:hAnsi="Arial" w:cs="Arial"/>
          <w:i/>
        </w:rPr>
        <w:t xml:space="preserve">We have engaged Frontier Economics to review this submission and they have provided external assurance that the proposal is compliant.  The Board believe Frontier Economics are well placed to give this assurance given their knowledge and experience of the water industry. </w:t>
      </w:r>
    </w:p>
    <w:p w:rsidR="00CA1A6C" w:rsidRPr="002F188C" w:rsidRDefault="00CA1A6C" w:rsidP="00665D20">
      <w:pPr>
        <w:spacing w:after="0"/>
        <w:ind w:left="360"/>
        <w:jc w:val="both"/>
        <w:rPr>
          <w:rFonts w:ascii="Arial" w:hAnsi="Arial" w:cs="Arial"/>
          <w:i/>
        </w:rPr>
      </w:pPr>
    </w:p>
    <w:p w:rsidR="008322B6" w:rsidRPr="002F188C" w:rsidRDefault="008322B6" w:rsidP="00665D20">
      <w:pPr>
        <w:spacing w:after="0"/>
        <w:ind w:left="360" w:hanging="360"/>
        <w:jc w:val="both"/>
        <w:rPr>
          <w:rFonts w:ascii="Arial" w:hAnsi="Arial" w:cs="Arial"/>
          <w:i/>
        </w:rPr>
      </w:pPr>
      <w:r w:rsidRPr="002F188C">
        <w:rPr>
          <w:rFonts w:ascii="Arial" w:hAnsi="Arial" w:cs="Arial"/>
        </w:rPr>
        <w:lastRenderedPageBreak/>
        <w:t>b)  the Board has assessed the effects of the new charges on water supply and sewerage licensees (as a whole or in groups) who are retailing wholesale services and on customers occupying Eligible Premises (as a whole or in groups) and approves the impact assessments and handling strategies developed in instances where bill increases for licensees (as a whole or in groups) who are retailing wholesale services and on customers occupying Eligible Premises (as a whole or in groups) exceed 5%;</w:t>
      </w:r>
    </w:p>
    <w:p w:rsidR="008322B6" w:rsidRDefault="008322B6" w:rsidP="00665D20">
      <w:pPr>
        <w:pStyle w:val="Default"/>
        <w:ind w:left="360"/>
        <w:jc w:val="both"/>
        <w:rPr>
          <w:i/>
          <w:color w:val="auto"/>
          <w:sz w:val="22"/>
          <w:szCs w:val="22"/>
        </w:rPr>
      </w:pPr>
    </w:p>
    <w:p w:rsidR="008322B6" w:rsidRDefault="008322B6" w:rsidP="00665D20">
      <w:pPr>
        <w:pStyle w:val="Default"/>
        <w:ind w:left="360"/>
        <w:jc w:val="both"/>
        <w:rPr>
          <w:i/>
          <w:color w:val="auto"/>
          <w:sz w:val="22"/>
          <w:szCs w:val="22"/>
        </w:rPr>
      </w:pPr>
      <w:r w:rsidRPr="00CA1A6C">
        <w:rPr>
          <w:i/>
          <w:color w:val="auto"/>
          <w:sz w:val="22"/>
          <w:szCs w:val="22"/>
        </w:rPr>
        <w:t>The Board can confirm that no wholesale tariff will increase</w:t>
      </w:r>
      <w:r w:rsidR="00AD448E">
        <w:rPr>
          <w:i/>
          <w:color w:val="auto"/>
          <w:sz w:val="22"/>
          <w:szCs w:val="22"/>
        </w:rPr>
        <w:t xml:space="preserve">.  The Final Determination published by Ofwat </w:t>
      </w:r>
      <w:r w:rsidR="00EB77DB">
        <w:rPr>
          <w:i/>
          <w:color w:val="auto"/>
          <w:sz w:val="22"/>
          <w:szCs w:val="22"/>
        </w:rPr>
        <w:t xml:space="preserve">on 16 December 2019 </w:t>
      </w:r>
      <w:r w:rsidR="00AD448E">
        <w:rPr>
          <w:i/>
          <w:color w:val="auto"/>
          <w:sz w:val="22"/>
          <w:szCs w:val="22"/>
        </w:rPr>
        <w:t>requires charges to fall in 2020/21.</w:t>
      </w:r>
    </w:p>
    <w:p w:rsidR="008322B6" w:rsidRPr="002F188C" w:rsidRDefault="008322B6" w:rsidP="00665D20">
      <w:pPr>
        <w:pStyle w:val="Default"/>
        <w:ind w:left="360"/>
        <w:jc w:val="both"/>
        <w:rPr>
          <w:i/>
          <w:color w:val="auto"/>
          <w:sz w:val="22"/>
          <w:szCs w:val="22"/>
        </w:rPr>
      </w:pPr>
    </w:p>
    <w:p w:rsidR="008322B6" w:rsidRPr="00CA1A6C" w:rsidRDefault="00787B24" w:rsidP="00665D20">
      <w:pPr>
        <w:pStyle w:val="Default"/>
        <w:ind w:left="360"/>
        <w:jc w:val="both"/>
        <w:rPr>
          <w:i/>
          <w:color w:val="auto"/>
          <w:sz w:val="22"/>
          <w:szCs w:val="22"/>
        </w:rPr>
      </w:pPr>
      <w:r>
        <w:rPr>
          <w:i/>
          <w:color w:val="auto"/>
          <w:sz w:val="22"/>
          <w:szCs w:val="22"/>
        </w:rPr>
        <w:t xml:space="preserve">33 </w:t>
      </w:r>
      <w:r w:rsidR="008322B6" w:rsidRPr="00CA1A6C">
        <w:rPr>
          <w:i/>
          <w:color w:val="auto"/>
          <w:sz w:val="22"/>
          <w:szCs w:val="22"/>
        </w:rPr>
        <w:t>illustrative customer</w:t>
      </w:r>
      <w:r>
        <w:rPr>
          <w:i/>
          <w:color w:val="auto"/>
          <w:sz w:val="22"/>
          <w:szCs w:val="22"/>
        </w:rPr>
        <w:t xml:space="preserve"> group</w:t>
      </w:r>
      <w:r w:rsidR="008322B6" w:rsidRPr="00CA1A6C">
        <w:rPr>
          <w:i/>
          <w:color w:val="auto"/>
          <w:sz w:val="22"/>
          <w:szCs w:val="22"/>
        </w:rPr>
        <w:t xml:space="preserve">s have been reviewed, including the average in a class and an upper and lower customer in the class as required by Ofwat guidelines. </w:t>
      </w:r>
    </w:p>
    <w:p w:rsidR="008322B6" w:rsidRPr="00CA1A6C" w:rsidRDefault="008322B6" w:rsidP="00665D20">
      <w:pPr>
        <w:pStyle w:val="Default"/>
        <w:ind w:left="360"/>
        <w:jc w:val="both"/>
        <w:rPr>
          <w:i/>
          <w:color w:val="auto"/>
          <w:sz w:val="22"/>
          <w:szCs w:val="22"/>
        </w:rPr>
      </w:pPr>
    </w:p>
    <w:p w:rsidR="008322B6" w:rsidRDefault="008322B6" w:rsidP="00665D20">
      <w:pPr>
        <w:pStyle w:val="Default"/>
        <w:ind w:left="360"/>
        <w:jc w:val="both"/>
        <w:rPr>
          <w:i/>
          <w:color w:val="auto"/>
          <w:sz w:val="22"/>
          <w:szCs w:val="22"/>
        </w:rPr>
      </w:pPr>
      <w:r w:rsidRPr="00AD448E">
        <w:rPr>
          <w:i/>
          <w:color w:val="auto"/>
          <w:sz w:val="22"/>
          <w:szCs w:val="22"/>
        </w:rPr>
        <w:t xml:space="preserve">For non-household customers the total bill </w:t>
      </w:r>
      <w:r w:rsidR="00AD448E" w:rsidRPr="00AD448E">
        <w:rPr>
          <w:i/>
          <w:color w:val="auto"/>
          <w:sz w:val="22"/>
          <w:szCs w:val="22"/>
        </w:rPr>
        <w:t xml:space="preserve">reduction </w:t>
      </w:r>
      <w:r w:rsidRPr="00AD448E">
        <w:rPr>
          <w:i/>
          <w:color w:val="auto"/>
          <w:sz w:val="22"/>
          <w:szCs w:val="22"/>
        </w:rPr>
        <w:t xml:space="preserve">ranges from </w:t>
      </w:r>
      <w:r w:rsidR="00AD448E" w:rsidRPr="00AD448E">
        <w:rPr>
          <w:i/>
          <w:sz w:val="22"/>
          <w:szCs w:val="22"/>
        </w:rPr>
        <w:t>4.2% to 10.7%</w:t>
      </w:r>
      <w:r w:rsidRPr="00AD448E">
        <w:rPr>
          <w:i/>
          <w:color w:val="auto"/>
          <w:sz w:val="22"/>
          <w:szCs w:val="22"/>
        </w:rPr>
        <w:t xml:space="preserve"> </w:t>
      </w:r>
      <w:r w:rsidRPr="00CA1A6C">
        <w:rPr>
          <w:i/>
          <w:color w:val="auto"/>
          <w:sz w:val="22"/>
          <w:szCs w:val="22"/>
        </w:rPr>
        <w:t>depending on the method of charge and usage.  Thus we do not need to establish either</w:t>
      </w:r>
      <w:r w:rsidRPr="002F188C">
        <w:rPr>
          <w:i/>
          <w:color w:val="auto"/>
          <w:sz w:val="22"/>
          <w:szCs w:val="22"/>
        </w:rPr>
        <w:t xml:space="preserve"> an impact assessment or a handling strategy for any class of customer.</w:t>
      </w:r>
    </w:p>
    <w:p w:rsidR="008322B6" w:rsidRPr="002F188C" w:rsidRDefault="008322B6" w:rsidP="00665D20">
      <w:pPr>
        <w:pStyle w:val="Default"/>
        <w:ind w:left="360"/>
        <w:jc w:val="both"/>
        <w:rPr>
          <w:i/>
          <w:color w:val="auto"/>
          <w:sz w:val="22"/>
          <w:szCs w:val="22"/>
        </w:rPr>
      </w:pPr>
    </w:p>
    <w:p w:rsidR="008322B6" w:rsidRDefault="008322B6" w:rsidP="00665D20">
      <w:pPr>
        <w:pStyle w:val="Default"/>
        <w:ind w:left="360" w:hanging="360"/>
        <w:jc w:val="both"/>
        <w:rPr>
          <w:sz w:val="22"/>
          <w:szCs w:val="22"/>
        </w:rPr>
      </w:pPr>
      <w:r w:rsidRPr="002F188C">
        <w:rPr>
          <w:sz w:val="22"/>
          <w:szCs w:val="22"/>
        </w:rPr>
        <w:t xml:space="preserve">c) </w:t>
      </w:r>
      <w:r w:rsidRPr="002F188C">
        <w:rPr>
          <w:sz w:val="22"/>
          <w:szCs w:val="22"/>
        </w:rPr>
        <w:tab/>
        <w:t>the Company has appropriate systems and processes in place (including up-to-date models and data) to make sure that the information published about its Wholesale Charges is accurate;</w:t>
      </w:r>
    </w:p>
    <w:p w:rsidR="008322B6" w:rsidRPr="002F188C" w:rsidRDefault="008322B6" w:rsidP="00665D20">
      <w:pPr>
        <w:pStyle w:val="Default"/>
        <w:ind w:left="360" w:hanging="360"/>
        <w:jc w:val="both"/>
        <w:rPr>
          <w:sz w:val="22"/>
          <w:szCs w:val="22"/>
        </w:rPr>
      </w:pPr>
    </w:p>
    <w:p w:rsidR="008322B6" w:rsidRDefault="008322B6" w:rsidP="00665D20">
      <w:pPr>
        <w:pStyle w:val="Default"/>
        <w:ind w:left="426" w:hanging="16"/>
        <w:jc w:val="both"/>
        <w:rPr>
          <w:i/>
          <w:color w:val="auto"/>
          <w:sz w:val="22"/>
          <w:szCs w:val="22"/>
        </w:rPr>
      </w:pPr>
      <w:r w:rsidRPr="002F188C">
        <w:rPr>
          <w:i/>
          <w:color w:val="auto"/>
          <w:sz w:val="22"/>
          <w:szCs w:val="22"/>
        </w:rPr>
        <w:t>The Board acknowledge the importance of having appropriate systems and processes in place to determine the tariffs and denominators underpinning the proposed wholesale charges in particular.</w:t>
      </w:r>
    </w:p>
    <w:p w:rsidR="008322B6" w:rsidRPr="002F188C" w:rsidRDefault="008322B6" w:rsidP="00665D20">
      <w:pPr>
        <w:pStyle w:val="Default"/>
        <w:ind w:left="426" w:hanging="16"/>
        <w:jc w:val="both"/>
        <w:rPr>
          <w:i/>
          <w:color w:val="auto"/>
          <w:sz w:val="22"/>
          <w:szCs w:val="22"/>
        </w:rPr>
      </w:pPr>
    </w:p>
    <w:p w:rsidR="008322B6" w:rsidRDefault="008322B6" w:rsidP="00665D20">
      <w:pPr>
        <w:pStyle w:val="Default"/>
        <w:ind w:left="426"/>
        <w:jc w:val="both"/>
        <w:rPr>
          <w:i/>
          <w:color w:val="auto"/>
          <w:sz w:val="22"/>
          <w:szCs w:val="22"/>
        </w:rPr>
      </w:pPr>
      <w:r w:rsidRPr="002F188C">
        <w:rPr>
          <w:i/>
          <w:color w:val="auto"/>
          <w:sz w:val="22"/>
          <w:szCs w:val="22"/>
        </w:rPr>
        <w:t>We have developed an in-house tariff model and purchased a bespoke model from Frontier Economics to ensure our tariffs are compliant. Both are completed by management and audited by Frontier Economics on an annual basis; they confirm both models are fit for purpose.</w:t>
      </w:r>
    </w:p>
    <w:p w:rsidR="008322B6" w:rsidRPr="002F188C" w:rsidRDefault="008322B6" w:rsidP="00665D20">
      <w:pPr>
        <w:pStyle w:val="Default"/>
        <w:ind w:left="426"/>
        <w:jc w:val="both"/>
        <w:rPr>
          <w:i/>
          <w:color w:val="auto"/>
          <w:sz w:val="22"/>
          <w:szCs w:val="22"/>
        </w:rPr>
      </w:pPr>
    </w:p>
    <w:p w:rsidR="008322B6" w:rsidRDefault="008322B6" w:rsidP="00665D20">
      <w:pPr>
        <w:pStyle w:val="Default"/>
        <w:ind w:left="426"/>
        <w:jc w:val="both"/>
        <w:rPr>
          <w:i/>
          <w:sz w:val="22"/>
          <w:szCs w:val="22"/>
        </w:rPr>
      </w:pPr>
      <w:r w:rsidRPr="002F188C">
        <w:rPr>
          <w:i/>
          <w:color w:val="auto"/>
          <w:sz w:val="22"/>
          <w:szCs w:val="22"/>
        </w:rPr>
        <w:t xml:space="preserve">Further we have an agreed process to determine the denominators which underpin the tariffs calculations. We engage our technical auditors, </w:t>
      </w:r>
      <w:r w:rsidR="00AD448E">
        <w:rPr>
          <w:i/>
          <w:color w:val="auto"/>
          <w:sz w:val="22"/>
          <w:szCs w:val="22"/>
        </w:rPr>
        <w:t>Jacobs</w:t>
      </w:r>
      <w:r w:rsidRPr="002F188C">
        <w:rPr>
          <w:i/>
          <w:color w:val="auto"/>
          <w:sz w:val="22"/>
          <w:szCs w:val="22"/>
        </w:rPr>
        <w:t>, to audit the denominators.  They have confirmed that the historic data on which we have established our 20</w:t>
      </w:r>
      <w:r>
        <w:rPr>
          <w:i/>
          <w:color w:val="auto"/>
          <w:sz w:val="22"/>
          <w:szCs w:val="22"/>
        </w:rPr>
        <w:t>20</w:t>
      </w:r>
      <w:r w:rsidR="00AD448E">
        <w:rPr>
          <w:i/>
          <w:color w:val="auto"/>
          <w:sz w:val="22"/>
          <w:szCs w:val="22"/>
        </w:rPr>
        <w:t>/21</w:t>
      </w:r>
      <w:r w:rsidRPr="002F188C">
        <w:rPr>
          <w:i/>
          <w:color w:val="auto"/>
          <w:sz w:val="22"/>
          <w:szCs w:val="22"/>
        </w:rPr>
        <w:t xml:space="preserve"> denominators is </w:t>
      </w:r>
      <w:r w:rsidR="009F0987">
        <w:rPr>
          <w:i/>
          <w:color w:val="auto"/>
          <w:sz w:val="22"/>
          <w:szCs w:val="22"/>
        </w:rPr>
        <w:t>appropriate</w:t>
      </w:r>
      <w:r w:rsidRPr="002F188C">
        <w:rPr>
          <w:i/>
          <w:color w:val="auto"/>
          <w:sz w:val="22"/>
          <w:szCs w:val="22"/>
        </w:rPr>
        <w:t xml:space="preserve">.  </w:t>
      </w:r>
      <w:r w:rsidRPr="002F188C">
        <w:rPr>
          <w:i/>
          <w:sz w:val="22"/>
          <w:szCs w:val="22"/>
        </w:rPr>
        <w:t xml:space="preserve">The Board believe </w:t>
      </w:r>
      <w:r w:rsidR="00AD448E">
        <w:rPr>
          <w:i/>
          <w:sz w:val="22"/>
          <w:szCs w:val="22"/>
        </w:rPr>
        <w:t xml:space="preserve">Jacobs </w:t>
      </w:r>
      <w:r w:rsidRPr="002F188C">
        <w:rPr>
          <w:i/>
          <w:sz w:val="22"/>
          <w:szCs w:val="22"/>
        </w:rPr>
        <w:t xml:space="preserve">are well placed to give this assurance given their knowledge of the </w:t>
      </w:r>
      <w:r w:rsidR="009F0987">
        <w:rPr>
          <w:i/>
          <w:sz w:val="22"/>
          <w:szCs w:val="22"/>
        </w:rPr>
        <w:t xml:space="preserve">industry </w:t>
      </w:r>
      <w:r w:rsidR="00C75EC5">
        <w:rPr>
          <w:i/>
          <w:sz w:val="22"/>
          <w:szCs w:val="22"/>
        </w:rPr>
        <w:t xml:space="preserve">and </w:t>
      </w:r>
      <w:r w:rsidR="0043263D">
        <w:rPr>
          <w:i/>
          <w:sz w:val="22"/>
          <w:szCs w:val="22"/>
        </w:rPr>
        <w:t>specific experience on this issue.</w:t>
      </w:r>
    </w:p>
    <w:p w:rsidR="008322B6" w:rsidRPr="002F188C" w:rsidRDefault="008322B6" w:rsidP="00665D20">
      <w:pPr>
        <w:pStyle w:val="Default"/>
        <w:ind w:left="426"/>
        <w:jc w:val="both"/>
        <w:rPr>
          <w:i/>
          <w:sz w:val="22"/>
          <w:szCs w:val="22"/>
        </w:rPr>
      </w:pPr>
    </w:p>
    <w:p w:rsidR="008322B6" w:rsidRDefault="008322B6" w:rsidP="00665D20">
      <w:pPr>
        <w:spacing w:after="0"/>
        <w:ind w:left="426" w:hanging="426"/>
        <w:jc w:val="both"/>
        <w:rPr>
          <w:rFonts w:ascii="Arial" w:hAnsi="Arial" w:cs="Arial"/>
        </w:rPr>
      </w:pPr>
      <w:r w:rsidRPr="002F188C">
        <w:rPr>
          <w:rFonts w:ascii="Arial" w:hAnsi="Arial" w:cs="Arial"/>
        </w:rPr>
        <w:t xml:space="preserve">d) </w:t>
      </w:r>
      <w:r w:rsidRPr="002F188C">
        <w:rPr>
          <w:rFonts w:ascii="Arial" w:hAnsi="Arial" w:cs="Arial"/>
        </w:rPr>
        <w:tab/>
        <w:t>the Company has consulted with relevant stakeholders in a timely and effective manner on its Wholesale Charges;</w:t>
      </w:r>
    </w:p>
    <w:p w:rsidR="008322B6" w:rsidRPr="002F188C" w:rsidRDefault="008322B6" w:rsidP="00665D20">
      <w:pPr>
        <w:spacing w:after="0"/>
        <w:ind w:left="426" w:hanging="426"/>
        <w:jc w:val="both"/>
        <w:rPr>
          <w:rFonts w:ascii="Arial" w:hAnsi="Arial" w:cs="Arial"/>
          <w:i/>
        </w:rPr>
      </w:pPr>
    </w:p>
    <w:p w:rsidR="008322B6" w:rsidRPr="002F188C" w:rsidRDefault="008322B6" w:rsidP="00665D20">
      <w:pPr>
        <w:pStyle w:val="Default"/>
        <w:ind w:left="426"/>
        <w:jc w:val="both"/>
        <w:rPr>
          <w:i/>
          <w:color w:val="auto"/>
          <w:sz w:val="22"/>
          <w:szCs w:val="22"/>
        </w:rPr>
      </w:pPr>
      <w:r w:rsidRPr="00631169">
        <w:rPr>
          <w:i/>
          <w:color w:val="auto"/>
          <w:sz w:val="22"/>
          <w:szCs w:val="22"/>
        </w:rPr>
        <w:t>The Company confirms that it has consulted with CCWater in particular</w:t>
      </w:r>
      <w:r w:rsidR="00C75EC5">
        <w:rPr>
          <w:i/>
          <w:color w:val="auto"/>
          <w:sz w:val="22"/>
          <w:szCs w:val="22"/>
        </w:rPr>
        <w:t>, who it considers to be the relevant stakeholder,</w:t>
      </w:r>
      <w:r w:rsidRPr="00631169">
        <w:rPr>
          <w:i/>
          <w:color w:val="auto"/>
          <w:sz w:val="22"/>
          <w:szCs w:val="22"/>
        </w:rPr>
        <w:t xml:space="preserve"> in a timely and effective manner.  We received a letter of </w:t>
      </w:r>
      <w:r w:rsidRPr="00C75EC5">
        <w:rPr>
          <w:i/>
          <w:color w:val="auto"/>
          <w:sz w:val="22"/>
          <w:szCs w:val="22"/>
        </w:rPr>
        <w:t xml:space="preserve">support for our proposed charges from CCWater on </w:t>
      </w:r>
      <w:r w:rsidR="00C75EC5" w:rsidRPr="00C75EC5">
        <w:rPr>
          <w:i/>
          <w:color w:val="auto"/>
          <w:sz w:val="22"/>
          <w:szCs w:val="22"/>
        </w:rPr>
        <w:t>8</w:t>
      </w:r>
      <w:r w:rsidRPr="00C75EC5">
        <w:rPr>
          <w:i/>
          <w:color w:val="auto"/>
          <w:sz w:val="22"/>
          <w:szCs w:val="22"/>
        </w:rPr>
        <w:t xml:space="preserve"> January 20</w:t>
      </w:r>
      <w:r w:rsidR="00AD448E" w:rsidRPr="00C75EC5">
        <w:rPr>
          <w:i/>
          <w:color w:val="auto"/>
          <w:sz w:val="22"/>
          <w:szCs w:val="22"/>
        </w:rPr>
        <w:t>20.</w:t>
      </w:r>
      <w:r w:rsidRPr="002F188C">
        <w:rPr>
          <w:i/>
          <w:color w:val="auto"/>
          <w:sz w:val="22"/>
          <w:szCs w:val="22"/>
        </w:rPr>
        <w:t xml:space="preserve"> </w:t>
      </w:r>
    </w:p>
    <w:p w:rsidR="008322B6" w:rsidRPr="002F188C" w:rsidRDefault="008322B6" w:rsidP="00665D20">
      <w:pPr>
        <w:pStyle w:val="Default"/>
        <w:ind w:left="426"/>
        <w:jc w:val="both"/>
        <w:rPr>
          <w:i/>
          <w:color w:val="auto"/>
          <w:sz w:val="22"/>
          <w:szCs w:val="22"/>
        </w:rPr>
      </w:pPr>
    </w:p>
    <w:p w:rsidR="008322B6" w:rsidRPr="002F188C" w:rsidRDefault="008322B6" w:rsidP="00665D20">
      <w:pPr>
        <w:spacing w:after="0"/>
        <w:ind w:left="426" w:hanging="426"/>
        <w:jc w:val="both"/>
        <w:rPr>
          <w:rFonts w:ascii="Arial" w:hAnsi="Arial" w:cs="Arial"/>
        </w:rPr>
      </w:pPr>
      <w:r w:rsidRPr="002F188C">
        <w:rPr>
          <w:rFonts w:ascii="Arial" w:hAnsi="Arial" w:cs="Arial"/>
        </w:rPr>
        <w:t xml:space="preserve">e) </w:t>
      </w:r>
      <w:r w:rsidRPr="002F188C">
        <w:rPr>
          <w:rFonts w:ascii="Arial" w:hAnsi="Arial" w:cs="Arial"/>
        </w:rPr>
        <w:tab/>
        <w:t xml:space="preserve">where Final Wholesale Charges are significantly different from the indicative Wholesale Charges published for the same period, the Board has considered the reasons why those changes occurred and has issued a statement explaining why those changes were not anticipated and/or mitigated. </w:t>
      </w:r>
    </w:p>
    <w:p w:rsidR="008322B6" w:rsidRDefault="008322B6" w:rsidP="00665D20">
      <w:pPr>
        <w:spacing w:after="0"/>
        <w:ind w:left="426"/>
        <w:jc w:val="both"/>
        <w:rPr>
          <w:rFonts w:ascii="Arial" w:hAnsi="Arial" w:cs="Arial"/>
          <w:i/>
        </w:rPr>
      </w:pPr>
    </w:p>
    <w:p w:rsidR="008322B6" w:rsidRDefault="008322B6" w:rsidP="00665D20">
      <w:pPr>
        <w:spacing w:after="0"/>
        <w:ind w:left="426"/>
        <w:jc w:val="both"/>
        <w:rPr>
          <w:rFonts w:ascii="Arial" w:hAnsi="Arial" w:cs="Arial"/>
          <w:i/>
        </w:rPr>
      </w:pPr>
      <w:r w:rsidRPr="002F188C">
        <w:rPr>
          <w:rFonts w:ascii="Arial" w:hAnsi="Arial" w:cs="Arial"/>
          <w:i/>
        </w:rPr>
        <w:t xml:space="preserve">We have compared our final wholesale charges </w:t>
      </w:r>
      <w:r w:rsidR="0061505F">
        <w:rPr>
          <w:rFonts w:ascii="Arial" w:hAnsi="Arial" w:cs="Arial"/>
          <w:i/>
        </w:rPr>
        <w:t xml:space="preserve">for 2020/21 </w:t>
      </w:r>
      <w:r w:rsidRPr="002F188C">
        <w:rPr>
          <w:rFonts w:ascii="Arial" w:hAnsi="Arial" w:cs="Arial"/>
          <w:i/>
        </w:rPr>
        <w:t xml:space="preserve">with </w:t>
      </w:r>
      <w:r w:rsidR="0061505F">
        <w:rPr>
          <w:rFonts w:ascii="Arial" w:hAnsi="Arial" w:cs="Arial"/>
          <w:i/>
        </w:rPr>
        <w:t xml:space="preserve">the draft charges </w:t>
      </w:r>
      <w:r w:rsidRPr="002F188C">
        <w:rPr>
          <w:rFonts w:ascii="Arial" w:hAnsi="Arial" w:cs="Arial"/>
          <w:i/>
        </w:rPr>
        <w:t xml:space="preserve">we published on </w:t>
      </w:r>
      <w:r w:rsidR="00C26FEC">
        <w:rPr>
          <w:rFonts w:ascii="Arial" w:hAnsi="Arial" w:cs="Arial"/>
          <w:i/>
        </w:rPr>
        <w:t xml:space="preserve">11 October </w:t>
      </w:r>
      <w:r w:rsidRPr="002F188C">
        <w:rPr>
          <w:rFonts w:ascii="Arial" w:hAnsi="Arial" w:cs="Arial"/>
          <w:i/>
        </w:rPr>
        <w:t>201</w:t>
      </w:r>
      <w:r w:rsidR="00AD448E">
        <w:rPr>
          <w:rFonts w:ascii="Arial" w:hAnsi="Arial" w:cs="Arial"/>
          <w:i/>
        </w:rPr>
        <w:t>9</w:t>
      </w:r>
      <w:r w:rsidRPr="002F188C">
        <w:rPr>
          <w:rFonts w:ascii="Arial" w:hAnsi="Arial" w:cs="Arial"/>
          <w:i/>
        </w:rPr>
        <w:t xml:space="preserve">. There are changes </w:t>
      </w:r>
      <w:r w:rsidR="00AD448E">
        <w:rPr>
          <w:rFonts w:ascii="Arial" w:hAnsi="Arial" w:cs="Arial"/>
          <w:i/>
        </w:rPr>
        <w:t>in the proposed tariffs, reflecting the movement in allowed revenue between the Draft Determination, published by Ofwat in July 2019 and the Final Determination, published by Ofwat in December 2019.</w:t>
      </w:r>
    </w:p>
    <w:p w:rsidR="00AD448E" w:rsidRPr="002F188C" w:rsidRDefault="00AD448E" w:rsidP="00665D20">
      <w:pPr>
        <w:spacing w:after="0"/>
        <w:ind w:left="426"/>
        <w:jc w:val="both"/>
        <w:rPr>
          <w:rFonts w:ascii="Arial" w:hAnsi="Arial" w:cs="Arial"/>
          <w:i/>
        </w:rPr>
      </w:pPr>
    </w:p>
    <w:p w:rsidR="008322B6" w:rsidRDefault="008322B6" w:rsidP="00665D20">
      <w:pPr>
        <w:spacing w:after="0"/>
        <w:ind w:left="426"/>
        <w:jc w:val="both"/>
        <w:rPr>
          <w:rFonts w:ascii="Arial" w:hAnsi="Arial" w:cs="Arial"/>
          <w:i/>
        </w:rPr>
      </w:pPr>
      <w:r w:rsidRPr="002F188C">
        <w:rPr>
          <w:rFonts w:ascii="Arial" w:hAnsi="Arial" w:cs="Arial"/>
          <w:i/>
        </w:rPr>
        <w:lastRenderedPageBreak/>
        <w:t xml:space="preserve">In addition </w:t>
      </w:r>
      <w:r w:rsidR="0061505F">
        <w:rPr>
          <w:rFonts w:ascii="Arial" w:hAnsi="Arial" w:cs="Arial"/>
          <w:i/>
        </w:rPr>
        <w:t xml:space="preserve">there are </w:t>
      </w:r>
      <w:r w:rsidRPr="002F188C">
        <w:rPr>
          <w:rFonts w:ascii="Arial" w:hAnsi="Arial" w:cs="Arial"/>
          <w:i/>
        </w:rPr>
        <w:t xml:space="preserve">minor changes in assumptions on numbers and usage, the final tariffs have been adjusted slightly to give a more equal distribution of the price </w:t>
      </w:r>
      <w:r w:rsidR="00C75EC5">
        <w:rPr>
          <w:rFonts w:ascii="Arial" w:hAnsi="Arial" w:cs="Arial"/>
          <w:i/>
        </w:rPr>
        <w:t xml:space="preserve">reduction </w:t>
      </w:r>
      <w:r w:rsidRPr="002F188C">
        <w:rPr>
          <w:rFonts w:ascii="Arial" w:hAnsi="Arial" w:cs="Arial"/>
          <w:i/>
        </w:rPr>
        <w:t>amongst the different customer types.</w:t>
      </w:r>
    </w:p>
    <w:p w:rsidR="008322B6" w:rsidRPr="002F188C" w:rsidRDefault="008322B6" w:rsidP="00665D20">
      <w:pPr>
        <w:spacing w:after="0"/>
        <w:ind w:left="426"/>
        <w:jc w:val="both"/>
        <w:rPr>
          <w:rFonts w:ascii="Arial" w:hAnsi="Arial" w:cs="Arial"/>
          <w:i/>
        </w:rPr>
      </w:pPr>
    </w:p>
    <w:p w:rsidR="008322B6" w:rsidRDefault="008322B6" w:rsidP="00665D20">
      <w:pPr>
        <w:spacing w:after="0"/>
        <w:ind w:left="426"/>
        <w:jc w:val="both"/>
        <w:rPr>
          <w:rFonts w:ascii="Arial" w:hAnsi="Arial" w:cs="Arial"/>
          <w:i/>
        </w:rPr>
      </w:pPr>
      <w:r w:rsidRPr="002F188C">
        <w:rPr>
          <w:rFonts w:ascii="Arial" w:hAnsi="Arial" w:cs="Arial"/>
          <w:i/>
        </w:rPr>
        <w:t xml:space="preserve">The Board therefore conclude that </w:t>
      </w:r>
      <w:r w:rsidR="00EB77DB">
        <w:rPr>
          <w:rFonts w:ascii="Arial" w:hAnsi="Arial" w:cs="Arial"/>
          <w:i/>
        </w:rPr>
        <w:t xml:space="preserve">whilst there have been changes between the draft and final charges for 2020/21, these are driven </w:t>
      </w:r>
      <w:r w:rsidR="00C75EC5">
        <w:rPr>
          <w:rFonts w:ascii="Arial" w:hAnsi="Arial" w:cs="Arial"/>
          <w:i/>
        </w:rPr>
        <w:t xml:space="preserve">largely </w:t>
      </w:r>
      <w:r w:rsidR="00EB77DB">
        <w:rPr>
          <w:rFonts w:ascii="Arial" w:hAnsi="Arial" w:cs="Arial"/>
          <w:i/>
        </w:rPr>
        <w:t>by the Ofwat determination.</w:t>
      </w:r>
      <w:r w:rsidRPr="002F188C">
        <w:rPr>
          <w:rFonts w:ascii="Arial" w:hAnsi="Arial" w:cs="Arial"/>
          <w:i/>
        </w:rPr>
        <w:t xml:space="preserve"> </w:t>
      </w:r>
    </w:p>
    <w:p w:rsidR="008322B6" w:rsidRPr="002F188C" w:rsidRDefault="008322B6" w:rsidP="00665D20">
      <w:pPr>
        <w:spacing w:after="0"/>
        <w:ind w:left="426"/>
        <w:jc w:val="both"/>
        <w:rPr>
          <w:rFonts w:ascii="Arial" w:hAnsi="Arial" w:cs="Arial"/>
          <w:i/>
        </w:rPr>
      </w:pPr>
    </w:p>
    <w:p w:rsidR="008322B6" w:rsidRDefault="008322B6" w:rsidP="00665D20">
      <w:pPr>
        <w:spacing w:after="0"/>
        <w:jc w:val="both"/>
        <w:rPr>
          <w:rFonts w:ascii="Arial" w:hAnsi="Arial" w:cs="Arial"/>
          <w:b/>
        </w:rPr>
      </w:pPr>
    </w:p>
    <w:p w:rsidR="008322B6" w:rsidRPr="002F188C" w:rsidRDefault="008322B6" w:rsidP="00665D20">
      <w:pPr>
        <w:spacing w:after="0"/>
        <w:jc w:val="both"/>
        <w:rPr>
          <w:rFonts w:ascii="Arial" w:hAnsi="Arial" w:cs="Arial"/>
          <w:b/>
        </w:rPr>
      </w:pPr>
      <w:r w:rsidRPr="002F188C">
        <w:rPr>
          <w:rFonts w:ascii="Arial" w:hAnsi="Arial" w:cs="Arial"/>
          <w:b/>
        </w:rPr>
        <w:t>Conclusion</w:t>
      </w:r>
    </w:p>
    <w:p w:rsidR="008322B6" w:rsidRDefault="008322B6" w:rsidP="00665D20">
      <w:pPr>
        <w:spacing w:after="0"/>
        <w:jc w:val="both"/>
        <w:rPr>
          <w:rFonts w:ascii="Arial" w:hAnsi="Arial" w:cs="Arial"/>
        </w:rPr>
      </w:pPr>
      <w:r w:rsidRPr="002F188C">
        <w:rPr>
          <w:rFonts w:ascii="Arial" w:hAnsi="Arial" w:cs="Arial"/>
        </w:rPr>
        <w:t>The Board of Portsmouth Water believe that the tariffs and associated wholesale Charges Scheme, to be published 1</w:t>
      </w:r>
      <w:r w:rsidR="0043263D">
        <w:rPr>
          <w:rFonts w:ascii="Arial" w:hAnsi="Arial" w:cs="Arial"/>
        </w:rPr>
        <w:t>4</w:t>
      </w:r>
      <w:r w:rsidRPr="002F188C">
        <w:rPr>
          <w:rFonts w:ascii="Arial" w:hAnsi="Arial" w:cs="Arial"/>
        </w:rPr>
        <w:t xml:space="preserve"> January 20</w:t>
      </w:r>
      <w:r w:rsidR="00AD448E">
        <w:rPr>
          <w:rFonts w:ascii="Arial" w:hAnsi="Arial" w:cs="Arial"/>
        </w:rPr>
        <w:t>20</w:t>
      </w:r>
      <w:r w:rsidRPr="002F188C">
        <w:rPr>
          <w:rFonts w:ascii="Arial" w:hAnsi="Arial" w:cs="Arial"/>
        </w:rPr>
        <w:t>, complies with the Company’s legal and regulatory requirements.</w:t>
      </w:r>
    </w:p>
    <w:p w:rsidR="008322B6" w:rsidRPr="002F188C" w:rsidRDefault="008322B6" w:rsidP="00665D20">
      <w:pPr>
        <w:spacing w:after="0"/>
        <w:jc w:val="both"/>
        <w:rPr>
          <w:rFonts w:ascii="Arial" w:hAnsi="Arial" w:cs="Arial"/>
        </w:rPr>
      </w:pPr>
    </w:p>
    <w:p w:rsidR="008322B6" w:rsidRPr="002F188C" w:rsidRDefault="008322B6" w:rsidP="00665D20">
      <w:pPr>
        <w:pStyle w:val="Default"/>
        <w:jc w:val="both"/>
        <w:rPr>
          <w:sz w:val="22"/>
          <w:szCs w:val="22"/>
        </w:rPr>
      </w:pPr>
      <w:r w:rsidRPr="002F188C">
        <w:rPr>
          <w:sz w:val="22"/>
          <w:szCs w:val="22"/>
        </w:rPr>
        <w:t>This statement will be published on our website on 1</w:t>
      </w:r>
      <w:r w:rsidR="0043263D">
        <w:rPr>
          <w:sz w:val="22"/>
          <w:szCs w:val="22"/>
        </w:rPr>
        <w:t>4</w:t>
      </w:r>
      <w:r w:rsidRPr="002F188C">
        <w:rPr>
          <w:sz w:val="22"/>
          <w:szCs w:val="22"/>
        </w:rPr>
        <w:t xml:space="preserve"> January 20</w:t>
      </w:r>
      <w:r w:rsidR="00AD448E">
        <w:rPr>
          <w:sz w:val="22"/>
          <w:szCs w:val="22"/>
        </w:rPr>
        <w:t>20</w:t>
      </w:r>
      <w:r w:rsidRPr="002F188C">
        <w:rPr>
          <w:sz w:val="22"/>
          <w:szCs w:val="22"/>
        </w:rPr>
        <w:t xml:space="preserve"> and sent to Ofwat together with information on significant changes to tariffs and average household bill information.</w:t>
      </w:r>
    </w:p>
    <w:p w:rsidR="008322B6" w:rsidRPr="002F188C" w:rsidRDefault="008322B6" w:rsidP="00665D20">
      <w:pPr>
        <w:spacing w:after="0"/>
        <w:jc w:val="both"/>
        <w:rPr>
          <w:rFonts w:ascii="Arial" w:hAnsi="Arial" w:cs="Arial"/>
          <w:b/>
        </w:rPr>
      </w:pPr>
    </w:p>
    <w:p w:rsidR="008322B6" w:rsidRDefault="008322B6" w:rsidP="00665D20">
      <w:pPr>
        <w:spacing w:after="0"/>
        <w:jc w:val="both"/>
        <w:rPr>
          <w:rFonts w:ascii="Arial" w:hAnsi="Arial" w:cs="Arial"/>
          <w:b/>
        </w:rPr>
      </w:pPr>
    </w:p>
    <w:p w:rsidR="00AD448E" w:rsidRDefault="00864C84" w:rsidP="00665D20">
      <w:pPr>
        <w:spacing w:after="0"/>
        <w:ind w:left="5103" w:hanging="5103"/>
        <w:jc w:val="both"/>
        <w:rPr>
          <w:rFonts w:ascii="Arial" w:hAnsi="Arial" w:cs="Arial"/>
          <w:b/>
        </w:rPr>
      </w:pPr>
      <w:r w:rsidRPr="00864C84">
        <w:rPr>
          <w:rFonts w:ascii="Arial" w:hAnsi="Arial" w:cs="Arial"/>
          <w:b/>
          <w:noProof/>
          <w:lang w:eastAsia="en-GB"/>
        </w:rPr>
        <w:drawing>
          <wp:inline distT="0" distB="0" distL="0" distR="0">
            <wp:extent cx="2428875" cy="685800"/>
            <wp:effectExtent l="0" t="0" r="9525" b="0"/>
            <wp:docPr id="1" name="Picture 1" descr="C:\Users\sm\AppData\Local\Microsoft\Windows\Temporary Internet Files\Content.Outlook\2VXRQ0IV\COFFIN_MIKE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ppData\Local\Microsoft\Windows\Temporary Internet Files\Content.Outlook\2VXRQ0IV\COFFIN_MIKE (00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AD448E" w:rsidRDefault="00AD448E" w:rsidP="00665D20">
      <w:pPr>
        <w:spacing w:after="0"/>
        <w:ind w:left="5103" w:hanging="5103"/>
        <w:jc w:val="both"/>
        <w:rPr>
          <w:rFonts w:ascii="Arial" w:hAnsi="Arial" w:cs="Arial"/>
          <w:b/>
        </w:rPr>
      </w:pPr>
    </w:p>
    <w:p w:rsidR="00EB77DB" w:rsidRDefault="00EB77DB" w:rsidP="00665D20">
      <w:pPr>
        <w:spacing w:after="0"/>
        <w:ind w:left="5103" w:hanging="5103"/>
        <w:jc w:val="both"/>
        <w:rPr>
          <w:rFonts w:ascii="Arial" w:hAnsi="Arial" w:cs="Arial"/>
          <w:b/>
        </w:rPr>
      </w:pPr>
    </w:p>
    <w:p w:rsidR="00AD448E" w:rsidRDefault="00AD448E" w:rsidP="00665D20">
      <w:pPr>
        <w:spacing w:after="0"/>
        <w:ind w:left="5103" w:hanging="5103"/>
        <w:jc w:val="both"/>
        <w:rPr>
          <w:rFonts w:ascii="Arial" w:hAnsi="Arial" w:cs="Arial"/>
          <w:b/>
        </w:rPr>
      </w:pPr>
      <w:r>
        <w:rPr>
          <w:rFonts w:ascii="Arial" w:hAnsi="Arial" w:cs="Arial"/>
          <w:b/>
        </w:rPr>
        <w:t>Michael Coffin</w:t>
      </w:r>
    </w:p>
    <w:p w:rsidR="008322B6" w:rsidRPr="002F188C" w:rsidRDefault="008322B6" w:rsidP="00665D20">
      <w:pPr>
        <w:spacing w:after="0"/>
        <w:ind w:left="5103" w:hanging="5103"/>
        <w:jc w:val="both"/>
        <w:rPr>
          <w:rFonts w:ascii="Arial" w:hAnsi="Arial" w:cs="Arial"/>
          <w:b/>
        </w:rPr>
      </w:pPr>
      <w:r w:rsidRPr="002F188C">
        <w:rPr>
          <w:rFonts w:ascii="Arial" w:hAnsi="Arial" w:cs="Arial"/>
          <w:b/>
        </w:rPr>
        <w:t xml:space="preserve">Non-Executive Director </w:t>
      </w:r>
      <w:r w:rsidRPr="002F188C">
        <w:rPr>
          <w:rFonts w:ascii="Arial" w:hAnsi="Arial" w:cs="Arial"/>
          <w:b/>
        </w:rPr>
        <w:tab/>
      </w:r>
    </w:p>
    <w:p w:rsidR="008322B6" w:rsidRDefault="008322B6" w:rsidP="00665D20">
      <w:pPr>
        <w:spacing w:after="0"/>
        <w:ind w:left="5760" w:hanging="5760"/>
        <w:jc w:val="both"/>
        <w:rPr>
          <w:rFonts w:ascii="Arial" w:hAnsi="Arial" w:cs="Arial"/>
          <w:b/>
        </w:rPr>
      </w:pPr>
      <w:proofErr w:type="gramStart"/>
      <w:r w:rsidRPr="002F188C">
        <w:rPr>
          <w:rFonts w:ascii="Arial" w:hAnsi="Arial" w:cs="Arial"/>
          <w:b/>
        </w:rPr>
        <w:t>and</w:t>
      </w:r>
      <w:proofErr w:type="gramEnd"/>
      <w:r w:rsidRPr="002F188C">
        <w:rPr>
          <w:rFonts w:ascii="Arial" w:hAnsi="Arial" w:cs="Arial"/>
          <w:b/>
        </w:rPr>
        <w:t xml:space="preserve"> chair of the Audit Committee</w:t>
      </w:r>
    </w:p>
    <w:p w:rsidR="00864C84" w:rsidRDefault="00864C84" w:rsidP="00665D20">
      <w:pPr>
        <w:spacing w:after="0"/>
        <w:ind w:left="5760" w:hanging="5760"/>
        <w:jc w:val="both"/>
        <w:rPr>
          <w:rFonts w:ascii="Arial" w:hAnsi="Arial" w:cs="Arial"/>
          <w:b/>
        </w:rPr>
      </w:pPr>
    </w:p>
    <w:p w:rsidR="00864C84" w:rsidRDefault="00864C84" w:rsidP="00665D20">
      <w:pPr>
        <w:spacing w:after="0"/>
        <w:ind w:left="5760" w:hanging="5760"/>
        <w:jc w:val="both"/>
        <w:rPr>
          <w:rFonts w:ascii="Arial" w:hAnsi="Arial" w:cs="Arial"/>
          <w:b/>
        </w:rPr>
      </w:pPr>
    </w:p>
    <w:p w:rsidR="00864C84" w:rsidRPr="002F188C" w:rsidRDefault="00864C84" w:rsidP="00665D20">
      <w:pPr>
        <w:spacing w:after="0"/>
        <w:ind w:left="5760" w:hanging="5760"/>
        <w:jc w:val="both"/>
        <w:rPr>
          <w:rFonts w:ascii="Arial" w:hAnsi="Arial" w:cs="Arial"/>
          <w:b/>
        </w:rPr>
      </w:pPr>
      <w:r w:rsidRPr="00864C84">
        <w:rPr>
          <w:rFonts w:ascii="Arial" w:hAnsi="Arial" w:cs="Arial"/>
          <w:b/>
          <w:noProof/>
          <w:lang w:eastAsia="en-GB"/>
        </w:rPr>
        <w:drawing>
          <wp:inline distT="0" distB="0" distL="0" distR="0">
            <wp:extent cx="2215662" cy="304800"/>
            <wp:effectExtent l="0" t="0" r="0" b="0"/>
            <wp:docPr id="2" name="Picture 2" descr="C:\Users\sm\AppData\Local\Microsoft\Windows\Temporary Internet Files\Content.Outlook\2VXRQ0IV\Orton Signature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ppData\Local\Microsoft\Windows\Temporary Internet Files\Content.Outlook\2VXRQ0IV\Orton Signature (00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0738" cy="305498"/>
                    </a:xfrm>
                    <a:prstGeom prst="rect">
                      <a:avLst/>
                    </a:prstGeom>
                    <a:noFill/>
                    <a:ln>
                      <a:noFill/>
                    </a:ln>
                  </pic:spPr>
                </pic:pic>
              </a:graphicData>
            </a:graphic>
          </wp:inline>
        </w:drawing>
      </w:r>
    </w:p>
    <w:p w:rsidR="008322B6" w:rsidRDefault="008322B6" w:rsidP="00665D20">
      <w:pPr>
        <w:spacing w:after="0"/>
        <w:jc w:val="both"/>
        <w:rPr>
          <w:rFonts w:ascii="Arial" w:hAnsi="Arial" w:cs="Arial"/>
          <w:b/>
        </w:rPr>
      </w:pPr>
    </w:p>
    <w:p w:rsidR="008322B6" w:rsidRDefault="008322B6" w:rsidP="00665D20">
      <w:pPr>
        <w:spacing w:after="0"/>
        <w:jc w:val="both"/>
        <w:rPr>
          <w:rFonts w:ascii="Arial" w:hAnsi="Arial" w:cs="Arial"/>
          <w:b/>
        </w:rPr>
      </w:pPr>
      <w:r w:rsidRPr="002F188C">
        <w:rPr>
          <w:rFonts w:ascii="Arial" w:hAnsi="Arial" w:cs="Arial"/>
          <w:b/>
        </w:rPr>
        <w:t>Helen Orton</w:t>
      </w:r>
    </w:p>
    <w:p w:rsidR="008322B6" w:rsidRPr="002F188C" w:rsidRDefault="008322B6" w:rsidP="00665D20">
      <w:pPr>
        <w:spacing w:after="0"/>
        <w:ind w:left="5103" w:hanging="5103"/>
        <w:jc w:val="both"/>
        <w:rPr>
          <w:rFonts w:ascii="Arial" w:hAnsi="Arial" w:cs="Arial"/>
          <w:b/>
        </w:rPr>
      </w:pPr>
      <w:r w:rsidRPr="002F188C">
        <w:rPr>
          <w:rFonts w:ascii="Arial" w:hAnsi="Arial" w:cs="Arial"/>
          <w:b/>
        </w:rPr>
        <w:t>Finance and Regulation Director</w:t>
      </w:r>
    </w:p>
    <w:sectPr w:rsidR="008322B6" w:rsidRPr="002F188C" w:rsidSect="0017516C">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24" w:rsidRDefault="00787B24" w:rsidP="00DD05CE">
      <w:pPr>
        <w:spacing w:after="0" w:line="240" w:lineRule="auto"/>
      </w:pPr>
      <w:r>
        <w:separator/>
      </w:r>
    </w:p>
  </w:endnote>
  <w:endnote w:type="continuationSeparator" w:id="0">
    <w:p w:rsidR="00787B24" w:rsidRDefault="00787B24" w:rsidP="00DD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819790"/>
      <w:docPartObj>
        <w:docPartGallery w:val="Page Numbers (Bottom of Page)"/>
        <w:docPartUnique/>
      </w:docPartObj>
    </w:sdtPr>
    <w:sdtEndPr>
      <w:rPr>
        <w:noProof/>
      </w:rPr>
    </w:sdtEndPr>
    <w:sdtContent>
      <w:p w:rsidR="00787B24" w:rsidRDefault="00787B24">
        <w:pPr>
          <w:pStyle w:val="Footer"/>
          <w:jc w:val="right"/>
        </w:pPr>
        <w:r>
          <w:fldChar w:fldCharType="begin"/>
        </w:r>
        <w:r>
          <w:instrText xml:space="preserve"> PAGE   \* MERGEFORMAT </w:instrText>
        </w:r>
        <w:r>
          <w:fldChar w:fldCharType="separate"/>
        </w:r>
        <w:r w:rsidR="0043263D">
          <w:rPr>
            <w:noProof/>
          </w:rPr>
          <w:t>3</w:t>
        </w:r>
        <w:r>
          <w:rPr>
            <w:noProof/>
          </w:rPr>
          <w:fldChar w:fldCharType="end"/>
        </w:r>
      </w:p>
    </w:sdtContent>
  </w:sdt>
  <w:p w:rsidR="00787B24" w:rsidRDefault="00787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24" w:rsidRDefault="00787B24" w:rsidP="00DD05CE">
      <w:pPr>
        <w:spacing w:after="0" w:line="240" w:lineRule="auto"/>
      </w:pPr>
      <w:r>
        <w:separator/>
      </w:r>
    </w:p>
  </w:footnote>
  <w:footnote w:type="continuationSeparator" w:id="0">
    <w:p w:rsidR="00787B24" w:rsidRDefault="00787B24" w:rsidP="00DD0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C68C4"/>
    <w:multiLevelType w:val="hybridMultilevel"/>
    <w:tmpl w:val="071A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C3883"/>
    <w:multiLevelType w:val="hybridMultilevel"/>
    <w:tmpl w:val="5F9A3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045E4"/>
    <w:multiLevelType w:val="multilevel"/>
    <w:tmpl w:val="08090025"/>
    <w:lvl w:ilvl="0">
      <w:start w:val="1"/>
      <w:numFmt w:val="decimal"/>
      <w:pStyle w:val="Heading1"/>
      <w:lvlText w:val="%1"/>
      <w:lvlJc w:val="left"/>
      <w:pPr>
        <w:ind w:left="1849"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F0E44E7"/>
    <w:multiLevelType w:val="hybridMultilevel"/>
    <w:tmpl w:val="9CEC81FE"/>
    <w:lvl w:ilvl="0" w:tplc="9292759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2C77D5"/>
    <w:multiLevelType w:val="hybridMultilevel"/>
    <w:tmpl w:val="D9C0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0E"/>
    <w:rsid w:val="000002BA"/>
    <w:rsid w:val="00000E93"/>
    <w:rsid w:val="00013134"/>
    <w:rsid w:val="00015006"/>
    <w:rsid w:val="00015EC1"/>
    <w:rsid w:val="00025B43"/>
    <w:rsid w:val="000321D3"/>
    <w:rsid w:val="0003295B"/>
    <w:rsid w:val="000338C4"/>
    <w:rsid w:val="00034577"/>
    <w:rsid w:val="00037789"/>
    <w:rsid w:val="00037A16"/>
    <w:rsid w:val="00046024"/>
    <w:rsid w:val="00046570"/>
    <w:rsid w:val="0005515F"/>
    <w:rsid w:val="000557EB"/>
    <w:rsid w:val="0009315D"/>
    <w:rsid w:val="000B1924"/>
    <w:rsid w:val="000B75C0"/>
    <w:rsid w:val="000C2820"/>
    <w:rsid w:val="000E4074"/>
    <w:rsid w:val="000E515C"/>
    <w:rsid w:val="000F1A91"/>
    <w:rsid w:val="000F7439"/>
    <w:rsid w:val="00111081"/>
    <w:rsid w:val="00114353"/>
    <w:rsid w:val="0011659B"/>
    <w:rsid w:val="001169CD"/>
    <w:rsid w:val="0012509E"/>
    <w:rsid w:val="00134D46"/>
    <w:rsid w:val="001367E9"/>
    <w:rsid w:val="001529D7"/>
    <w:rsid w:val="00161DFB"/>
    <w:rsid w:val="0017516C"/>
    <w:rsid w:val="00180906"/>
    <w:rsid w:val="001918DA"/>
    <w:rsid w:val="001A4D68"/>
    <w:rsid w:val="001C03C9"/>
    <w:rsid w:val="001D505C"/>
    <w:rsid w:val="001E2441"/>
    <w:rsid w:val="001E34C2"/>
    <w:rsid w:val="001E5070"/>
    <w:rsid w:val="001F0408"/>
    <w:rsid w:val="001F23BD"/>
    <w:rsid w:val="001F3CBA"/>
    <w:rsid w:val="002023E0"/>
    <w:rsid w:val="002121D0"/>
    <w:rsid w:val="0021332A"/>
    <w:rsid w:val="002159C1"/>
    <w:rsid w:val="00226728"/>
    <w:rsid w:val="002348B1"/>
    <w:rsid w:val="00263F3D"/>
    <w:rsid w:val="002660AF"/>
    <w:rsid w:val="0027058E"/>
    <w:rsid w:val="00284B74"/>
    <w:rsid w:val="00284CCB"/>
    <w:rsid w:val="00290C17"/>
    <w:rsid w:val="002D13A0"/>
    <w:rsid w:val="002E10A3"/>
    <w:rsid w:val="002F3F1C"/>
    <w:rsid w:val="00304FFE"/>
    <w:rsid w:val="00311628"/>
    <w:rsid w:val="00314C9A"/>
    <w:rsid w:val="00316304"/>
    <w:rsid w:val="00331F37"/>
    <w:rsid w:val="00350B43"/>
    <w:rsid w:val="00357472"/>
    <w:rsid w:val="00362DBB"/>
    <w:rsid w:val="00365F0E"/>
    <w:rsid w:val="00391A7E"/>
    <w:rsid w:val="003A5270"/>
    <w:rsid w:val="003C2D2B"/>
    <w:rsid w:val="003C3258"/>
    <w:rsid w:val="003C6368"/>
    <w:rsid w:val="003D0DCF"/>
    <w:rsid w:val="003D6AD9"/>
    <w:rsid w:val="003E1AC6"/>
    <w:rsid w:val="00402E0B"/>
    <w:rsid w:val="00406C32"/>
    <w:rsid w:val="00411698"/>
    <w:rsid w:val="004117E8"/>
    <w:rsid w:val="0041550A"/>
    <w:rsid w:val="00432300"/>
    <w:rsid w:val="0043263D"/>
    <w:rsid w:val="004518A0"/>
    <w:rsid w:val="0045772C"/>
    <w:rsid w:val="00463D38"/>
    <w:rsid w:val="00473B35"/>
    <w:rsid w:val="004740B1"/>
    <w:rsid w:val="00474EC4"/>
    <w:rsid w:val="0047590D"/>
    <w:rsid w:val="00475A9B"/>
    <w:rsid w:val="0049012E"/>
    <w:rsid w:val="004A4D3E"/>
    <w:rsid w:val="004A57FA"/>
    <w:rsid w:val="004B08F8"/>
    <w:rsid w:val="004B33E9"/>
    <w:rsid w:val="005000B8"/>
    <w:rsid w:val="005044CE"/>
    <w:rsid w:val="00504618"/>
    <w:rsid w:val="005064D2"/>
    <w:rsid w:val="0052446F"/>
    <w:rsid w:val="00526D93"/>
    <w:rsid w:val="0053032C"/>
    <w:rsid w:val="00561D47"/>
    <w:rsid w:val="00575539"/>
    <w:rsid w:val="00582A0B"/>
    <w:rsid w:val="0058680A"/>
    <w:rsid w:val="00591FAD"/>
    <w:rsid w:val="005953AF"/>
    <w:rsid w:val="005B08FE"/>
    <w:rsid w:val="005D2D36"/>
    <w:rsid w:val="005D773A"/>
    <w:rsid w:val="005E226F"/>
    <w:rsid w:val="005F074E"/>
    <w:rsid w:val="0060433B"/>
    <w:rsid w:val="0061206A"/>
    <w:rsid w:val="0061505F"/>
    <w:rsid w:val="00620754"/>
    <w:rsid w:val="00627230"/>
    <w:rsid w:val="00631169"/>
    <w:rsid w:val="006353C3"/>
    <w:rsid w:val="0064626E"/>
    <w:rsid w:val="00665D20"/>
    <w:rsid w:val="00671520"/>
    <w:rsid w:val="00673A51"/>
    <w:rsid w:val="0068258A"/>
    <w:rsid w:val="00682F77"/>
    <w:rsid w:val="006A33F9"/>
    <w:rsid w:val="006A3D07"/>
    <w:rsid w:val="006C2F01"/>
    <w:rsid w:val="00711E2C"/>
    <w:rsid w:val="00711E95"/>
    <w:rsid w:val="00714B8B"/>
    <w:rsid w:val="00725707"/>
    <w:rsid w:val="00740946"/>
    <w:rsid w:val="007507AE"/>
    <w:rsid w:val="00757694"/>
    <w:rsid w:val="007759EC"/>
    <w:rsid w:val="00787B24"/>
    <w:rsid w:val="007B3519"/>
    <w:rsid w:val="007C169F"/>
    <w:rsid w:val="007D57D0"/>
    <w:rsid w:val="007D6F43"/>
    <w:rsid w:val="007E4FBF"/>
    <w:rsid w:val="007E543A"/>
    <w:rsid w:val="007F37BE"/>
    <w:rsid w:val="007F516D"/>
    <w:rsid w:val="007F573C"/>
    <w:rsid w:val="008015BC"/>
    <w:rsid w:val="00805EF7"/>
    <w:rsid w:val="00806F24"/>
    <w:rsid w:val="008071A2"/>
    <w:rsid w:val="00810485"/>
    <w:rsid w:val="00812BB2"/>
    <w:rsid w:val="00812C9A"/>
    <w:rsid w:val="0081317F"/>
    <w:rsid w:val="00825A08"/>
    <w:rsid w:val="008278DA"/>
    <w:rsid w:val="00827FDB"/>
    <w:rsid w:val="008322B6"/>
    <w:rsid w:val="008365A0"/>
    <w:rsid w:val="00844B12"/>
    <w:rsid w:val="00850529"/>
    <w:rsid w:val="00864C84"/>
    <w:rsid w:val="00864FF5"/>
    <w:rsid w:val="00865E7E"/>
    <w:rsid w:val="00873505"/>
    <w:rsid w:val="00882B39"/>
    <w:rsid w:val="008A21D6"/>
    <w:rsid w:val="008A3AAD"/>
    <w:rsid w:val="008A47D1"/>
    <w:rsid w:val="008A6F1E"/>
    <w:rsid w:val="008A74E8"/>
    <w:rsid w:val="008C0CF7"/>
    <w:rsid w:val="008C6A49"/>
    <w:rsid w:val="008D68AC"/>
    <w:rsid w:val="008E2920"/>
    <w:rsid w:val="008E5566"/>
    <w:rsid w:val="009142D9"/>
    <w:rsid w:val="009226F6"/>
    <w:rsid w:val="00932189"/>
    <w:rsid w:val="00940A73"/>
    <w:rsid w:val="009509E5"/>
    <w:rsid w:val="0095158E"/>
    <w:rsid w:val="00966FC3"/>
    <w:rsid w:val="00997508"/>
    <w:rsid w:val="009A247C"/>
    <w:rsid w:val="009A47D3"/>
    <w:rsid w:val="009B235F"/>
    <w:rsid w:val="009C139D"/>
    <w:rsid w:val="009C4377"/>
    <w:rsid w:val="009F0987"/>
    <w:rsid w:val="00A111EC"/>
    <w:rsid w:val="00A168B0"/>
    <w:rsid w:val="00A17768"/>
    <w:rsid w:val="00A205D3"/>
    <w:rsid w:val="00A264C4"/>
    <w:rsid w:val="00A3326E"/>
    <w:rsid w:val="00A40B65"/>
    <w:rsid w:val="00A433A6"/>
    <w:rsid w:val="00A45C7A"/>
    <w:rsid w:val="00A57CFE"/>
    <w:rsid w:val="00A63C6F"/>
    <w:rsid w:val="00A70443"/>
    <w:rsid w:val="00A72336"/>
    <w:rsid w:val="00A77191"/>
    <w:rsid w:val="00AB4016"/>
    <w:rsid w:val="00AB6B68"/>
    <w:rsid w:val="00AC235D"/>
    <w:rsid w:val="00AC3AEE"/>
    <w:rsid w:val="00AD448E"/>
    <w:rsid w:val="00AE129F"/>
    <w:rsid w:val="00AE21FC"/>
    <w:rsid w:val="00B00E98"/>
    <w:rsid w:val="00B01143"/>
    <w:rsid w:val="00B0263B"/>
    <w:rsid w:val="00B073F7"/>
    <w:rsid w:val="00B17172"/>
    <w:rsid w:val="00B36B39"/>
    <w:rsid w:val="00B37BDF"/>
    <w:rsid w:val="00B84B69"/>
    <w:rsid w:val="00B97059"/>
    <w:rsid w:val="00BC48F1"/>
    <w:rsid w:val="00BE6CA8"/>
    <w:rsid w:val="00BF63B3"/>
    <w:rsid w:val="00C01A51"/>
    <w:rsid w:val="00C0575A"/>
    <w:rsid w:val="00C1365D"/>
    <w:rsid w:val="00C25512"/>
    <w:rsid w:val="00C26FEC"/>
    <w:rsid w:val="00C366A1"/>
    <w:rsid w:val="00C449B9"/>
    <w:rsid w:val="00C457EB"/>
    <w:rsid w:val="00C55BC4"/>
    <w:rsid w:val="00C74A48"/>
    <w:rsid w:val="00C75EC5"/>
    <w:rsid w:val="00C77D9C"/>
    <w:rsid w:val="00C835D1"/>
    <w:rsid w:val="00C84E47"/>
    <w:rsid w:val="00C95DA6"/>
    <w:rsid w:val="00C95DD6"/>
    <w:rsid w:val="00CA1A6C"/>
    <w:rsid w:val="00CB20B8"/>
    <w:rsid w:val="00CB2AC7"/>
    <w:rsid w:val="00CC29DF"/>
    <w:rsid w:val="00CC4257"/>
    <w:rsid w:val="00CE4FA5"/>
    <w:rsid w:val="00D030F6"/>
    <w:rsid w:val="00D11F6D"/>
    <w:rsid w:val="00D2304A"/>
    <w:rsid w:val="00D2357F"/>
    <w:rsid w:val="00D24664"/>
    <w:rsid w:val="00D3371D"/>
    <w:rsid w:val="00D35615"/>
    <w:rsid w:val="00D50056"/>
    <w:rsid w:val="00D51BA2"/>
    <w:rsid w:val="00D52B2E"/>
    <w:rsid w:val="00D55F23"/>
    <w:rsid w:val="00D705AD"/>
    <w:rsid w:val="00D922C0"/>
    <w:rsid w:val="00D92FDB"/>
    <w:rsid w:val="00D931B9"/>
    <w:rsid w:val="00D96D61"/>
    <w:rsid w:val="00DA1F79"/>
    <w:rsid w:val="00DA3FD1"/>
    <w:rsid w:val="00DC4C53"/>
    <w:rsid w:val="00DC6BB6"/>
    <w:rsid w:val="00DD05CE"/>
    <w:rsid w:val="00DD0F22"/>
    <w:rsid w:val="00DD1FBC"/>
    <w:rsid w:val="00DF2248"/>
    <w:rsid w:val="00E21F60"/>
    <w:rsid w:val="00E23E5F"/>
    <w:rsid w:val="00E245F6"/>
    <w:rsid w:val="00E301B9"/>
    <w:rsid w:val="00E329D1"/>
    <w:rsid w:val="00E518A4"/>
    <w:rsid w:val="00E660C1"/>
    <w:rsid w:val="00E85BF3"/>
    <w:rsid w:val="00E928CF"/>
    <w:rsid w:val="00E92FEA"/>
    <w:rsid w:val="00E94A7D"/>
    <w:rsid w:val="00E94BC1"/>
    <w:rsid w:val="00EB77DB"/>
    <w:rsid w:val="00EE0D66"/>
    <w:rsid w:val="00EE26E2"/>
    <w:rsid w:val="00F05FDC"/>
    <w:rsid w:val="00F46E51"/>
    <w:rsid w:val="00F52172"/>
    <w:rsid w:val="00F554A4"/>
    <w:rsid w:val="00F64ABF"/>
    <w:rsid w:val="00F6592E"/>
    <w:rsid w:val="00F66076"/>
    <w:rsid w:val="00F81368"/>
    <w:rsid w:val="00FA337E"/>
    <w:rsid w:val="00FA5B8E"/>
    <w:rsid w:val="00FB2222"/>
    <w:rsid w:val="00FB6FB6"/>
    <w:rsid w:val="00FC3991"/>
    <w:rsid w:val="00FE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410B56A8-DFD4-489B-BDA8-222A8459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BC1"/>
    <w:pPr>
      <w:keepNext/>
      <w:keepLines/>
      <w:numPr>
        <w:numId w:val="2"/>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E94BC1"/>
    <w:pPr>
      <w:keepNext/>
      <w:keepLines/>
      <w:numPr>
        <w:ilvl w:val="1"/>
        <w:numId w:val="2"/>
      </w:numPr>
      <w:spacing w:before="40" w:after="0"/>
      <w:ind w:left="576"/>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semiHidden/>
    <w:unhideWhenUsed/>
    <w:qFormat/>
    <w:rsid w:val="00E94BC1"/>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4BC1"/>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BC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4BC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4BC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4BC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4BC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472"/>
    <w:pPr>
      <w:ind w:left="720"/>
      <w:contextualSpacing/>
    </w:pPr>
  </w:style>
  <w:style w:type="character" w:customStyle="1" w:styleId="Heading1Char">
    <w:name w:val="Heading 1 Char"/>
    <w:basedOn w:val="DefaultParagraphFont"/>
    <w:link w:val="Heading1"/>
    <w:uiPriority w:val="9"/>
    <w:rsid w:val="00E94BC1"/>
    <w:rPr>
      <w:rFonts w:ascii="Arial" w:eastAsiaTheme="majorEastAsia" w:hAnsi="Arial" w:cstheme="majorBidi"/>
      <w:b/>
      <w:szCs w:val="32"/>
    </w:rPr>
  </w:style>
  <w:style w:type="character" w:customStyle="1" w:styleId="Heading2Char">
    <w:name w:val="Heading 2 Char"/>
    <w:basedOn w:val="DefaultParagraphFont"/>
    <w:link w:val="Heading2"/>
    <w:uiPriority w:val="9"/>
    <w:rsid w:val="00E94BC1"/>
    <w:rPr>
      <w:rFonts w:ascii="Arial" w:eastAsiaTheme="majorEastAsia" w:hAnsi="Arial" w:cstheme="majorBidi"/>
      <w:sz w:val="20"/>
      <w:szCs w:val="26"/>
    </w:rPr>
  </w:style>
  <w:style w:type="character" w:customStyle="1" w:styleId="Heading3Char">
    <w:name w:val="Heading 3 Char"/>
    <w:basedOn w:val="DefaultParagraphFont"/>
    <w:link w:val="Heading3"/>
    <w:uiPriority w:val="9"/>
    <w:semiHidden/>
    <w:rsid w:val="00E94BC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94BC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4BC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4BC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4BC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4B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4BC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C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1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AC235D"/>
    <w:rPr>
      <w:color w:val="0000FF"/>
      <w:u w:val="single"/>
    </w:rPr>
  </w:style>
  <w:style w:type="character" w:styleId="FollowedHyperlink">
    <w:name w:val="FollowedHyperlink"/>
    <w:basedOn w:val="DefaultParagraphFont"/>
    <w:uiPriority w:val="99"/>
    <w:semiHidden/>
    <w:unhideWhenUsed/>
    <w:rsid w:val="00AC235D"/>
    <w:rPr>
      <w:color w:val="954F72" w:themeColor="followedHyperlink"/>
      <w:u w:val="single"/>
    </w:rPr>
  </w:style>
  <w:style w:type="paragraph" w:styleId="Header">
    <w:name w:val="header"/>
    <w:basedOn w:val="Normal"/>
    <w:link w:val="HeaderChar"/>
    <w:uiPriority w:val="99"/>
    <w:unhideWhenUsed/>
    <w:rsid w:val="00DD0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5CE"/>
  </w:style>
  <w:style w:type="paragraph" w:styleId="Footer">
    <w:name w:val="footer"/>
    <w:basedOn w:val="Normal"/>
    <w:link w:val="FooterChar"/>
    <w:uiPriority w:val="99"/>
    <w:unhideWhenUsed/>
    <w:rsid w:val="00DD0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CE"/>
  </w:style>
  <w:style w:type="paragraph" w:styleId="NoSpacing">
    <w:name w:val="No Spacing"/>
    <w:uiPriority w:val="1"/>
    <w:qFormat/>
    <w:rsid w:val="00B17172"/>
    <w:pPr>
      <w:spacing w:after="0" w:line="240" w:lineRule="auto"/>
    </w:pPr>
  </w:style>
  <w:style w:type="paragraph" w:styleId="BalloonText">
    <w:name w:val="Balloon Text"/>
    <w:basedOn w:val="Normal"/>
    <w:link w:val="BalloonTextChar"/>
    <w:uiPriority w:val="99"/>
    <w:semiHidden/>
    <w:unhideWhenUsed/>
    <w:rsid w:val="00391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159">
      <w:bodyDiv w:val="1"/>
      <w:marLeft w:val="0"/>
      <w:marRight w:val="0"/>
      <w:marTop w:val="0"/>
      <w:marBottom w:val="0"/>
      <w:divBdr>
        <w:top w:val="none" w:sz="0" w:space="0" w:color="auto"/>
        <w:left w:val="none" w:sz="0" w:space="0" w:color="auto"/>
        <w:bottom w:val="none" w:sz="0" w:space="0" w:color="auto"/>
        <w:right w:val="none" w:sz="0" w:space="0" w:color="auto"/>
      </w:divBdr>
    </w:div>
    <w:div w:id="27947673">
      <w:bodyDiv w:val="1"/>
      <w:marLeft w:val="0"/>
      <w:marRight w:val="0"/>
      <w:marTop w:val="0"/>
      <w:marBottom w:val="0"/>
      <w:divBdr>
        <w:top w:val="none" w:sz="0" w:space="0" w:color="auto"/>
        <w:left w:val="none" w:sz="0" w:space="0" w:color="auto"/>
        <w:bottom w:val="none" w:sz="0" w:space="0" w:color="auto"/>
        <w:right w:val="none" w:sz="0" w:space="0" w:color="auto"/>
      </w:divBdr>
    </w:div>
    <w:div w:id="43526013">
      <w:bodyDiv w:val="1"/>
      <w:marLeft w:val="0"/>
      <w:marRight w:val="0"/>
      <w:marTop w:val="0"/>
      <w:marBottom w:val="0"/>
      <w:divBdr>
        <w:top w:val="none" w:sz="0" w:space="0" w:color="auto"/>
        <w:left w:val="none" w:sz="0" w:space="0" w:color="auto"/>
        <w:bottom w:val="none" w:sz="0" w:space="0" w:color="auto"/>
        <w:right w:val="none" w:sz="0" w:space="0" w:color="auto"/>
      </w:divBdr>
    </w:div>
    <w:div w:id="135074205">
      <w:bodyDiv w:val="1"/>
      <w:marLeft w:val="0"/>
      <w:marRight w:val="0"/>
      <w:marTop w:val="0"/>
      <w:marBottom w:val="0"/>
      <w:divBdr>
        <w:top w:val="none" w:sz="0" w:space="0" w:color="auto"/>
        <w:left w:val="none" w:sz="0" w:space="0" w:color="auto"/>
        <w:bottom w:val="none" w:sz="0" w:space="0" w:color="auto"/>
        <w:right w:val="none" w:sz="0" w:space="0" w:color="auto"/>
      </w:divBdr>
    </w:div>
    <w:div w:id="143592515">
      <w:bodyDiv w:val="1"/>
      <w:marLeft w:val="0"/>
      <w:marRight w:val="0"/>
      <w:marTop w:val="0"/>
      <w:marBottom w:val="0"/>
      <w:divBdr>
        <w:top w:val="none" w:sz="0" w:space="0" w:color="auto"/>
        <w:left w:val="none" w:sz="0" w:space="0" w:color="auto"/>
        <w:bottom w:val="none" w:sz="0" w:space="0" w:color="auto"/>
        <w:right w:val="none" w:sz="0" w:space="0" w:color="auto"/>
      </w:divBdr>
    </w:div>
    <w:div w:id="174615160">
      <w:bodyDiv w:val="1"/>
      <w:marLeft w:val="0"/>
      <w:marRight w:val="0"/>
      <w:marTop w:val="0"/>
      <w:marBottom w:val="0"/>
      <w:divBdr>
        <w:top w:val="none" w:sz="0" w:space="0" w:color="auto"/>
        <w:left w:val="none" w:sz="0" w:space="0" w:color="auto"/>
        <w:bottom w:val="none" w:sz="0" w:space="0" w:color="auto"/>
        <w:right w:val="none" w:sz="0" w:space="0" w:color="auto"/>
      </w:divBdr>
    </w:div>
    <w:div w:id="185794864">
      <w:bodyDiv w:val="1"/>
      <w:marLeft w:val="0"/>
      <w:marRight w:val="0"/>
      <w:marTop w:val="0"/>
      <w:marBottom w:val="0"/>
      <w:divBdr>
        <w:top w:val="none" w:sz="0" w:space="0" w:color="auto"/>
        <w:left w:val="none" w:sz="0" w:space="0" w:color="auto"/>
        <w:bottom w:val="none" w:sz="0" w:space="0" w:color="auto"/>
        <w:right w:val="none" w:sz="0" w:space="0" w:color="auto"/>
      </w:divBdr>
    </w:div>
    <w:div w:id="288586510">
      <w:bodyDiv w:val="1"/>
      <w:marLeft w:val="0"/>
      <w:marRight w:val="0"/>
      <w:marTop w:val="0"/>
      <w:marBottom w:val="0"/>
      <w:divBdr>
        <w:top w:val="none" w:sz="0" w:space="0" w:color="auto"/>
        <w:left w:val="none" w:sz="0" w:space="0" w:color="auto"/>
        <w:bottom w:val="none" w:sz="0" w:space="0" w:color="auto"/>
        <w:right w:val="none" w:sz="0" w:space="0" w:color="auto"/>
      </w:divBdr>
    </w:div>
    <w:div w:id="385641068">
      <w:bodyDiv w:val="1"/>
      <w:marLeft w:val="0"/>
      <w:marRight w:val="0"/>
      <w:marTop w:val="0"/>
      <w:marBottom w:val="0"/>
      <w:divBdr>
        <w:top w:val="none" w:sz="0" w:space="0" w:color="auto"/>
        <w:left w:val="none" w:sz="0" w:space="0" w:color="auto"/>
        <w:bottom w:val="none" w:sz="0" w:space="0" w:color="auto"/>
        <w:right w:val="none" w:sz="0" w:space="0" w:color="auto"/>
      </w:divBdr>
    </w:div>
    <w:div w:id="442575500">
      <w:bodyDiv w:val="1"/>
      <w:marLeft w:val="0"/>
      <w:marRight w:val="0"/>
      <w:marTop w:val="0"/>
      <w:marBottom w:val="0"/>
      <w:divBdr>
        <w:top w:val="none" w:sz="0" w:space="0" w:color="auto"/>
        <w:left w:val="none" w:sz="0" w:space="0" w:color="auto"/>
        <w:bottom w:val="none" w:sz="0" w:space="0" w:color="auto"/>
        <w:right w:val="none" w:sz="0" w:space="0" w:color="auto"/>
      </w:divBdr>
    </w:div>
    <w:div w:id="540092712">
      <w:bodyDiv w:val="1"/>
      <w:marLeft w:val="0"/>
      <w:marRight w:val="0"/>
      <w:marTop w:val="0"/>
      <w:marBottom w:val="0"/>
      <w:divBdr>
        <w:top w:val="none" w:sz="0" w:space="0" w:color="auto"/>
        <w:left w:val="none" w:sz="0" w:space="0" w:color="auto"/>
        <w:bottom w:val="none" w:sz="0" w:space="0" w:color="auto"/>
        <w:right w:val="none" w:sz="0" w:space="0" w:color="auto"/>
      </w:divBdr>
    </w:div>
    <w:div w:id="541481766">
      <w:bodyDiv w:val="1"/>
      <w:marLeft w:val="0"/>
      <w:marRight w:val="0"/>
      <w:marTop w:val="0"/>
      <w:marBottom w:val="0"/>
      <w:divBdr>
        <w:top w:val="none" w:sz="0" w:space="0" w:color="auto"/>
        <w:left w:val="none" w:sz="0" w:space="0" w:color="auto"/>
        <w:bottom w:val="none" w:sz="0" w:space="0" w:color="auto"/>
        <w:right w:val="none" w:sz="0" w:space="0" w:color="auto"/>
      </w:divBdr>
    </w:div>
    <w:div w:id="601499588">
      <w:bodyDiv w:val="1"/>
      <w:marLeft w:val="0"/>
      <w:marRight w:val="0"/>
      <w:marTop w:val="0"/>
      <w:marBottom w:val="0"/>
      <w:divBdr>
        <w:top w:val="none" w:sz="0" w:space="0" w:color="auto"/>
        <w:left w:val="none" w:sz="0" w:space="0" w:color="auto"/>
        <w:bottom w:val="none" w:sz="0" w:space="0" w:color="auto"/>
        <w:right w:val="none" w:sz="0" w:space="0" w:color="auto"/>
      </w:divBdr>
    </w:div>
    <w:div w:id="661005628">
      <w:bodyDiv w:val="1"/>
      <w:marLeft w:val="0"/>
      <w:marRight w:val="0"/>
      <w:marTop w:val="0"/>
      <w:marBottom w:val="0"/>
      <w:divBdr>
        <w:top w:val="none" w:sz="0" w:space="0" w:color="auto"/>
        <w:left w:val="none" w:sz="0" w:space="0" w:color="auto"/>
        <w:bottom w:val="none" w:sz="0" w:space="0" w:color="auto"/>
        <w:right w:val="none" w:sz="0" w:space="0" w:color="auto"/>
      </w:divBdr>
    </w:div>
    <w:div w:id="696389141">
      <w:bodyDiv w:val="1"/>
      <w:marLeft w:val="0"/>
      <w:marRight w:val="0"/>
      <w:marTop w:val="0"/>
      <w:marBottom w:val="0"/>
      <w:divBdr>
        <w:top w:val="none" w:sz="0" w:space="0" w:color="auto"/>
        <w:left w:val="none" w:sz="0" w:space="0" w:color="auto"/>
        <w:bottom w:val="none" w:sz="0" w:space="0" w:color="auto"/>
        <w:right w:val="none" w:sz="0" w:space="0" w:color="auto"/>
      </w:divBdr>
    </w:div>
    <w:div w:id="718555478">
      <w:bodyDiv w:val="1"/>
      <w:marLeft w:val="0"/>
      <w:marRight w:val="0"/>
      <w:marTop w:val="0"/>
      <w:marBottom w:val="0"/>
      <w:divBdr>
        <w:top w:val="none" w:sz="0" w:space="0" w:color="auto"/>
        <w:left w:val="none" w:sz="0" w:space="0" w:color="auto"/>
        <w:bottom w:val="none" w:sz="0" w:space="0" w:color="auto"/>
        <w:right w:val="none" w:sz="0" w:space="0" w:color="auto"/>
      </w:divBdr>
    </w:div>
    <w:div w:id="884409666">
      <w:bodyDiv w:val="1"/>
      <w:marLeft w:val="0"/>
      <w:marRight w:val="0"/>
      <w:marTop w:val="0"/>
      <w:marBottom w:val="0"/>
      <w:divBdr>
        <w:top w:val="none" w:sz="0" w:space="0" w:color="auto"/>
        <w:left w:val="none" w:sz="0" w:space="0" w:color="auto"/>
        <w:bottom w:val="none" w:sz="0" w:space="0" w:color="auto"/>
        <w:right w:val="none" w:sz="0" w:space="0" w:color="auto"/>
      </w:divBdr>
    </w:div>
    <w:div w:id="942418636">
      <w:bodyDiv w:val="1"/>
      <w:marLeft w:val="0"/>
      <w:marRight w:val="0"/>
      <w:marTop w:val="0"/>
      <w:marBottom w:val="0"/>
      <w:divBdr>
        <w:top w:val="none" w:sz="0" w:space="0" w:color="auto"/>
        <w:left w:val="none" w:sz="0" w:space="0" w:color="auto"/>
        <w:bottom w:val="none" w:sz="0" w:space="0" w:color="auto"/>
        <w:right w:val="none" w:sz="0" w:space="0" w:color="auto"/>
      </w:divBdr>
    </w:div>
    <w:div w:id="1028600953">
      <w:bodyDiv w:val="1"/>
      <w:marLeft w:val="0"/>
      <w:marRight w:val="0"/>
      <w:marTop w:val="0"/>
      <w:marBottom w:val="0"/>
      <w:divBdr>
        <w:top w:val="none" w:sz="0" w:space="0" w:color="auto"/>
        <w:left w:val="none" w:sz="0" w:space="0" w:color="auto"/>
        <w:bottom w:val="none" w:sz="0" w:space="0" w:color="auto"/>
        <w:right w:val="none" w:sz="0" w:space="0" w:color="auto"/>
      </w:divBdr>
    </w:div>
    <w:div w:id="1077676736">
      <w:bodyDiv w:val="1"/>
      <w:marLeft w:val="0"/>
      <w:marRight w:val="0"/>
      <w:marTop w:val="0"/>
      <w:marBottom w:val="0"/>
      <w:divBdr>
        <w:top w:val="none" w:sz="0" w:space="0" w:color="auto"/>
        <w:left w:val="none" w:sz="0" w:space="0" w:color="auto"/>
        <w:bottom w:val="none" w:sz="0" w:space="0" w:color="auto"/>
        <w:right w:val="none" w:sz="0" w:space="0" w:color="auto"/>
      </w:divBdr>
    </w:div>
    <w:div w:id="1117598876">
      <w:bodyDiv w:val="1"/>
      <w:marLeft w:val="0"/>
      <w:marRight w:val="0"/>
      <w:marTop w:val="0"/>
      <w:marBottom w:val="0"/>
      <w:divBdr>
        <w:top w:val="none" w:sz="0" w:space="0" w:color="auto"/>
        <w:left w:val="none" w:sz="0" w:space="0" w:color="auto"/>
        <w:bottom w:val="none" w:sz="0" w:space="0" w:color="auto"/>
        <w:right w:val="none" w:sz="0" w:space="0" w:color="auto"/>
      </w:divBdr>
    </w:div>
    <w:div w:id="1122263779">
      <w:bodyDiv w:val="1"/>
      <w:marLeft w:val="0"/>
      <w:marRight w:val="0"/>
      <w:marTop w:val="0"/>
      <w:marBottom w:val="0"/>
      <w:divBdr>
        <w:top w:val="none" w:sz="0" w:space="0" w:color="auto"/>
        <w:left w:val="none" w:sz="0" w:space="0" w:color="auto"/>
        <w:bottom w:val="none" w:sz="0" w:space="0" w:color="auto"/>
        <w:right w:val="none" w:sz="0" w:space="0" w:color="auto"/>
      </w:divBdr>
    </w:div>
    <w:div w:id="1174342796">
      <w:bodyDiv w:val="1"/>
      <w:marLeft w:val="0"/>
      <w:marRight w:val="0"/>
      <w:marTop w:val="0"/>
      <w:marBottom w:val="0"/>
      <w:divBdr>
        <w:top w:val="none" w:sz="0" w:space="0" w:color="auto"/>
        <w:left w:val="none" w:sz="0" w:space="0" w:color="auto"/>
        <w:bottom w:val="none" w:sz="0" w:space="0" w:color="auto"/>
        <w:right w:val="none" w:sz="0" w:space="0" w:color="auto"/>
      </w:divBdr>
    </w:div>
    <w:div w:id="1242136231">
      <w:bodyDiv w:val="1"/>
      <w:marLeft w:val="0"/>
      <w:marRight w:val="0"/>
      <w:marTop w:val="0"/>
      <w:marBottom w:val="0"/>
      <w:divBdr>
        <w:top w:val="none" w:sz="0" w:space="0" w:color="auto"/>
        <w:left w:val="none" w:sz="0" w:space="0" w:color="auto"/>
        <w:bottom w:val="none" w:sz="0" w:space="0" w:color="auto"/>
        <w:right w:val="none" w:sz="0" w:space="0" w:color="auto"/>
      </w:divBdr>
    </w:div>
    <w:div w:id="1258053734">
      <w:bodyDiv w:val="1"/>
      <w:marLeft w:val="0"/>
      <w:marRight w:val="0"/>
      <w:marTop w:val="0"/>
      <w:marBottom w:val="0"/>
      <w:divBdr>
        <w:top w:val="none" w:sz="0" w:space="0" w:color="auto"/>
        <w:left w:val="none" w:sz="0" w:space="0" w:color="auto"/>
        <w:bottom w:val="none" w:sz="0" w:space="0" w:color="auto"/>
        <w:right w:val="none" w:sz="0" w:space="0" w:color="auto"/>
      </w:divBdr>
    </w:div>
    <w:div w:id="1279020745">
      <w:bodyDiv w:val="1"/>
      <w:marLeft w:val="0"/>
      <w:marRight w:val="0"/>
      <w:marTop w:val="0"/>
      <w:marBottom w:val="0"/>
      <w:divBdr>
        <w:top w:val="none" w:sz="0" w:space="0" w:color="auto"/>
        <w:left w:val="none" w:sz="0" w:space="0" w:color="auto"/>
        <w:bottom w:val="none" w:sz="0" w:space="0" w:color="auto"/>
        <w:right w:val="none" w:sz="0" w:space="0" w:color="auto"/>
      </w:divBdr>
    </w:div>
    <w:div w:id="1282614784">
      <w:bodyDiv w:val="1"/>
      <w:marLeft w:val="0"/>
      <w:marRight w:val="0"/>
      <w:marTop w:val="0"/>
      <w:marBottom w:val="0"/>
      <w:divBdr>
        <w:top w:val="none" w:sz="0" w:space="0" w:color="auto"/>
        <w:left w:val="none" w:sz="0" w:space="0" w:color="auto"/>
        <w:bottom w:val="none" w:sz="0" w:space="0" w:color="auto"/>
        <w:right w:val="none" w:sz="0" w:space="0" w:color="auto"/>
      </w:divBdr>
    </w:div>
    <w:div w:id="1527215960">
      <w:bodyDiv w:val="1"/>
      <w:marLeft w:val="0"/>
      <w:marRight w:val="0"/>
      <w:marTop w:val="0"/>
      <w:marBottom w:val="0"/>
      <w:divBdr>
        <w:top w:val="none" w:sz="0" w:space="0" w:color="auto"/>
        <w:left w:val="none" w:sz="0" w:space="0" w:color="auto"/>
        <w:bottom w:val="none" w:sz="0" w:space="0" w:color="auto"/>
        <w:right w:val="none" w:sz="0" w:space="0" w:color="auto"/>
      </w:divBdr>
    </w:div>
    <w:div w:id="1540437508">
      <w:bodyDiv w:val="1"/>
      <w:marLeft w:val="0"/>
      <w:marRight w:val="0"/>
      <w:marTop w:val="0"/>
      <w:marBottom w:val="0"/>
      <w:divBdr>
        <w:top w:val="none" w:sz="0" w:space="0" w:color="auto"/>
        <w:left w:val="none" w:sz="0" w:space="0" w:color="auto"/>
        <w:bottom w:val="none" w:sz="0" w:space="0" w:color="auto"/>
        <w:right w:val="none" w:sz="0" w:space="0" w:color="auto"/>
      </w:divBdr>
    </w:div>
    <w:div w:id="1579560516">
      <w:bodyDiv w:val="1"/>
      <w:marLeft w:val="0"/>
      <w:marRight w:val="0"/>
      <w:marTop w:val="0"/>
      <w:marBottom w:val="0"/>
      <w:divBdr>
        <w:top w:val="none" w:sz="0" w:space="0" w:color="auto"/>
        <w:left w:val="none" w:sz="0" w:space="0" w:color="auto"/>
        <w:bottom w:val="none" w:sz="0" w:space="0" w:color="auto"/>
        <w:right w:val="none" w:sz="0" w:space="0" w:color="auto"/>
      </w:divBdr>
    </w:div>
    <w:div w:id="1805614403">
      <w:bodyDiv w:val="1"/>
      <w:marLeft w:val="0"/>
      <w:marRight w:val="0"/>
      <w:marTop w:val="0"/>
      <w:marBottom w:val="0"/>
      <w:divBdr>
        <w:top w:val="none" w:sz="0" w:space="0" w:color="auto"/>
        <w:left w:val="none" w:sz="0" w:space="0" w:color="auto"/>
        <w:bottom w:val="none" w:sz="0" w:space="0" w:color="auto"/>
        <w:right w:val="none" w:sz="0" w:space="0" w:color="auto"/>
      </w:divBdr>
    </w:div>
    <w:div w:id="1814254121">
      <w:bodyDiv w:val="1"/>
      <w:marLeft w:val="0"/>
      <w:marRight w:val="0"/>
      <w:marTop w:val="0"/>
      <w:marBottom w:val="0"/>
      <w:divBdr>
        <w:top w:val="none" w:sz="0" w:space="0" w:color="auto"/>
        <w:left w:val="none" w:sz="0" w:space="0" w:color="auto"/>
        <w:bottom w:val="none" w:sz="0" w:space="0" w:color="auto"/>
        <w:right w:val="none" w:sz="0" w:space="0" w:color="auto"/>
      </w:divBdr>
    </w:div>
    <w:div w:id="1819615609">
      <w:bodyDiv w:val="1"/>
      <w:marLeft w:val="0"/>
      <w:marRight w:val="0"/>
      <w:marTop w:val="0"/>
      <w:marBottom w:val="0"/>
      <w:divBdr>
        <w:top w:val="none" w:sz="0" w:space="0" w:color="auto"/>
        <w:left w:val="none" w:sz="0" w:space="0" w:color="auto"/>
        <w:bottom w:val="none" w:sz="0" w:space="0" w:color="auto"/>
        <w:right w:val="none" w:sz="0" w:space="0" w:color="auto"/>
      </w:divBdr>
    </w:div>
    <w:div w:id="1857838810">
      <w:bodyDiv w:val="1"/>
      <w:marLeft w:val="0"/>
      <w:marRight w:val="0"/>
      <w:marTop w:val="0"/>
      <w:marBottom w:val="0"/>
      <w:divBdr>
        <w:top w:val="none" w:sz="0" w:space="0" w:color="auto"/>
        <w:left w:val="none" w:sz="0" w:space="0" w:color="auto"/>
        <w:bottom w:val="none" w:sz="0" w:space="0" w:color="auto"/>
        <w:right w:val="none" w:sz="0" w:space="0" w:color="auto"/>
      </w:divBdr>
    </w:div>
    <w:div w:id="1933390204">
      <w:bodyDiv w:val="1"/>
      <w:marLeft w:val="0"/>
      <w:marRight w:val="0"/>
      <w:marTop w:val="0"/>
      <w:marBottom w:val="0"/>
      <w:divBdr>
        <w:top w:val="none" w:sz="0" w:space="0" w:color="auto"/>
        <w:left w:val="none" w:sz="0" w:space="0" w:color="auto"/>
        <w:bottom w:val="none" w:sz="0" w:space="0" w:color="auto"/>
        <w:right w:val="none" w:sz="0" w:space="0" w:color="auto"/>
      </w:divBdr>
    </w:div>
    <w:div w:id="1942180905">
      <w:bodyDiv w:val="1"/>
      <w:marLeft w:val="0"/>
      <w:marRight w:val="0"/>
      <w:marTop w:val="0"/>
      <w:marBottom w:val="0"/>
      <w:divBdr>
        <w:top w:val="none" w:sz="0" w:space="0" w:color="auto"/>
        <w:left w:val="none" w:sz="0" w:space="0" w:color="auto"/>
        <w:bottom w:val="none" w:sz="0" w:space="0" w:color="auto"/>
        <w:right w:val="none" w:sz="0" w:space="0" w:color="auto"/>
      </w:divBdr>
    </w:div>
    <w:div w:id="2053071880">
      <w:bodyDiv w:val="1"/>
      <w:marLeft w:val="0"/>
      <w:marRight w:val="0"/>
      <w:marTop w:val="0"/>
      <w:marBottom w:val="0"/>
      <w:divBdr>
        <w:top w:val="none" w:sz="0" w:space="0" w:color="auto"/>
        <w:left w:val="none" w:sz="0" w:space="0" w:color="auto"/>
        <w:bottom w:val="none" w:sz="0" w:space="0" w:color="auto"/>
        <w:right w:val="none" w:sz="0" w:space="0" w:color="auto"/>
      </w:divBdr>
    </w:div>
    <w:div w:id="21282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mouthwater.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3900433B</Template>
  <TotalTime>21</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Steve</dc:creator>
  <cp:keywords/>
  <dc:description/>
  <cp:lastModifiedBy>Morley, Steve</cp:lastModifiedBy>
  <cp:revision>7</cp:revision>
  <cp:lastPrinted>2020-01-03T12:46:00Z</cp:lastPrinted>
  <dcterms:created xsi:type="dcterms:W3CDTF">2020-01-10T09:18:00Z</dcterms:created>
  <dcterms:modified xsi:type="dcterms:W3CDTF">2020-01-10T09:38:00Z</dcterms:modified>
</cp:coreProperties>
</file>